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Conner Brewster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Brooks Petit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Hannah Schroeder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52"/>
          <w:szCs w:val="52"/>
          <w:rtl w:val="0"/>
        </w:rPr>
        <w:t xml:space="preserve">Level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the text “The room you have entered seems to be smaller and a little brighter than the previous one…”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Set variable “action” to a string provided by the user.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Set variable “action” to itself, but in lowercase font.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If “action” is equal to “look”: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Display the text “You find a dusty mirror hanging angled on the left wall, some hieroglyphics to the right, a red box left of that, and dense thorny bushes.”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Set variable “action” to a string provided by the user.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Set variable “action” to itself, but in lowercase font.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“look in mirror” or “inspect mirror”: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“Inside of the mirror you find yourself, and a dark object approaching you at an incredible rate…”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on a new line “Before you could react, you are whisked away…”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find yourself in a pitch black room with no means of escape…”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tl w:val="0"/>
        </w:rPr>
        <w:t xml:space="preserve">Set “game_over” to True.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hieroglyphics”: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translate the text…”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“Seeing yourself will only make IT worse…”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red box”: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take a closer look at the red box to find it made of some sort of metal coating.”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see that it is tightly shut with a key lock in place.”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“use key”: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“With a quick click, the red box’s lid pops off.”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“Within you find a flint and steel.”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 “action” is equal to “take/grab/acquire/pick up/ flint and steel”: </w:t>
      </w:r>
    </w:p>
    <w:p w:rsidR="00000000" w:rsidDel="00000000" w:rsidP="00000000" w:rsidRDefault="00000000" w:rsidRPr="00000000">
      <w:pPr>
        <w:ind w:left="1980" w:firstLine="720"/>
        <w:contextualSpacing w:val="0"/>
      </w:pPr>
      <w:r w:rsidDel="00000000" w:rsidR="00000000" w:rsidRPr="00000000">
        <w:rPr>
          <w:rtl w:val="0"/>
        </w:rPr>
        <w:t xml:space="preserve">Add “flint_and_steel” to “inventory”.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“action” is equal to “Inspect bushes”: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Display the text “You step closer to the dense thorns. You feel nervous around them. At the end you see a light shimmering from the ceiling…”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“Enter bushes”: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 “no_bush” is equal to False: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Display the text “You attempt to push through the bushes, but you are severely wounded from the sharp thorns. You retreat for now back into the main area.”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Set “health” to relative negative 20.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Elif “no_bush” is equal to True: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“You easily slide through the bushes. You find yourself in front of a ladder.”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If “action” is equal to “ascend/go up/grab ladder”: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Set “level” to 3.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“action” is equal to “Use flint and steel”: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Display the text “You go near the bushes and light the flint and steel. The thorns of the bushes are now nonexistent.”</w:t>
      </w:r>
    </w:p>
    <w:p w:rsidR="00000000" w:rsidDel="00000000" w:rsidP="00000000" w:rsidRDefault="00000000" w:rsidRPr="00000000">
      <w:pPr>
        <w:ind w:left="1440" w:firstLine="72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 “no_bush” to True.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