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1585531</wp:posOffset>
            </wp:positionH>
            <wp:positionV relativeFrom="paragraph">
              <wp:posOffset>0</wp:posOffset>
            </wp:positionV>
            <wp:extent cx="2772537" cy="2442437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537" cy="244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Perpend 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Presents…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00b050"/>
          <w:sz w:val="96"/>
          <w:szCs w:val="96"/>
          <w:u w:val="single"/>
          <w:rtl w:val="0"/>
        </w:rPr>
        <w:t xml:space="preserve">Speed Snail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Made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Conner Joseph Brewster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Jonathan V. Nguyen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Devon S. Chao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Rated E10+ for children ages 10 and up.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 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footer" Target="footer1.xml"/></Relationships>
</file>