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2217" w:rsidRDefault="00E82217" w:rsidP="00E82217">
      <w:pPr>
        <w:jc w:val="center"/>
        <w:rPr>
          <w:sz w:val="72"/>
          <w:szCs w:val="72"/>
        </w:rPr>
      </w:pPr>
    </w:p>
    <w:p w:rsidR="00E82217" w:rsidRDefault="00E82217" w:rsidP="00E82217">
      <w:pPr>
        <w:jc w:val="center"/>
        <w:rPr>
          <w:sz w:val="72"/>
          <w:szCs w:val="72"/>
        </w:rPr>
      </w:pPr>
    </w:p>
    <w:p w:rsidR="00E82217" w:rsidRDefault="00E82217" w:rsidP="00E82217">
      <w:pPr>
        <w:jc w:val="center"/>
        <w:rPr>
          <w:sz w:val="72"/>
          <w:szCs w:val="72"/>
        </w:rPr>
      </w:pPr>
    </w:p>
    <w:p w:rsidR="00E82217" w:rsidRPr="00E82217" w:rsidRDefault="00E82217" w:rsidP="00E82217">
      <w:pPr>
        <w:jc w:val="center"/>
        <w:rPr>
          <w:sz w:val="72"/>
          <w:szCs w:val="72"/>
        </w:rPr>
      </w:pPr>
      <w:r w:rsidRPr="00E82217">
        <w:rPr>
          <w:sz w:val="72"/>
          <w:szCs w:val="72"/>
        </w:rPr>
        <w:t>TECHNICAL ANALYSIS COURSEWORK</w:t>
      </w:r>
    </w:p>
    <w:p w:rsidR="00E82217" w:rsidRDefault="00E82217" w:rsidP="00E82217">
      <w:pPr>
        <w:jc w:val="center"/>
        <w:rPr>
          <w:i/>
          <w:sz w:val="48"/>
          <w:szCs w:val="48"/>
        </w:rPr>
      </w:pPr>
      <w:r w:rsidRPr="00E82217">
        <w:rPr>
          <w:i/>
          <w:sz w:val="48"/>
          <w:szCs w:val="48"/>
        </w:rPr>
        <w:t xml:space="preserve">Examining the effectiveness of MACD, RSI 30/70, and Golden Cross trading strategies </w:t>
      </w:r>
    </w:p>
    <w:p w:rsidR="00E82217" w:rsidRPr="00E82217" w:rsidRDefault="00E82217" w:rsidP="00E82217">
      <w:pPr>
        <w:jc w:val="center"/>
        <w:rPr>
          <w:b/>
          <w:i/>
          <w:sz w:val="48"/>
          <w:szCs w:val="48"/>
          <w:u w:val="single"/>
        </w:rPr>
      </w:pPr>
      <w:r>
        <w:rPr>
          <w:i/>
          <w:sz w:val="28"/>
          <w:szCs w:val="28"/>
        </w:rPr>
        <w:t xml:space="preserve">By </w:t>
      </w:r>
      <w:proofErr w:type="spellStart"/>
      <w:r>
        <w:rPr>
          <w:i/>
          <w:sz w:val="28"/>
          <w:szCs w:val="28"/>
        </w:rPr>
        <w:t>Krystof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Mincev</w:t>
      </w:r>
      <w:proofErr w:type="spellEnd"/>
      <w:r>
        <w:rPr>
          <w:i/>
          <w:sz w:val="28"/>
          <w:szCs w:val="28"/>
        </w:rPr>
        <w:t xml:space="preserve"> </w:t>
      </w:r>
      <w:r w:rsidRPr="00E82217">
        <w:rPr>
          <w:b/>
          <w:i/>
          <w:sz w:val="48"/>
          <w:szCs w:val="48"/>
          <w:u w:val="single"/>
        </w:rPr>
        <w:br w:type="page"/>
      </w:r>
    </w:p>
    <w:p w:rsidR="00634192" w:rsidRPr="003C6364" w:rsidRDefault="00001679" w:rsidP="003C6364">
      <w:pPr>
        <w:jc w:val="center"/>
        <w:rPr>
          <w:b/>
          <w:sz w:val="28"/>
          <w:szCs w:val="28"/>
          <w:u w:val="single"/>
        </w:rPr>
      </w:pPr>
      <w:r w:rsidRPr="003C6364">
        <w:rPr>
          <w:b/>
          <w:sz w:val="28"/>
          <w:szCs w:val="28"/>
          <w:u w:val="single"/>
        </w:rPr>
        <w:lastRenderedPageBreak/>
        <w:t>OBJECTIVES</w:t>
      </w:r>
    </w:p>
    <w:p w:rsidR="007D20D1" w:rsidRDefault="007D20D1" w:rsidP="007D20D1">
      <w:pPr>
        <w:jc w:val="both"/>
      </w:pPr>
      <w:proofErr w:type="spellStart"/>
      <w:r>
        <w:t>Cesari</w:t>
      </w:r>
      <w:proofErr w:type="spellEnd"/>
      <w:r>
        <w:t xml:space="preserve"> and </w:t>
      </w:r>
      <w:proofErr w:type="spellStart"/>
      <w:r>
        <w:t>Cremonini</w:t>
      </w:r>
      <w:proofErr w:type="spellEnd"/>
      <w:r>
        <w:t xml:space="preserve"> (2003) suggested that technical analysis is the oldest investment appraisal technique used to beat markets. </w:t>
      </w:r>
      <w:r w:rsidR="008851E9">
        <w:t>TA</w:t>
      </w:r>
      <w:r>
        <w:t xml:space="preserve"> allows traders to evaluate the ‘breadth and duration of price trends’, providing evidence for immediate market movements before fundamental analysis (Doug </w:t>
      </w:r>
      <w:proofErr w:type="spellStart"/>
      <w:r>
        <w:t>Standefer</w:t>
      </w:r>
      <w:proofErr w:type="spellEnd"/>
      <w:r>
        <w:t>, June 2003).</w:t>
      </w:r>
      <w:r w:rsidR="005F4C45">
        <w:t xml:space="preserve"> </w:t>
      </w:r>
      <w:r w:rsidR="00863FEF">
        <w:t xml:space="preserve">It makes one assumption: </w:t>
      </w:r>
      <w:r w:rsidR="005F4C45">
        <w:t xml:space="preserve">past events are probable to re-occur in the future. </w:t>
      </w:r>
      <w:r>
        <w:t xml:space="preserve"> </w:t>
      </w:r>
    </w:p>
    <w:p w:rsidR="005F4C45" w:rsidRDefault="005F4C45" w:rsidP="007D20D1">
      <w:pPr>
        <w:jc w:val="both"/>
        <w:rPr>
          <w:b/>
          <w:u w:val="single"/>
        </w:rPr>
      </w:pPr>
      <w:r>
        <w:t xml:space="preserve">In this report three basic (RSI, MACD, and Golden Cross), as well as one complex (MACD and RSI), trading strategies, reliant upon </w:t>
      </w:r>
      <w:r w:rsidR="008851E9">
        <w:t>TA</w:t>
      </w:r>
      <w:r>
        <w:t>, shall be examined. The report utilises Boyd Gaming Corporation stock data</w:t>
      </w:r>
      <w:r w:rsidR="003B5DF8">
        <w:t>, a company trading on the NYSE,</w:t>
      </w:r>
      <w:r>
        <w:t xml:space="preserve"> generated from yahoo.finance.com. The data ranges from 01.01.10 – 31.10.14, and shall be divided into three subgroups. </w:t>
      </w:r>
      <w:r w:rsidR="003B5DF8">
        <w:t>T</w:t>
      </w:r>
      <w:r w:rsidR="008851E9">
        <w:t xml:space="preserve">he overarching aim </w:t>
      </w:r>
      <w:r>
        <w:t xml:space="preserve">is to determine </w:t>
      </w:r>
      <w:r w:rsidR="00863FEF">
        <w:t xml:space="preserve">the most profitable trading strategy, and evaluate if it </w:t>
      </w:r>
      <w:r w:rsidR="0005445E">
        <w:t>outperforms</w:t>
      </w:r>
      <w:r>
        <w:t xml:space="preserve"> a simple buy-and-hold trading strategy.  </w:t>
      </w:r>
    </w:p>
    <w:p w:rsidR="007D20D1" w:rsidRDefault="007D20D1" w:rsidP="008824CE">
      <w:pPr>
        <w:jc w:val="both"/>
        <w:rPr>
          <w:b/>
          <w:u w:val="single"/>
        </w:rPr>
      </w:pPr>
      <w:r>
        <w:t xml:space="preserve"> </w:t>
      </w:r>
    </w:p>
    <w:p w:rsidR="00E90E2A" w:rsidRPr="003C6364" w:rsidRDefault="00673514" w:rsidP="003C6364">
      <w:pPr>
        <w:jc w:val="center"/>
        <w:rPr>
          <w:b/>
          <w:sz w:val="24"/>
          <w:szCs w:val="24"/>
          <w:u w:val="single"/>
        </w:rPr>
      </w:pPr>
      <w:r w:rsidRPr="003C6364">
        <w:rPr>
          <w:b/>
          <w:sz w:val="24"/>
          <w:szCs w:val="24"/>
          <w:u w:val="single"/>
        </w:rPr>
        <w:t>TRADING ENVIRONMENT</w:t>
      </w:r>
    </w:p>
    <w:p w:rsidR="002E42C2" w:rsidRPr="002E42C2" w:rsidRDefault="002E42C2" w:rsidP="008824CE">
      <w:pPr>
        <w:jc w:val="both"/>
        <w:rPr>
          <w:i/>
        </w:rPr>
      </w:pPr>
      <w:r w:rsidRPr="002E42C2">
        <w:rPr>
          <w:i/>
        </w:rPr>
        <w:t>Margin requirement:</w:t>
      </w:r>
    </w:p>
    <w:p w:rsidR="00F62F5F" w:rsidRDefault="00F62F5F" w:rsidP="008824CE">
      <w:pPr>
        <w:jc w:val="both"/>
      </w:pPr>
      <w:r>
        <w:t>‘Interactive Brokers’ require</w:t>
      </w:r>
      <w:r w:rsidR="002E42C2">
        <w:t xml:space="preserve"> a minimum initial margin of</w:t>
      </w:r>
      <w:r>
        <w:t xml:space="preserve"> 25%*(Stock Value)</w:t>
      </w:r>
      <w:r w:rsidR="00FC1D5B">
        <w:t>/</w:t>
      </w:r>
      <w:r w:rsidR="00FC1D5B" w:rsidRPr="00FC1D5B">
        <w:t xml:space="preserve"> </w:t>
      </w:r>
      <w:r w:rsidR="00FC1D5B">
        <w:t>30%*(Stock Value)</w:t>
      </w:r>
      <w:r>
        <w:t>, and an equal maintenance margin, for long</w:t>
      </w:r>
      <w:r w:rsidR="00FC1D5B">
        <w:t>/short</w:t>
      </w:r>
      <w:r>
        <w:t xml:space="preserve"> positions</w:t>
      </w:r>
      <w:r w:rsidR="008851E9">
        <w:t xml:space="preserve"> </w:t>
      </w:r>
      <w:r w:rsidR="002E42C2">
        <w:t xml:space="preserve">Since this is in line with regulatory requirements, throughout this report we shall assume these margin requirements. </w:t>
      </w:r>
    </w:p>
    <w:p w:rsidR="002E42C2" w:rsidRPr="002E42C2" w:rsidRDefault="002E42C2" w:rsidP="008824CE">
      <w:pPr>
        <w:jc w:val="both"/>
        <w:rPr>
          <w:i/>
        </w:rPr>
      </w:pPr>
      <w:r w:rsidRPr="002E42C2">
        <w:rPr>
          <w:i/>
        </w:rPr>
        <w:t xml:space="preserve">Transaction costs: </w:t>
      </w:r>
    </w:p>
    <w:p w:rsidR="002E42C2" w:rsidRDefault="002E42C2" w:rsidP="008824CE">
      <w:pPr>
        <w:jc w:val="both"/>
      </w:pPr>
      <w:r>
        <w:t xml:space="preserve">‘Interactive Brokers’ </w:t>
      </w:r>
      <w:r w:rsidR="00FC1D5B">
        <w:t>charges</w:t>
      </w:r>
      <w:r w:rsidR="0020781C">
        <w:t xml:space="preserve"> $0.58 </w:t>
      </w:r>
      <w:r w:rsidR="000A66F7">
        <w:t xml:space="preserve">per 100 share </w:t>
      </w:r>
      <w:r w:rsidR="003C68F1">
        <w:t xml:space="preserve">US equity </w:t>
      </w:r>
      <w:r w:rsidR="000A66F7">
        <w:t>purchase</w:t>
      </w:r>
      <w:r w:rsidR="00AA2154">
        <w:t>, for NYSE</w:t>
      </w:r>
      <w:r w:rsidR="000A66F7">
        <w:t xml:space="preserve">. </w:t>
      </w:r>
      <w:r w:rsidR="00FC1D5B">
        <w:t>A</w:t>
      </w:r>
      <w:r w:rsidR="000A66F7">
        <w:t xml:space="preserve"> more conservative figure of 0.02% per transaction shall be assumed. </w:t>
      </w:r>
    </w:p>
    <w:p w:rsidR="000A66F7" w:rsidRPr="000A66F7" w:rsidRDefault="000A66F7" w:rsidP="008824CE">
      <w:pPr>
        <w:jc w:val="both"/>
        <w:rPr>
          <w:i/>
        </w:rPr>
      </w:pPr>
      <w:r w:rsidRPr="000A66F7">
        <w:rPr>
          <w:i/>
        </w:rPr>
        <w:t>Margin rate</w:t>
      </w:r>
      <w:r w:rsidR="003C68F1">
        <w:rPr>
          <w:i/>
        </w:rPr>
        <w:t>/ Interest charged</w:t>
      </w:r>
      <w:r w:rsidRPr="000A66F7">
        <w:rPr>
          <w:i/>
        </w:rPr>
        <w:t xml:space="preserve">: </w:t>
      </w:r>
    </w:p>
    <w:p w:rsidR="0020781C" w:rsidRPr="00F62F5F" w:rsidRDefault="00802029" w:rsidP="008824CE">
      <w:pPr>
        <w:jc w:val="both"/>
      </w:pPr>
      <w:r>
        <w:t xml:space="preserve">A </w:t>
      </w:r>
      <w:r w:rsidR="003C68F1">
        <w:t xml:space="preserve">comparison of margin rates charged by 14 brokers in November 2013, highlights that the </w:t>
      </w:r>
      <w:r>
        <w:t>industry rates ranged around 6%.</w:t>
      </w:r>
      <w:r w:rsidR="003C68F1">
        <w:t xml:space="preserve"> </w:t>
      </w:r>
      <w:r>
        <w:t>Although,</w:t>
      </w:r>
      <w:r w:rsidR="003C68F1">
        <w:t xml:space="preserve"> </w:t>
      </w:r>
      <w:r>
        <w:t xml:space="preserve">‘Interactive Brokers’ currently charge 1.6% upon the first $100k borrowed, </w:t>
      </w:r>
      <w:r w:rsidR="003C68F1">
        <w:t>we assume a more conservative fixed margin rate of 6% throughout this report.</w:t>
      </w:r>
    </w:p>
    <w:p w:rsidR="00673514" w:rsidRDefault="00673514" w:rsidP="008824CE">
      <w:pPr>
        <w:jc w:val="both"/>
        <w:rPr>
          <w:b/>
          <w:u w:val="single"/>
        </w:rPr>
      </w:pPr>
      <w:r>
        <w:rPr>
          <w:noProof/>
          <w:lang w:eastAsia="en-GB"/>
        </w:rPr>
        <w:drawing>
          <wp:inline distT="0" distB="0" distL="0" distR="0" wp14:anchorId="247C38FA" wp14:editId="4CA2A536">
            <wp:extent cx="3856383" cy="2583778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3743" t="16543" r="30733" b="17284"/>
                    <a:stretch/>
                  </pic:blipFill>
                  <pic:spPr bwMode="auto">
                    <a:xfrm>
                      <a:off x="0" y="0"/>
                      <a:ext cx="3858609" cy="2585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3514" w:rsidRDefault="003C68F1" w:rsidP="008824CE">
      <w:pPr>
        <w:jc w:val="both"/>
        <w:rPr>
          <w:b/>
          <w:u w:val="single"/>
        </w:rPr>
      </w:pPr>
      <w:r w:rsidRPr="003C68F1">
        <w:rPr>
          <w:i/>
        </w:rPr>
        <w:lastRenderedPageBreak/>
        <w:t>(</w:t>
      </w:r>
      <w:r w:rsidR="00970B76">
        <w:rPr>
          <w:i/>
        </w:rPr>
        <w:t xml:space="preserve">The Margin Investor, </w:t>
      </w:r>
      <w:r w:rsidRPr="003C68F1">
        <w:rPr>
          <w:i/>
        </w:rPr>
        <w:t>November 2013)</w:t>
      </w:r>
    </w:p>
    <w:p w:rsidR="00673514" w:rsidRDefault="003C68F1" w:rsidP="008824CE">
      <w:pPr>
        <w:jc w:val="both"/>
        <w:rPr>
          <w:i/>
        </w:rPr>
      </w:pPr>
      <w:r>
        <w:rPr>
          <w:i/>
        </w:rPr>
        <w:t>Money market rate/Interest received:</w:t>
      </w:r>
    </w:p>
    <w:p w:rsidR="003C68F1" w:rsidRDefault="003C68F1" w:rsidP="008824CE">
      <w:pPr>
        <w:jc w:val="both"/>
      </w:pPr>
      <w:r>
        <w:t>‘Interactive Brokers’ p</w:t>
      </w:r>
      <w:r w:rsidR="005D2163">
        <w:t>ays</w:t>
      </w:r>
      <w:r>
        <w:t xml:space="preserve"> 0% interest on credit cash deposits, and an equal rate on short sale cash proceeds. </w:t>
      </w:r>
      <w:r w:rsidR="00802029">
        <w:t>W</w:t>
      </w:r>
      <w:r>
        <w:t>e assume a 0% interest payment (received).</w:t>
      </w:r>
    </w:p>
    <w:p w:rsidR="00AA2154" w:rsidRDefault="00AA2154" w:rsidP="008824CE">
      <w:pPr>
        <w:jc w:val="both"/>
        <w:rPr>
          <w:i/>
        </w:rPr>
      </w:pPr>
      <w:r>
        <w:rPr>
          <w:i/>
        </w:rPr>
        <w:t>Trade Execution:</w:t>
      </w:r>
    </w:p>
    <w:p w:rsidR="00AA2154" w:rsidRPr="00AA2154" w:rsidRDefault="00802029" w:rsidP="008824CE">
      <w:pPr>
        <w:jc w:val="both"/>
      </w:pPr>
      <w:r>
        <w:t>‘Interactive Brokers’ provides</w:t>
      </w:r>
      <w:r w:rsidR="00AA2154">
        <w:t xml:space="preserve"> instantaneous access to markets for US equities trading on the NYSE. </w:t>
      </w:r>
      <w:r>
        <w:t>W</w:t>
      </w:r>
      <w:r w:rsidR="00AA2154">
        <w:t>e shall assume no delay in the execution of trade orders.</w:t>
      </w:r>
    </w:p>
    <w:p w:rsidR="003C68F1" w:rsidRDefault="003C68F1" w:rsidP="008824CE">
      <w:pPr>
        <w:jc w:val="both"/>
        <w:rPr>
          <w:i/>
        </w:rPr>
      </w:pPr>
      <w:r w:rsidRPr="003C68F1">
        <w:rPr>
          <w:i/>
        </w:rPr>
        <w:t xml:space="preserve">Equity: </w:t>
      </w:r>
    </w:p>
    <w:p w:rsidR="00323B23" w:rsidRDefault="003C68F1" w:rsidP="008824CE">
      <w:pPr>
        <w:jc w:val="both"/>
      </w:pPr>
      <w:r>
        <w:t>An initial equity size of $1000000 is assumed</w:t>
      </w:r>
      <w:r w:rsidR="00323B23">
        <w:t xml:space="preserve">; however, a restriction of 90% is placed on equity </w:t>
      </w:r>
      <w:r w:rsidR="005D2163">
        <w:t>exposure</w:t>
      </w:r>
      <w:r w:rsidR="00323B23">
        <w:t xml:space="preserve">. </w:t>
      </w:r>
    </w:p>
    <w:p w:rsidR="00323B23" w:rsidRDefault="00323B23" w:rsidP="008824CE">
      <w:pPr>
        <w:jc w:val="both"/>
        <w:rPr>
          <w:i/>
        </w:rPr>
      </w:pPr>
      <w:r w:rsidRPr="00323B23">
        <w:rPr>
          <w:i/>
        </w:rPr>
        <w:t>Stop Loss:</w:t>
      </w:r>
    </w:p>
    <w:p w:rsidR="00323B23" w:rsidRDefault="007B42D3" w:rsidP="008824CE">
      <w:pPr>
        <w:jc w:val="both"/>
      </w:pPr>
      <w:r>
        <w:t xml:space="preserve">Thomas N. </w:t>
      </w:r>
      <w:proofErr w:type="spellStart"/>
      <w:r w:rsidR="00323B23">
        <w:t>Bulkowski</w:t>
      </w:r>
      <w:proofErr w:type="spellEnd"/>
      <w:r w:rsidR="00323B23">
        <w:t xml:space="preserve"> </w:t>
      </w:r>
      <w:r>
        <w:t xml:space="preserve">(2013) </w:t>
      </w:r>
      <w:r w:rsidR="00323B23">
        <w:t>found that although both an initial stop and trailing stop loss decreased the maximum loss experienced during trading</w:t>
      </w:r>
      <w:r w:rsidR="00EF2F7B">
        <w:t xml:space="preserve">, they hurt the overall performance of a RSI trading strategy; trades were stopped out before significant returns could be achieved. </w:t>
      </w:r>
      <w:r>
        <w:t xml:space="preserve">Consequently, </w:t>
      </w:r>
      <w:r w:rsidR="00EF2F7B">
        <w:t xml:space="preserve">no stop loss shall be set throughout this report; we wish to preserve the same trading environment for all strategies. </w:t>
      </w:r>
    </w:p>
    <w:p w:rsidR="00322847" w:rsidRPr="00323B23" w:rsidRDefault="00802029" w:rsidP="008824CE">
      <w:pPr>
        <w:jc w:val="both"/>
      </w:pPr>
      <w:r w:rsidRPr="006C3B5F">
        <w:t>(</w:t>
      </w:r>
      <w:hyperlink r:id="rId8" w:history="1">
        <w:r w:rsidRPr="006C3B5F">
          <w:t xml:space="preserve">Thomas </w:t>
        </w:r>
        <w:proofErr w:type="spellStart"/>
        <w:r w:rsidRPr="006C3B5F">
          <w:t>Bulkowski’s</w:t>
        </w:r>
        <w:proofErr w:type="spellEnd"/>
      </w:hyperlink>
      <w:r w:rsidRPr="006C3B5F">
        <w:t>, 2013)</w:t>
      </w:r>
    </w:p>
    <w:p w:rsidR="003C68F1" w:rsidRPr="003C6364" w:rsidRDefault="00322847" w:rsidP="003C6364">
      <w:pPr>
        <w:jc w:val="center"/>
        <w:rPr>
          <w:b/>
          <w:sz w:val="24"/>
          <w:szCs w:val="24"/>
          <w:u w:val="single"/>
        </w:rPr>
      </w:pPr>
      <w:r w:rsidRPr="003C6364">
        <w:rPr>
          <w:b/>
          <w:sz w:val="24"/>
          <w:szCs w:val="24"/>
          <w:u w:val="single"/>
        </w:rPr>
        <w:t>TECHNICAL ANALYSIS:</w:t>
      </w:r>
    </w:p>
    <w:p w:rsidR="00E90E2A" w:rsidRDefault="005E521B" w:rsidP="008824CE">
      <w:pPr>
        <w:jc w:val="both"/>
        <w:rPr>
          <w:b/>
          <w:u w:val="single"/>
        </w:rPr>
      </w:pPr>
      <w:r>
        <w:rPr>
          <w:b/>
          <w:u w:val="single"/>
        </w:rPr>
        <w:t>GOLDE</w:t>
      </w:r>
      <w:r w:rsidR="00F6464E">
        <w:rPr>
          <w:b/>
          <w:u w:val="single"/>
        </w:rPr>
        <w:t>N CROSS</w:t>
      </w:r>
    </w:p>
    <w:p w:rsidR="004D5E53" w:rsidRDefault="004D5E53" w:rsidP="008824CE">
      <w:pPr>
        <w:jc w:val="both"/>
      </w:pPr>
      <w:r>
        <w:t xml:space="preserve">The </w:t>
      </w:r>
      <w:r w:rsidR="007B42D3">
        <w:t>‘</w:t>
      </w:r>
      <w:r>
        <w:t>Golden Cross</w:t>
      </w:r>
      <w:r w:rsidR="007B42D3">
        <w:t>’</w:t>
      </w:r>
      <w:r>
        <w:t xml:space="preserve"> typically refers to trading strategy implementing the intersection between a 50 day Moving Average and a 200 day MA. </w:t>
      </w:r>
      <w:r w:rsidR="007B42D3">
        <w:t>I</w:t>
      </w:r>
      <w:r>
        <w:t xml:space="preserve">n our analysis, we encapsulate </w:t>
      </w:r>
      <w:r w:rsidR="005E521B">
        <w:t>a range of</w:t>
      </w:r>
      <w:r>
        <w:t xml:space="preserve"> MA lengths</w:t>
      </w:r>
      <w:r w:rsidR="007B42D3">
        <w:t xml:space="preserve"> under this heading, attempting </w:t>
      </w:r>
      <w:r w:rsidR="00673514">
        <w:t>to find</w:t>
      </w:r>
      <w:r w:rsidR="005E521B">
        <w:t xml:space="preserve"> the true golden </w:t>
      </w:r>
      <w:r w:rsidR="007B42D3">
        <w:t>cross</w:t>
      </w:r>
      <w:r>
        <w:t xml:space="preserve">. </w:t>
      </w:r>
      <w:r w:rsidR="007B42D3">
        <w:t>To calculate the MA use the following equation</w:t>
      </w:r>
      <w:r>
        <w:t xml:space="preserve">: </w:t>
      </w:r>
    </w:p>
    <w:p w:rsidR="004D5E53" w:rsidRDefault="004D5E53" w:rsidP="008824CE">
      <w:pPr>
        <w:jc w:val="both"/>
      </w:pPr>
      <w:r>
        <w:rPr>
          <w:noProof/>
          <w:lang w:eastAsia="en-GB"/>
        </w:rPr>
        <w:drawing>
          <wp:inline distT="0" distB="0" distL="0" distR="0" wp14:anchorId="16A8F305" wp14:editId="6A7FB798">
            <wp:extent cx="1248355" cy="74548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7817" t="47654" r="64048" b="43704"/>
                    <a:stretch/>
                  </pic:blipFill>
                  <pic:spPr bwMode="auto">
                    <a:xfrm>
                      <a:off x="0" y="0"/>
                      <a:ext cx="1251625" cy="74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4184B">
        <w:t xml:space="preserve"> (</w:t>
      </w:r>
      <w:proofErr w:type="spellStart"/>
      <w:r w:rsidR="00A4184B">
        <w:t>Jasemi</w:t>
      </w:r>
      <w:proofErr w:type="spellEnd"/>
      <w:r w:rsidR="00A4184B">
        <w:t xml:space="preserve"> and </w:t>
      </w:r>
      <w:proofErr w:type="spellStart"/>
      <w:r w:rsidR="00A4184B">
        <w:t>Kimiagari</w:t>
      </w:r>
      <w:proofErr w:type="spellEnd"/>
      <w:r w:rsidR="00A4184B">
        <w:t>, 2012, page 3)</w:t>
      </w:r>
    </w:p>
    <w:p w:rsidR="00F6464E" w:rsidRDefault="004D5E53" w:rsidP="008824CE">
      <w:pPr>
        <w:jc w:val="both"/>
      </w:pPr>
      <w:r>
        <w:t xml:space="preserve">N </w:t>
      </w:r>
      <w:r w:rsidR="007B42D3">
        <w:t xml:space="preserve">= </w:t>
      </w:r>
      <w:r>
        <w:t xml:space="preserve">period length (N successive </w:t>
      </w:r>
      <w:r w:rsidR="005A6F8C">
        <w:t xml:space="preserve">daily closing </w:t>
      </w:r>
      <w:r>
        <w:t>prices)</w:t>
      </w:r>
      <w:r w:rsidR="005A6F8C">
        <w:t xml:space="preserve">, T </w:t>
      </w:r>
      <w:r w:rsidR="007B42D3">
        <w:t xml:space="preserve">= </w:t>
      </w:r>
      <w:r w:rsidR="005A6F8C">
        <w:t xml:space="preserve">time period. </w:t>
      </w:r>
    </w:p>
    <w:p w:rsidR="00811B32" w:rsidRDefault="007B42D3" w:rsidP="008824CE">
      <w:pPr>
        <w:jc w:val="both"/>
      </w:pPr>
      <w:r>
        <w:t>T</w:t>
      </w:r>
      <w:r w:rsidR="005A6F8C">
        <w:t>hrough an example, the calculation of MA</w:t>
      </w:r>
      <w:r w:rsidR="005A6F8C">
        <w:rPr>
          <w:vertAlign w:val="subscript"/>
        </w:rPr>
        <w:t>5</w:t>
      </w:r>
      <w:r w:rsidR="005A6F8C">
        <w:t xml:space="preserve"> </w:t>
      </w:r>
      <w:r>
        <w:t xml:space="preserve">involves taking five recent successive </w:t>
      </w:r>
      <w:r w:rsidR="005A6F8C">
        <w:t xml:space="preserve">security prices, summing them, and dividing by five; this is a simple moving average. Although, ETFHQ, in an article entitled ‘Golden Cross - Which is better’, </w:t>
      </w:r>
      <w:r>
        <w:t>argues</w:t>
      </w:r>
      <w:r w:rsidR="005A6F8C">
        <w:t xml:space="preserve"> exponential MA</w:t>
      </w:r>
      <w:r>
        <w:t>s outperform</w:t>
      </w:r>
      <w:r w:rsidR="005A6F8C">
        <w:t xml:space="preserve"> simple MA</w:t>
      </w:r>
      <w:r>
        <w:t>s</w:t>
      </w:r>
      <w:r w:rsidR="005A6F8C">
        <w:t xml:space="preserve"> by ‘</w:t>
      </w:r>
      <w:r w:rsidR="005A6F8C" w:rsidRPr="005E521B">
        <w:t>by well over a percentage point on average’ (</w:t>
      </w:r>
      <w:r w:rsidR="00EC5586">
        <w:t>ETFHQ</w:t>
      </w:r>
      <w:r w:rsidR="0074048B">
        <w:t>, 2013</w:t>
      </w:r>
      <w:r w:rsidR="00EC5586">
        <w:t>)</w:t>
      </w:r>
      <w:r w:rsidR="005E521B">
        <w:t>, we sha</w:t>
      </w:r>
      <w:r w:rsidR="00811B32">
        <w:t>ll concentrate on the simple MA.</w:t>
      </w:r>
    </w:p>
    <w:p w:rsidR="0074048B" w:rsidRDefault="00811B32" w:rsidP="0074048B">
      <w:pPr>
        <w:jc w:val="both"/>
      </w:pPr>
      <w:r>
        <w:t>(</w:t>
      </w:r>
      <w:r w:rsidR="0074048B" w:rsidRPr="0074048B">
        <w:t>http://etfhq.com/blog/2013/01/15/golden-cross-which-is-the-best/</w:t>
      </w:r>
      <w:r>
        <w:t>)</w:t>
      </w:r>
      <w:r w:rsidR="0074048B">
        <w:t xml:space="preserve"> </w:t>
      </w:r>
      <w:r w:rsidR="0074048B">
        <w:t>(Forbes, 2013)</w:t>
      </w:r>
    </w:p>
    <w:p w:rsidR="005E521B" w:rsidRDefault="005E521B" w:rsidP="008824CE">
      <w:pPr>
        <w:jc w:val="both"/>
      </w:pPr>
    </w:p>
    <w:p w:rsidR="00101755" w:rsidRDefault="007B42D3" w:rsidP="008824CE">
      <w:pPr>
        <w:jc w:val="both"/>
      </w:pPr>
      <w:r>
        <w:lastRenderedPageBreak/>
        <w:t>A</w:t>
      </w:r>
      <w:r w:rsidR="005E521B">
        <w:t xml:space="preserve"> buy</w:t>
      </w:r>
      <w:r w:rsidR="00E75953">
        <w:t>/sell</w:t>
      </w:r>
      <w:r w:rsidR="005E521B">
        <w:t xml:space="preserve"> signal (long</w:t>
      </w:r>
      <w:r w:rsidR="00E75953">
        <w:t>/short</w:t>
      </w:r>
      <w:r w:rsidR="005E521B">
        <w:t>) shall be interpreted to occur when the ‘short’ MA crosses the ‘long’ MA from bellow</w:t>
      </w:r>
      <w:r w:rsidR="00E75953">
        <w:t>/above. We</w:t>
      </w:r>
      <w:r w:rsidR="00811B32">
        <w:t xml:space="preserve"> assume a band length (difference required to implement trade) of zero (fixed length MA). A Forbes article (</w:t>
      </w:r>
      <w:r w:rsidR="00811B32" w:rsidRPr="000446B3">
        <w:t>4/15/2013</w:t>
      </w:r>
      <w:r w:rsidR="00811B32" w:rsidRPr="00D207B6">
        <w:t xml:space="preserve">) </w:t>
      </w:r>
      <w:r w:rsidR="00811B32">
        <w:t xml:space="preserve">found a MA (50,200) strategy generated </w:t>
      </w:r>
      <w:r w:rsidR="00FA6C76">
        <w:t xml:space="preserve">an annualized return of </w:t>
      </w:r>
      <w:r w:rsidR="00811B32">
        <w:t xml:space="preserve">1.54% from 2009, with 58% trade efficiency.  </w:t>
      </w:r>
    </w:p>
    <w:p w:rsidR="00101755" w:rsidRDefault="00E75953" w:rsidP="008824CE">
      <w:pPr>
        <w:jc w:val="both"/>
      </w:pPr>
      <w:r>
        <w:t>(Forbes, 2013)</w:t>
      </w:r>
    </w:p>
    <w:p w:rsidR="00EC5586" w:rsidRPr="00101755" w:rsidRDefault="00D931AB" w:rsidP="008824CE">
      <w:pPr>
        <w:jc w:val="both"/>
      </w:pPr>
      <w:r w:rsidRPr="00D931AB">
        <w:rPr>
          <w:i/>
        </w:rPr>
        <w:t>Training Set Optimization (04.01.10 - 02.01.13):</w:t>
      </w:r>
    </w:p>
    <w:p w:rsidR="002737C2" w:rsidRPr="002737C2" w:rsidRDefault="002737C2" w:rsidP="008824CE">
      <w:pPr>
        <w:jc w:val="both"/>
      </w:pPr>
      <w:r>
        <w:t>Using ‘</w:t>
      </w:r>
      <w:proofErr w:type="spellStart"/>
      <w:r>
        <w:t>MetaStocks</w:t>
      </w:r>
      <w:proofErr w:type="spellEnd"/>
      <w:r>
        <w:t xml:space="preserve"> System Tester’ </w:t>
      </w:r>
      <w:r w:rsidR="00275D17">
        <w:t xml:space="preserve">two </w:t>
      </w:r>
      <w:r w:rsidR="00C81234">
        <w:t>test</w:t>
      </w:r>
      <w:r w:rsidR="00275D17">
        <w:t>s</w:t>
      </w:r>
      <w:r w:rsidR="00C81234">
        <w:t xml:space="preserve"> w</w:t>
      </w:r>
      <w:r w:rsidR="00275D17">
        <w:t>ere</w:t>
      </w:r>
      <w:r w:rsidR="00C81234">
        <w:t xml:space="preserve"> run on the BYD data </w:t>
      </w:r>
      <w:r w:rsidR="00C81234" w:rsidRPr="00C81234">
        <w:t>from (04.01.10 - 02.01.13)</w:t>
      </w:r>
      <w:r w:rsidR="00C81234">
        <w:t>. The lengths of the SMA (N</w:t>
      </w:r>
      <w:r w:rsidR="00C81234">
        <w:rPr>
          <w:vertAlign w:val="subscript"/>
        </w:rPr>
        <w:t>1</w:t>
      </w:r>
      <w:r w:rsidR="00C81234">
        <w:t>) and the LMA (N</w:t>
      </w:r>
      <w:r w:rsidR="00C81234">
        <w:rPr>
          <w:vertAlign w:val="subscript"/>
        </w:rPr>
        <w:t>2</w:t>
      </w:r>
      <w:r w:rsidR="00C81234">
        <w:t>) were varied (N</w:t>
      </w:r>
      <w:r w:rsidR="00C81234">
        <w:rPr>
          <w:vertAlign w:val="subscript"/>
        </w:rPr>
        <w:t xml:space="preserve">1 </w:t>
      </w:r>
      <w:r w:rsidR="00C81234">
        <w:t>from 1-50</w:t>
      </w:r>
      <w:r w:rsidR="00275D17">
        <w:t>, N</w:t>
      </w:r>
      <w:r w:rsidR="00275D17">
        <w:rPr>
          <w:vertAlign w:val="subscript"/>
        </w:rPr>
        <w:t xml:space="preserve">2 </w:t>
      </w:r>
      <w:r w:rsidR="00275D17">
        <w:t>from 20-200</w:t>
      </w:r>
      <w:r w:rsidR="00C81234">
        <w:t xml:space="preserve">) to find the optimum crossover length; the results were judged by their % gains, with the </w:t>
      </w:r>
      <w:r w:rsidR="00275D17">
        <w:t>optimal</w:t>
      </w:r>
      <w:r w:rsidR="00C81234">
        <w:t xml:space="preserve"> cross length boasting the highest </w:t>
      </w:r>
      <w:r w:rsidR="00275D17">
        <w:t>% return</w:t>
      </w:r>
      <w:r w:rsidR="00E75953">
        <w:t xml:space="preserve"> (use throughout report)</w:t>
      </w:r>
      <w:r w:rsidR="00275D17">
        <w:t>. Below the 20 most profitable crosses</w:t>
      </w:r>
      <w:r w:rsidR="00E75953">
        <w:t xml:space="preserve"> </w:t>
      </w:r>
      <w:r w:rsidR="00275D17">
        <w:t xml:space="preserve">are plotted. </w:t>
      </w:r>
      <w:r w:rsidR="00E75953">
        <w:t>A</w:t>
      </w:r>
      <w:r w:rsidR="00275D17">
        <w:t xml:space="preserve"> detailed summary of the 10 most profitable strategies is presented:  </w:t>
      </w:r>
    </w:p>
    <w:p w:rsidR="00D931AB" w:rsidRDefault="0021001A" w:rsidP="008824CE">
      <w:pPr>
        <w:jc w:val="both"/>
      </w:pPr>
      <w:r>
        <w:rPr>
          <w:noProof/>
          <w:lang w:eastAsia="en-GB"/>
        </w:rPr>
        <w:drawing>
          <wp:inline distT="0" distB="0" distL="0" distR="0" wp14:anchorId="40B32593" wp14:editId="33B54CB3">
            <wp:extent cx="5709037" cy="2345635"/>
            <wp:effectExtent l="0" t="0" r="25400" b="17145"/>
            <wp:docPr id="3" name="Chart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C81234" w:rsidRDefault="00C81234" w:rsidP="008824CE">
      <w:pPr>
        <w:jc w:val="center"/>
        <w:rPr>
          <w:b/>
          <w:u w:val="single"/>
        </w:rPr>
      </w:pPr>
      <w:r>
        <w:rPr>
          <w:b/>
          <w:u w:val="single"/>
        </w:rPr>
        <w:t>10 Most Profitable Crossovers</w:t>
      </w:r>
    </w:p>
    <w:p w:rsidR="002737C2" w:rsidRDefault="00C81234" w:rsidP="008824CE">
      <w:pPr>
        <w:jc w:val="center"/>
        <w:rPr>
          <w:b/>
          <w:u w:val="single"/>
        </w:rPr>
      </w:pPr>
      <w:r w:rsidRPr="00C81234">
        <w:rPr>
          <w:noProof/>
          <w:lang w:eastAsia="en-GB"/>
        </w:rPr>
        <w:drawing>
          <wp:inline distT="0" distB="0" distL="0" distR="0" wp14:anchorId="4D4C2FC4" wp14:editId="7ED149A4">
            <wp:extent cx="4516120" cy="23056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120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805" w:rsidRPr="00F01805" w:rsidRDefault="00F01805" w:rsidP="008824CE">
      <w:pPr>
        <w:jc w:val="both"/>
        <w:rPr>
          <w:sz w:val="20"/>
          <w:szCs w:val="20"/>
        </w:rPr>
      </w:pPr>
      <w:r>
        <w:rPr>
          <w:sz w:val="20"/>
          <w:szCs w:val="20"/>
        </w:rPr>
        <w:t>*</w:t>
      </w:r>
      <w:r w:rsidRPr="00F01805">
        <w:rPr>
          <w:sz w:val="20"/>
          <w:szCs w:val="20"/>
        </w:rPr>
        <w:t>Note: above all % gains represent total returns</w:t>
      </w:r>
      <w:r w:rsidR="00970B76">
        <w:rPr>
          <w:sz w:val="20"/>
          <w:szCs w:val="20"/>
        </w:rPr>
        <w:t>; this shall apply throughout this report within tables.</w:t>
      </w:r>
      <w:r w:rsidRPr="00F01805">
        <w:rPr>
          <w:sz w:val="20"/>
          <w:szCs w:val="20"/>
        </w:rPr>
        <w:t xml:space="preserve"> </w:t>
      </w:r>
    </w:p>
    <w:p w:rsidR="0052269E" w:rsidRDefault="00275D17" w:rsidP="008824CE">
      <w:pPr>
        <w:jc w:val="both"/>
      </w:pPr>
      <w:r>
        <w:t xml:space="preserve">The analysis suggests the optimal/golden cross </w:t>
      </w:r>
      <w:r w:rsidR="00F01805">
        <w:t>occurs</w:t>
      </w:r>
      <w:r>
        <w:t xml:space="preserve"> </w:t>
      </w:r>
      <w:r w:rsidR="00F01805">
        <w:t>when</w:t>
      </w:r>
      <w:r>
        <w:t xml:space="preserve"> a 1 day MA </w:t>
      </w:r>
      <w:r w:rsidR="00F01805">
        <w:t xml:space="preserve">crosses a </w:t>
      </w:r>
      <w:r>
        <w:t>50 day MA.</w:t>
      </w:r>
      <w:r w:rsidR="00296091">
        <w:t xml:space="preserve"> </w:t>
      </w:r>
      <w:r w:rsidR="00E75953">
        <w:t>The</w:t>
      </w:r>
      <w:r w:rsidR="0052269E">
        <w:t xml:space="preserve"> </w:t>
      </w:r>
      <w:proofErr w:type="gramStart"/>
      <w:r w:rsidR="0052269E">
        <w:t>MA</w:t>
      </w:r>
      <w:r w:rsidR="00E75953">
        <w:t>(</w:t>
      </w:r>
      <w:proofErr w:type="gramEnd"/>
      <w:r w:rsidR="00E75953">
        <w:t xml:space="preserve">1,50) </w:t>
      </w:r>
      <w:r w:rsidR="0052269E">
        <w:t xml:space="preserve"> strategy yielded an annualized return of 2.03%, outperforming a buy-and-hold strategy by </w:t>
      </w:r>
      <w:r w:rsidR="0052269E">
        <w:lastRenderedPageBreak/>
        <w:t>2.37%</w:t>
      </w:r>
      <w:r w:rsidR="00101755">
        <w:t xml:space="preserve">. Additionally the </w:t>
      </w:r>
      <w:r w:rsidR="00544BDE">
        <w:t>strategy</w:t>
      </w:r>
      <w:r w:rsidR="0052269E">
        <w:t xml:space="preserve"> had an average total trade efficiency of 2.02%</w:t>
      </w:r>
      <w:r w:rsidR="00544BDE">
        <w:t>,</w:t>
      </w:r>
      <w:r w:rsidR="0052269E">
        <w:t xml:space="preserve"> </w:t>
      </w:r>
      <w:r w:rsidR="00E75953">
        <w:t xml:space="preserve">and </w:t>
      </w:r>
      <w:r w:rsidR="0052269E">
        <w:t xml:space="preserve">a reward/risk index value of 100%.  </w:t>
      </w:r>
    </w:p>
    <w:p w:rsidR="002737C2" w:rsidRPr="00275D17" w:rsidRDefault="00F01805" w:rsidP="008824CE">
      <w:pPr>
        <w:jc w:val="both"/>
      </w:pPr>
      <w:r>
        <w:t xml:space="preserve"> </w:t>
      </w:r>
      <w:r w:rsidR="00275D17">
        <w:t xml:space="preserve"> </w:t>
      </w:r>
    </w:p>
    <w:p w:rsidR="00275D17" w:rsidRDefault="00275D17" w:rsidP="008824CE">
      <w:pPr>
        <w:jc w:val="both"/>
        <w:rPr>
          <w:b/>
          <w:u w:val="single"/>
        </w:rPr>
      </w:pPr>
    </w:p>
    <w:p w:rsidR="00452DEB" w:rsidRPr="00E90E2A" w:rsidRDefault="00F6464E" w:rsidP="008824CE">
      <w:pPr>
        <w:jc w:val="both"/>
        <w:rPr>
          <w:b/>
          <w:u w:val="single"/>
        </w:rPr>
      </w:pPr>
      <w:r>
        <w:rPr>
          <w:b/>
          <w:u w:val="single"/>
        </w:rPr>
        <w:t>MACD</w:t>
      </w:r>
    </w:p>
    <w:p w:rsidR="00B630C2" w:rsidRDefault="00452DEB" w:rsidP="008824CE">
      <w:pPr>
        <w:jc w:val="both"/>
      </w:pPr>
      <w:r>
        <w:t xml:space="preserve">The Moving Average Convergence Divergence was proposed in 1979 by </w:t>
      </w:r>
      <w:r w:rsidRPr="00452DEB">
        <w:t>Gerald Appel.</w:t>
      </w:r>
      <w:r>
        <w:t xml:space="preserve"> The MACD </w:t>
      </w:r>
      <w:r w:rsidR="006E7EC0">
        <w:t>can unambiguously</w:t>
      </w:r>
      <w:r>
        <w:t xml:space="preserve"> account for both momentum and trend within security movements, and is highly correlated to its underlying security. To calculate the MACD a difference between the short term </w:t>
      </w:r>
      <w:r w:rsidR="00086509">
        <w:t>(N</w:t>
      </w:r>
      <w:r w:rsidR="00086509">
        <w:rPr>
          <w:vertAlign w:val="subscript"/>
        </w:rPr>
        <w:t>1</w:t>
      </w:r>
      <w:r w:rsidR="00086509">
        <w:t xml:space="preserve">) </w:t>
      </w:r>
      <w:r>
        <w:t xml:space="preserve">moving average </w:t>
      </w:r>
      <w:r w:rsidR="00086509">
        <w:t>and the long term (N</w:t>
      </w:r>
      <w:r w:rsidR="00086509">
        <w:rPr>
          <w:vertAlign w:val="subscript"/>
        </w:rPr>
        <w:t>2</w:t>
      </w:r>
      <w:r w:rsidR="00086509">
        <w:t>) moving average of a security’s prices is taken: N</w:t>
      </w:r>
      <w:r w:rsidR="00086509">
        <w:rPr>
          <w:vertAlign w:val="subscript"/>
        </w:rPr>
        <w:t xml:space="preserve">1 </w:t>
      </w:r>
      <w:r w:rsidR="00086509">
        <w:t>&lt; N</w:t>
      </w:r>
      <w:r w:rsidR="00086509">
        <w:rPr>
          <w:vertAlign w:val="subscript"/>
        </w:rPr>
        <w:t>2</w:t>
      </w:r>
      <w:r w:rsidR="00086509">
        <w:t>. The MACD fluctuates around 0 (when MA</w:t>
      </w:r>
      <w:r w:rsidR="00086509">
        <w:rPr>
          <w:vertAlign w:val="subscript"/>
        </w:rPr>
        <w:t>N1</w:t>
      </w:r>
      <w:r w:rsidR="00086509">
        <w:t>=MA</w:t>
      </w:r>
      <w:r w:rsidR="00086509">
        <w:rPr>
          <w:vertAlign w:val="subscript"/>
        </w:rPr>
        <w:t>N2</w:t>
      </w:r>
      <w:r w:rsidR="00086509">
        <w:t>)</w:t>
      </w:r>
      <w:r w:rsidR="00CD2713">
        <w:t>;</w:t>
      </w:r>
      <w:r w:rsidR="00086509" w:rsidRPr="00B630C2">
        <w:t xml:space="preserve"> positive values (positive divergence) </w:t>
      </w:r>
      <w:r w:rsidR="00CD2713">
        <w:t>signify</w:t>
      </w:r>
      <w:r w:rsidR="00086509" w:rsidRPr="00B630C2">
        <w:t xml:space="preserve"> bullish momentum, a</w:t>
      </w:r>
      <w:r w:rsidR="00B630C2" w:rsidRPr="00B630C2">
        <w:t xml:space="preserve">nd negative values signify </w:t>
      </w:r>
      <w:r w:rsidR="00086509" w:rsidRPr="00B630C2">
        <w:t>bearish momentum.</w:t>
      </w:r>
      <w:r w:rsidR="00B630C2">
        <w:t xml:space="preserve"> </w:t>
      </w:r>
    </w:p>
    <w:p w:rsidR="00452DEB" w:rsidRDefault="00CD2713" w:rsidP="008824CE">
      <w:pPr>
        <w:jc w:val="both"/>
      </w:pPr>
      <w:r>
        <w:t>T</w:t>
      </w:r>
      <w:r w:rsidR="00B630C2">
        <w:t xml:space="preserve">he MACD shall be implemented as part of a moving average crossover trading strategy. </w:t>
      </w:r>
      <w:r>
        <w:t>A</w:t>
      </w:r>
      <w:r w:rsidR="00B630C2">
        <w:t xml:space="preserve"> buy</w:t>
      </w:r>
      <w:r>
        <w:t>/sell</w:t>
      </w:r>
      <w:r w:rsidR="00B630C2">
        <w:t xml:space="preserve"> signal shall be </w:t>
      </w:r>
      <w:r w:rsidR="00E90E2A">
        <w:t>interpreted</w:t>
      </w:r>
      <w:r w:rsidR="00B630C2">
        <w:t xml:space="preserve"> as a cross by the MACD, of its signal line (the </w:t>
      </w:r>
      <w:proofErr w:type="spellStart"/>
      <w:r w:rsidR="00D561F4">
        <w:t>N</w:t>
      </w:r>
      <w:r w:rsidR="0074048B">
        <w:rPr>
          <w:vertAlign w:val="subscript"/>
        </w:rPr>
        <w:t>k</w:t>
      </w:r>
      <w:proofErr w:type="spellEnd"/>
      <w:r w:rsidR="006E7EC0">
        <w:t xml:space="preserve"> day </w:t>
      </w:r>
      <w:r>
        <w:t xml:space="preserve">simple </w:t>
      </w:r>
      <w:r w:rsidR="00B630C2">
        <w:t>MA of the MACD), from underneath</w:t>
      </w:r>
      <w:r>
        <w:t>/above. T</w:t>
      </w:r>
      <w:r w:rsidR="0074048B">
        <w:t>he value</w:t>
      </w:r>
      <w:r w:rsidR="00E90E2A">
        <w:t xml:space="preserve"> of </w:t>
      </w:r>
      <w:proofErr w:type="spellStart"/>
      <w:r w:rsidR="0074048B">
        <w:t>N</w:t>
      </w:r>
      <w:r w:rsidR="0074048B">
        <w:rPr>
          <w:vertAlign w:val="subscript"/>
        </w:rPr>
        <w:t>k</w:t>
      </w:r>
      <w:proofErr w:type="spellEnd"/>
      <w:r w:rsidR="00E90E2A">
        <w:t xml:space="preserve"> shall be varied, and optimized.</w:t>
      </w:r>
    </w:p>
    <w:p w:rsidR="006C3B5F" w:rsidRPr="006C3B5F" w:rsidRDefault="006C3B5F" w:rsidP="006C3B5F">
      <w:pPr>
        <w:jc w:val="both"/>
      </w:pPr>
      <w:r w:rsidRPr="006C3B5F">
        <w:rPr>
          <w:bCs/>
        </w:rPr>
        <w:t xml:space="preserve">(Trading stocks with MACD, Bhandari and </w:t>
      </w:r>
      <w:proofErr w:type="spellStart"/>
      <w:r w:rsidRPr="006C3B5F">
        <w:rPr>
          <w:bCs/>
        </w:rPr>
        <w:t>Bramesh</w:t>
      </w:r>
      <w:proofErr w:type="spellEnd"/>
      <w:r w:rsidRPr="006C3B5F">
        <w:rPr>
          <w:bCs/>
        </w:rPr>
        <w:t>, December 2011)</w:t>
      </w:r>
      <w:r w:rsidRPr="006C3B5F">
        <w:t xml:space="preserve"> </w:t>
      </w:r>
      <w:r>
        <w:t>(Forbes, 2013)</w:t>
      </w:r>
    </w:p>
    <w:p w:rsidR="00452DEB" w:rsidRDefault="006E7EC0" w:rsidP="008824CE">
      <w:pPr>
        <w:jc w:val="both"/>
      </w:pPr>
      <w:r>
        <w:t xml:space="preserve">Research by </w:t>
      </w:r>
      <w:r w:rsidR="00CD2713">
        <w:t>Huang, and Kim (2006)</w:t>
      </w:r>
      <w:r w:rsidR="00303CF5">
        <w:t xml:space="preserve"> found </w:t>
      </w:r>
      <w:r w:rsidR="00CD2713">
        <w:t xml:space="preserve">that trading strategies implementing the MACD outperformed </w:t>
      </w:r>
      <w:r w:rsidR="00C7044F">
        <w:t xml:space="preserve">a </w:t>
      </w:r>
      <w:r w:rsidR="00303CF5">
        <w:t>buy-and-hold strategy</w:t>
      </w:r>
      <w:r w:rsidR="00CD2713">
        <w:t>, for the DJIA (1983-2006)</w:t>
      </w:r>
      <w:r w:rsidR="00303CF5">
        <w:t xml:space="preserve">. </w:t>
      </w:r>
      <w:r w:rsidR="00303CF5" w:rsidRPr="00150474">
        <w:t xml:space="preserve">Chong and Ng (2008) </w:t>
      </w:r>
      <w:r w:rsidR="00303CF5">
        <w:t xml:space="preserve">discovered that a MACD strategy outperformed a buy-and-hold strategy </w:t>
      </w:r>
      <w:r w:rsidR="004A1FFE">
        <w:t>from July 1935 to January 1994 for the FT30. Finally, a Forbes article (</w:t>
      </w:r>
      <w:r w:rsidR="004A1FFE" w:rsidRPr="000446B3">
        <w:t>4/15/2013</w:t>
      </w:r>
      <w:r w:rsidR="004A1FFE" w:rsidRPr="00D207B6">
        <w:t xml:space="preserve">) </w:t>
      </w:r>
      <w:r w:rsidR="004A1FFE">
        <w:t>found a MACD strategy generated annualized returns of 1.85%</w:t>
      </w:r>
      <w:r w:rsidR="00B552BF">
        <w:t xml:space="preserve"> with </w:t>
      </w:r>
      <w:r w:rsidR="00F6464E">
        <w:t>59</w:t>
      </w:r>
      <w:r w:rsidR="00B552BF">
        <w:t xml:space="preserve">% </w:t>
      </w:r>
      <w:r w:rsidR="00F6464E">
        <w:t>trade efficiency</w:t>
      </w:r>
      <w:r w:rsidR="004A1FFE">
        <w:t>.</w:t>
      </w:r>
      <w:r w:rsidR="00303CF5">
        <w:t xml:space="preserve">    </w:t>
      </w:r>
    </w:p>
    <w:p w:rsidR="00A4184B" w:rsidRPr="00970B76" w:rsidRDefault="00A4184B" w:rsidP="00A4184B">
      <w:pPr>
        <w:jc w:val="both"/>
      </w:pPr>
      <w:r>
        <w:t xml:space="preserve">(A test of MACD trading strategy, Bill Huang &amp; Yong </w:t>
      </w:r>
      <w:proofErr w:type="spellStart"/>
      <w:r>
        <w:t>Soo</w:t>
      </w:r>
      <w:proofErr w:type="spellEnd"/>
      <w:r>
        <w:t xml:space="preserve"> Kim, 2006)</w:t>
      </w:r>
      <w:r w:rsidR="00B41DD7">
        <w:t xml:space="preserve"> (Forbes, 2013) (Revisiting the performance of MACD and RSI oscillators, June 2014)</w:t>
      </w:r>
    </w:p>
    <w:p w:rsidR="00101755" w:rsidRDefault="00101755" w:rsidP="008824CE">
      <w:pPr>
        <w:jc w:val="both"/>
        <w:rPr>
          <w:i/>
        </w:rPr>
      </w:pPr>
    </w:p>
    <w:p w:rsidR="00101755" w:rsidRDefault="00101755" w:rsidP="008824CE">
      <w:pPr>
        <w:jc w:val="both"/>
        <w:rPr>
          <w:i/>
        </w:rPr>
      </w:pPr>
      <w:r w:rsidRPr="00D931AB">
        <w:rPr>
          <w:i/>
        </w:rPr>
        <w:t>Training Set Optimization (04.01.10 - 02.01.13):</w:t>
      </w:r>
    </w:p>
    <w:p w:rsidR="00547373" w:rsidRPr="002737C2" w:rsidRDefault="00547373" w:rsidP="008824CE">
      <w:pPr>
        <w:jc w:val="both"/>
      </w:pPr>
      <w:r>
        <w:t xml:space="preserve">The lengths of the </w:t>
      </w:r>
      <w:r w:rsidR="000C1A42">
        <w:t xml:space="preserve">MACD signal </w:t>
      </w:r>
      <w:r>
        <w:t>(</w:t>
      </w:r>
      <w:r w:rsidR="000C1A42">
        <w:t>length of MACD MA</w:t>
      </w:r>
      <w:r>
        <w:t xml:space="preserve">) were varied from 5-50 in order to find the optimum </w:t>
      </w:r>
      <w:r w:rsidR="000C1A42">
        <w:t>signal length</w:t>
      </w:r>
      <w:r>
        <w:t xml:space="preserve">. Below the 20 most profitable </w:t>
      </w:r>
      <w:r w:rsidR="000C1A42">
        <w:t>signal</w:t>
      </w:r>
      <w:r>
        <w:t xml:space="preserve"> lengths are plotted. </w:t>
      </w:r>
      <w:r w:rsidR="00CD2713">
        <w:t xml:space="preserve">A </w:t>
      </w:r>
      <w:r>
        <w:t xml:space="preserve">summary of the 10 most profitable strategies is presented:  </w:t>
      </w:r>
    </w:p>
    <w:p w:rsidR="00547373" w:rsidRPr="00547373" w:rsidRDefault="00547373" w:rsidP="008824CE">
      <w:pPr>
        <w:jc w:val="both"/>
      </w:pPr>
    </w:p>
    <w:p w:rsidR="00E90E2A" w:rsidRDefault="003A27AE" w:rsidP="008824CE">
      <w:pPr>
        <w:jc w:val="both"/>
        <w:rPr>
          <w:b/>
          <w:u w:val="single"/>
        </w:rPr>
      </w:pPr>
      <w:r>
        <w:rPr>
          <w:noProof/>
          <w:lang w:eastAsia="en-GB"/>
        </w:rPr>
        <w:lastRenderedPageBreak/>
        <w:drawing>
          <wp:inline distT="0" distB="0" distL="0" distR="0" wp14:anchorId="3E0317CF" wp14:editId="17B52403">
            <wp:extent cx="5762445" cy="2320506"/>
            <wp:effectExtent l="0" t="0" r="10160" b="22860"/>
            <wp:docPr id="8" name="Chart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547373" w:rsidRDefault="00547373" w:rsidP="008824CE">
      <w:pPr>
        <w:jc w:val="center"/>
        <w:rPr>
          <w:b/>
          <w:u w:val="single"/>
        </w:rPr>
      </w:pPr>
      <w:r>
        <w:rPr>
          <w:b/>
          <w:u w:val="single"/>
        </w:rPr>
        <w:t xml:space="preserve">10 Most Profitable </w:t>
      </w:r>
      <w:r w:rsidR="00562992">
        <w:rPr>
          <w:b/>
          <w:u w:val="single"/>
        </w:rPr>
        <w:t>Signal Lengths</w:t>
      </w:r>
    </w:p>
    <w:p w:rsidR="003A27AE" w:rsidRDefault="00547373" w:rsidP="008824CE">
      <w:pPr>
        <w:jc w:val="center"/>
        <w:rPr>
          <w:b/>
          <w:u w:val="single"/>
        </w:rPr>
      </w:pPr>
      <w:r w:rsidRPr="00547373">
        <w:rPr>
          <w:noProof/>
          <w:lang w:eastAsia="en-GB"/>
        </w:rPr>
        <w:drawing>
          <wp:inline distT="0" distB="0" distL="0" distR="0" wp14:anchorId="1B334954" wp14:editId="1990E4E0">
            <wp:extent cx="3813175" cy="21132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11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A42" w:rsidRDefault="00CD2713" w:rsidP="008824CE">
      <w:pPr>
        <w:jc w:val="both"/>
      </w:pPr>
      <w:r>
        <w:t>T</w:t>
      </w:r>
      <w:r w:rsidR="000C1A42">
        <w:t>he optimal signal length is 27 days</w:t>
      </w:r>
      <w:r>
        <w:t>, yielding</w:t>
      </w:r>
      <w:r w:rsidR="000C1A42">
        <w:t xml:space="preserve"> an annualized return of</w:t>
      </w:r>
      <w:r w:rsidR="00544BDE">
        <w:t xml:space="preserve"> 2.51%;</w:t>
      </w:r>
      <w:r w:rsidR="000C1A42">
        <w:t xml:space="preserve"> </w:t>
      </w:r>
      <w:r w:rsidR="00562992">
        <w:t>2.8</w:t>
      </w:r>
      <w:r w:rsidR="000C1A42">
        <w:t xml:space="preserve">% higher than a buy-and-hold strategy. </w:t>
      </w:r>
      <w:r>
        <w:t>T</w:t>
      </w:r>
      <w:r w:rsidR="00544BDE">
        <w:t xml:space="preserve">he strategy had an average total trade efficiency of 19.2%, a reward/risk index of 99.9%, and an average holding period of 25 periods. </w:t>
      </w:r>
      <w:r w:rsidR="000C1A42">
        <w:t xml:space="preserve"> </w:t>
      </w:r>
    </w:p>
    <w:p w:rsidR="00101755" w:rsidRDefault="00101755" w:rsidP="008824CE">
      <w:pPr>
        <w:jc w:val="both"/>
        <w:rPr>
          <w:b/>
          <w:u w:val="single"/>
        </w:rPr>
      </w:pPr>
    </w:p>
    <w:p w:rsidR="000C1A42" w:rsidRDefault="000C1A42" w:rsidP="008824CE">
      <w:pPr>
        <w:jc w:val="both"/>
        <w:rPr>
          <w:b/>
          <w:u w:val="single"/>
        </w:rPr>
      </w:pPr>
    </w:p>
    <w:p w:rsidR="00452DEB" w:rsidRPr="00E90E2A" w:rsidRDefault="00F6464E" w:rsidP="008824CE">
      <w:pPr>
        <w:jc w:val="both"/>
        <w:rPr>
          <w:b/>
          <w:u w:val="single"/>
        </w:rPr>
      </w:pPr>
      <w:r>
        <w:rPr>
          <w:b/>
          <w:u w:val="single"/>
        </w:rPr>
        <w:t>RSI</w:t>
      </w:r>
    </w:p>
    <w:p w:rsidR="0020781C" w:rsidRDefault="0094260D" w:rsidP="008824CE">
      <w:pPr>
        <w:jc w:val="both"/>
      </w:pPr>
      <w:r>
        <w:t xml:space="preserve">The Relative Strength Index was proposed in 1978 by </w:t>
      </w:r>
      <w:r w:rsidRPr="0094260D">
        <w:t>J. Welles Wilder.</w:t>
      </w:r>
      <w:r>
        <w:t xml:space="preserve"> It is an oscillator index, ranging from 1 to 100, that has been implemented in numer</w:t>
      </w:r>
      <w:r w:rsidR="00CD2713">
        <w:t>ous trading strategies. Values</w:t>
      </w:r>
      <w:r>
        <w:t xml:space="preserve"> above</w:t>
      </w:r>
      <w:r w:rsidR="00CD2713">
        <w:t>/bellow</w:t>
      </w:r>
      <w:r>
        <w:t xml:space="preserve"> 50 are termed as representing a bull</w:t>
      </w:r>
      <w:r w:rsidR="00CD2713">
        <w:t>/bear</w:t>
      </w:r>
      <w:r>
        <w:t xml:space="preserve"> market</w:t>
      </w:r>
      <w:r w:rsidR="008D5D50">
        <w:t>.</w:t>
      </w:r>
      <w:r w:rsidR="004E4EE1">
        <w:t xml:space="preserve"> The RSI is associated with a 30/70 trading strategy: a RSI value of 70 </w:t>
      </w:r>
      <w:r w:rsidR="008D5D50">
        <w:t>represents</w:t>
      </w:r>
      <w:r w:rsidR="004E4EE1">
        <w:t xml:space="preserve"> an overbought level </w:t>
      </w:r>
      <w:r w:rsidR="00906F2D">
        <w:t>(unsustainably</w:t>
      </w:r>
      <w:r w:rsidR="004E4EE1">
        <w:t xml:space="preserve"> high prices) within the market, implying an opportunity to short, whilst </w:t>
      </w:r>
      <w:r w:rsidR="008D5D50">
        <w:t>the reverse applies for a value of</w:t>
      </w:r>
      <w:r w:rsidR="004E4EE1">
        <w:t xml:space="preserve"> 30 (unsustainably low prices</w:t>
      </w:r>
      <w:r w:rsidR="008D5D50">
        <w:t>)</w:t>
      </w:r>
      <w:r w:rsidR="00D444FC">
        <w:t xml:space="preserve">. </w:t>
      </w:r>
      <w:r w:rsidR="008D5D50">
        <w:t>Calculating RSI use</w:t>
      </w:r>
      <w:r w:rsidR="00D444FC">
        <w:t xml:space="preserve">: </w:t>
      </w:r>
    </w:p>
    <w:p w:rsidR="00D444FC" w:rsidRDefault="00D444FC" w:rsidP="008824CE">
      <w:pPr>
        <w:jc w:val="both"/>
      </w:pPr>
      <w:r>
        <w:rPr>
          <w:noProof/>
          <w:lang w:eastAsia="en-GB"/>
        </w:rPr>
        <w:lastRenderedPageBreak/>
        <w:drawing>
          <wp:inline distT="0" distB="0" distL="0" distR="0" wp14:anchorId="66A9122E" wp14:editId="7F2B6060">
            <wp:extent cx="3248027" cy="89798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7757" t="24198" r="38646" b="64197"/>
                    <a:stretch/>
                  </pic:blipFill>
                  <pic:spPr bwMode="auto">
                    <a:xfrm>
                      <a:off x="0" y="0"/>
                      <a:ext cx="3252097" cy="899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41DD7">
        <w:br/>
        <w:t>(Revisiting the performance of MACD and RSI oscillators, June 2014, page 3)</w:t>
      </w:r>
    </w:p>
    <w:p w:rsidR="006C3B5F" w:rsidRDefault="006C3B5F" w:rsidP="008824CE">
      <w:pPr>
        <w:jc w:val="both"/>
      </w:pPr>
      <w:r>
        <w:t xml:space="preserve">(Doug </w:t>
      </w:r>
      <w:proofErr w:type="spellStart"/>
      <w:r>
        <w:t>Standefer</w:t>
      </w:r>
      <w:proofErr w:type="spellEnd"/>
      <w:r>
        <w:t>, June 2003)</w:t>
      </w:r>
    </w:p>
    <w:p w:rsidR="00D444FC" w:rsidRDefault="00D444FC" w:rsidP="008824CE">
      <w:pPr>
        <w:jc w:val="both"/>
      </w:pPr>
      <w:r>
        <w:t xml:space="preserve">Where: </w:t>
      </w:r>
      <w:proofErr w:type="spellStart"/>
      <w:r>
        <w:t>P</w:t>
      </w:r>
      <w:r>
        <w:rPr>
          <w:vertAlign w:val="subscript"/>
        </w:rPr>
        <w:t>k</w:t>
      </w:r>
      <w:proofErr w:type="spellEnd"/>
      <w:r>
        <w:rPr>
          <w:vertAlign w:val="subscript"/>
        </w:rPr>
        <w:t xml:space="preserve"> </w:t>
      </w:r>
      <w:r w:rsidR="008D5D50">
        <w:t>=</w:t>
      </w:r>
      <w:r>
        <w:t xml:space="preserve"> price of the security at time k, N </w:t>
      </w:r>
      <w:r w:rsidR="008D5D50">
        <w:t xml:space="preserve">= </w:t>
      </w:r>
      <w:r>
        <w:t xml:space="preserve">the number of lags of price changes, and 1{.} </w:t>
      </w:r>
      <w:r w:rsidR="008D5D50">
        <w:t xml:space="preserve">= </w:t>
      </w:r>
      <w:r>
        <w:t>an indicator function (equals 1 for a price increase</w:t>
      </w:r>
      <w:r w:rsidR="008D5D50">
        <w:t>s</w:t>
      </w:r>
      <w:r>
        <w:t>, and 0 for a price decrease</w:t>
      </w:r>
      <w:r w:rsidR="008D5D50">
        <w:t>s)</w:t>
      </w:r>
      <w:r>
        <w:t xml:space="preserve">. </w:t>
      </w:r>
    </w:p>
    <w:p w:rsidR="000A7DCD" w:rsidRDefault="008D5D50" w:rsidP="008824CE">
      <w:pPr>
        <w:jc w:val="both"/>
      </w:pPr>
      <w:r>
        <w:t>T</w:t>
      </w:r>
      <w:r w:rsidR="00D444FC">
        <w:t>he index increases</w:t>
      </w:r>
      <w:r>
        <w:t>/decreased</w:t>
      </w:r>
      <w:r w:rsidR="00D444FC">
        <w:t xml:space="preserve"> when security prices rise</w:t>
      </w:r>
      <w:r>
        <w:t>/fall</w:t>
      </w:r>
      <w:r w:rsidR="00D444FC">
        <w:t>; a value of 100</w:t>
      </w:r>
      <w:r>
        <w:t>/0</w:t>
      </w:r>
      <w:r w:rsidR="00D444FC">
        <w:t xml:space="preserve"> would account for N consecutive price increases</w:t>
      </w:r>
      <w:r>
        <w:t>/decreases. W</w:t>
      </w:r>
      <w:r w:rsidR="000A7DCD">
        <w:t xml:space="preserve">e shall implement the 30/70 strategy, varying the number of time periods (N) used in the RSI calculation. </w:t>
      </w:r>
    </w:p>
    <w:p w:rsidR="006C3B5F" w:rsidRDefault="006C3B5F" w:rsidP="008824CE">
      <w:pPr>
        <w:jc w:val="both"/>
      </w:pPr>
      <w:r w:rsidRPr="006C3B5F">
        <w:t>(</w:t>
      </w:r>
      <w:hyperlink r:id="rId15" w:history="1">
        <w:r w:rsidRPr="006C3B5F">
          <w:t xml:space="preserve">Thomas </w:t>
        </w:r>
        <w:proofErr w:type="spellStart"/>
        <w:r w:rsidRPr="006C3B5F">
          <w:t>Bulkowski’s</w:t>
        </w:r>
        <w:proofErr w:type="spellEnd"/>
      </w:hyperlink>
      <w:r w:rsidRPr="006C3B5F">
        <w:t>, 2013)</w:t>
      </w:r>
      <w:r>
        <w:t xml:space="preserve"> (Doug </w:t>
      </w:r>
      <w:proofErr w:type="spellStart"/>
      <w:r>
        <w:t>Standefer</w:t>
      </w:r>
      <w:proofErr w:type="spellEnd"/>
      <w:r>
        <w:t>, June 2003)</w:t>
      </w:r>
      <w:r w:rsidR="00B41DD7">
        <w:t xml:space="preserve"> (Revisiting the performance of MACD and RSI oscillators, June 2014)</w:t>
      </w:r>
    </w:p>
    <w:p w:rsidR="00D207B6" w:rsidRDefault="000A7DCD" w:rsidP="008824CE">
      <w:pPr>
        <w:jc w:val="both"/>
      </w:pPr>
      <w:r>
        <w:t>Chong and Ng (2008) determined that a trading strategy implementing the RSI for the FT30 index s</w:t>
      </w:r>
      <w:r w:rsidR="008D5D50">
        <w:t>ignificantly outperformed a buy-and-</w:t>
      </w:r>
      <w:r>
        <w:t>hold strategy</w:t>
      </w:r>
      <w:r w:rsidR="008D5D50">
        <w:t xml:space="preserve"> (1935-1994)</w:t>
      </w:r>
      <w:r>
        <w:t xml:space="preserve">. Chong, Ng, </w:t>
      </w:r>
      <w:proofErr w:type="spellStart"/>
      <w:r>
        <w:t>Liew</w:t>
      </w:r>
      <w:proofErr w:type="spellEnd"/>
      <w:r>
        <w:t xml:space="preserve"> (2014) reaffirmed this </w:t>
      </w:r>
      <w:r w:rsidR="00D207B6">
        <w:t>for the DJI</w:t>
      </w:r>
      <w:r w:rsidR="00303CF5">
        <w:t>A</w:t>
      </w:r>
      <w:r w:rsidR="00D207B6">
        <w:t xml:space="preserve"> </w:t>
      </w:r>
      <w:r w:rsidR="008D5D50">
        <w:t>(1976-2002)</w:t>
      </w:r>
      <w:r w:rsidR="00D207B6">
        <w:t xml:space="preserve">, whist </w:t>
      </w:r>
      <w:r w:rsidR="00D207B6" w:rsidRPr="00D207B6">
        <w:t xml:space="preserve">Thomas N. </w:t>
      </w:r>
      <w:proofErr w:type="spellStart"/>
      <w:r w:rsidR="00D207B6" w:rsidRPr="00D207B6">
        <w:t>Bulkowski</w:t>
      </w:r>
      <w:r w:rsidR="004B0174">
        <w:t>’s</w:t>
      </w:r>
      <w:proofErr w:type="spellEnd"/>
      <w:r w:rsidR="00D207B6" w:rsidRPr="00D207B6">
        <w:t xml:space="preserve"> (2013)</w:t>
      </w:r>
      <w:r w:rsidR="00D207B6">
        <w:t xml:space="preserve"> </w:t>
      </w:r>
      <w:r w:rsidR="004B0174">
        <w:t xml:space="preserve">determined the RSI </w:t>
      </w:r>
      <w:r w:rsidR="00D207B6">
        <w:t xml:space="preserve">outperformed the S&amp;P in 68% of </w:t>
      </w:r>
      <w:r w:rsidR="004B0174">
        <w:t>cases</w:t>
      </w:r>
      <w:r w:rsidR="008D5D50">
        <w:t xml:space="preserve"> (1990-2008)</w:t>
      </w:r>
      <w:r w:rsidR="00D207B6">
        <w:t xml:space="preserve">. </w:t>
      </w:r>
      <w:r w:rsidR="008D5D50">
        <w:t xml:space="preserve">A </w:t>
      </w:r>
      <w:r w:rsidR="00D207B6">
        <w:t>Forbes article (</w:t>
      </w:r>
      <w:r w:rsidR="00D207B6" w:rsidRPr="000446B3">
        <w:t>4/15/2013</w:t>
      </w:r>
      <w:r w:rsidR="00D207B6" w:rsidRPr="00D207B6">
        <w:t xml:space="preserve">) </w:t>
      </w:r>
      <w:r w:rsidR="004B0174">
        <w:t xml:space="preserve">found that </w:t>
      </w:r>
      <w:r w:rsidR="00D207B6">
        <w:t xml:space="preserve">the 30/70 RSI trading strategy averaged annual returns of 2.37% </w:t>
      </w:r>
      <w:r w:rsidR="00906F2D">
        <w:t xml:space="preserve">from 2009, with </w:t>
      </w:r>
      <w:r w:rsidR="00DE134A">
        <w:t xml:space="preserve">57% trade efficiency. </w:t>
      </w:r>
    </w:p>
    <w:p w:rsidR="006C3B5F" w:rsidRPr="006C3B5F" w:rsidRDefault="006C3B5F" w:rsidP="008824CE">
      <w:pPr>
        <w:jc w:val="both"/>
      </w:pPr>
      <w:r w:rsidRPr="006C3B5F">
        <w:t>(</w:t>
      </w:r>
      <w:hyperlink r:id="rId16" w:history="1">
        <w:r w:rsidRPr="006C3B5F">
          <w:t xml:space="preserve">Thomas </w:t>
        </w:r>
        <w:proofErr w:type="spellStart"/>
        <w:r w:rsidRPr="006C3B5F">
          <w:t>Bulkowski’s</w:t>
        </w:r>
        <w:proofErr w:type="spellEnd"/>
      </w:hyperlink>
      <w:r w:rsidRPr="006C3B5F">
        <w:t>, 2013)</w:t>
      </w:r>
      <w:r>
        <w:t xml:space="preserve"> (Forbes, 2013)</w:t>
      </w:r>
      <w:r w:rsidR="00B41DD7">
        <w:t xml:space="preserve"> (Revisiting the performance of MACD and RSI oscillators, June 2014)</w:t>
      </w:r>
      <w:r w:rsidR="008D5D50">
        <w:t xml:space="preserve"> (Forbes, 2013)</w:t>
      </w:r>
    </w:p>
    <w:p w:rsidR="00D561F4" w:rsidRDefault="00D561F4" w:rsidP="008824CE">
      <w:pPr>
        <w:jc w:val="both"/>
        <w:rPr>
          <w:i/>
        </w:rPr>
      </w:pPr>
      <w:r w:rsidRPr="00D931AB">
        <w:rPr>
          <w:i/>
        </w:rPr>
        <w:t>Training Set Optimization (04.01.10 - 02.01.13):</w:t>
      </w:r>
    </w:p>
    <w:p w:rsidR="00D561F4" w:rsidRDefault="00D561F4" w:rsidP="008824CE">
      <w:pPr>
        <w:jc w:val="both"/>
      </w:pPr>
      <w:r>
        <w:t>The lengths of the RSI (periods used in calculating RSI) were varied from 5-</w:t>
      </w:r>
      <w:r w:rsidR="00B447D1">
        <w:t>25</w:t>
      </w:r>
      <w:r>
        <w:t xml:space="preserve">. Below the 20 most profitable RSI lengths are plotted. </w:t>
      </w:r>
      <w:r w:rsidR="00A308FD">
        <w:t>A</w:t>
      </w:r>
      <w:r>
        <w:t xml:space="preserve"> detailed summary of the 10 most profitable strategies is presented:  </w:t>
      </w:r>
    </w:p>
    <w:p w:rsidR="00544BDE" w:rsidRDefault="00DC7A0A" w:rsidP="008824CE">
      <w:pPr>
        <w:jc w:val="both"/>
      </w:pPr>
      <w:r>
        <w:rPr>
          <w:noProof/>
          <w:lang w:eastAsia="en-GB"/>
        </w:rPr>
        <w:drawing>
          <wp:inline distT="0" distB="0" distL="0" distR="0" wp14:anchorId="3E1D31C5" wp14:editId="010B25D1">
            <wp:extent cx="5865962" cy="2355011"/>
            <wp:effectExtent l="0" t="0" r="20955" b="26670"/>
            <wp:docPr id="16" name="Chart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562992" w:rsidRPr="00562992" w:rsidRDefault="00562992" w:rsidP="008824CE">
      <w:pPr>
        <w:jc w:val="center"/>
        <w:rPr>
          <w:b/>
          <w:u w:val="single"/>
        </w:rPr>
      </w:pPr>
      <w:r w:rsidRPr="00562992">
        <w:rPr>
          <w:b/>
          <w:u w:val="single"/>
        </w:rPr>
        <w:t>10 Most Profitable RSI Lengths</w:t>
      </w:r>
    </w:p>
    <w:p w:rsidR="00544BDE" w:rsidRDefault="00DC7A0A" w:rsidP="008824CE">
      <w:pPr>
        <w:jc w:val="center"/>
      </w:pPr>
      <w:r w:rsidRPr="00DC7A0A">
        <w:rPr>
          <w:noProof/>
          <w:lang w:eastAsia="en-GB"/>
        </w:rPr>
        <w:lastRenderedPageBreak/>
        <w:drawing>
          <wp:inline distT="0" distB="0" distL="0" distR="0" wp14:anchorId="23B66ED6" wp14:editId="28C6CC28">
            <wp:extent cx="2259965" cy="2312035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965" cy="231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2992" w:rsidRDefault="00A308FD" w:rsidP="008824CE">
      <w:pPr>
        <w:jc w:val="both"/>
      </w:pPr>
      <w:r>
        <w:t>T</w:t>
      </w:r>
      <w:r w:rsidR="00562992">
        <w:t>he optimal RSI length is 22 periods</w:t>
      </w:r>
      <w:r>
        <w:t>, yielding</w:t>
      </w:r>
      <w:r w:rsidR="00562992">
        <w:t xml:space="preserve"> an annualized return of </w:t>
      </w:r>
      <w:r w:rsidR="00DC7A0A">
        <w:t>1.67</w:t>
      </w:r>
      <w:r w:rsidR="00562992">
        <w:t xml:space="preserve">%; </w:t>
      </w:r>
      <w:r w:rsidR="00DC7A0A">
        <w:t>1</w:t>
      </w:r>
      <w:r w:rsidR="00562992">
        <w:t>.</w:t>
      </w:r>
      <w:r w:rsidR="00DC7A0A">
        <w:t>91</w:t>
      </w:r>
      <w:r w:rsidR="00562992">
        <w:t xml:space="preserve">% higher than a buy-and-hold strategy. </w:t>
      </w:r>
      <w:r>
        <w:t>T</w:t>
      </w:r>
      <w:r w:rsidR="00562992">
        <w:t xml:space="preserve">he strategy had an average total trade efficiency of </w:t>
      </w:r>
      <w:r w:rsidR="00DC7A0A">
        <w:t>51</w:t>
      </w:r>
      <w:r w:rsidR="00B62FA7">
        <w:t>.12</w:t>
      </w:r>
      <w:r w:rsidR="00562992">
        <w:t>%, a reward</w:t>
      </w:r>
      <w:r w:rsidR="00DC7A0A">
        <w:t>/risk index of 90.2</w:t>
      </w:r>
      <w:r w:rsidR="00562992">
        <w:t>%, and an average holding period of</w:t>
      </w:r>
      <w:r w:rsidR="00B62FA7">
        <w:t xml:space="preserve"> 136</w:t>
      </w:r>
      <w:r w:rsidR="00562992">
        <w:t xml:space="preserve">.  </w:t>
      </w:r>
    </w:p>
    <w:p w:rsidR="008824CE" w:rsidRDefault="008824CE" w:rsidP="008824CE">
      <w:pPr>
        <w:jc w:val="both"/>
        <w:rPr>
          <w:b/>
          <w:u w:val="single"/>
        </w:rPr>
      </w:pPr>
    </w:p>
    <w:p w:rsidR="0092748A" w:rsidRDefault="008824CE" w:rsidP="008824CE">
      <w:pPr>
        <w:jc w:val="both"/>
        <w:rPr>
          <w:b/>
          <w:u w:val="single"/>
        </w:rPr>
      </w:pPr>
      <w:r w:rsidRPr="008824CE">
        <w:rPr>
          <w:b/>
          <w:u w:val="single"/>
        </w:rPr>
        <w:t>COMPLEX STRATEGY – RSI 30/70 &amp; MACD</w:t>
      </w:r>
    </w:p>
    <w:p w:rsidR="00A422FC" w:rsidRDefault="00A422FC" w:rsidP="00634192">
      <w:pPr>
        <w:jc w:val="both"/>
      </w:pPr>
      <w:r>
        <w:t>W</w:t>
      </w:r>
      <w:r w:rsidR="0092748A">
        <w:t>e combine our MACD trading strategy</w:t>
      </w:r>
      <w:r w:rsidR="00C9643C">
        <w:t xml:space="preserve"> </w:t>
      </w:r>
      <w:r w:rsidR="0092748A">
        <w:t xml:space="preserve">with our RSI </w:t>
      </w:r>
      <w:r>
        <w:t xml:space="preserve">30/70 </w:t>
      </w:r>
      <w:r w:rsidR="0092748A">
        <w:t xml:space="preserve">strategy. </w:t>
      </w:r>
      <w:r w:rsidR="001B0E1B">
        <w:t>The strategy functions b</w:t>
      </w:r>
      <w:r w:rsidR="001F27A5">
        <w:t>y combining the buy and sell signals of the MACD and RSI, only exercising a security purchase</w:t>
      </w:r>
      <w:r>
        <w:t>/sale</w:t>
      </w:r>
      <w:r w:rsidR="001F27A5">
        <w:t xml:space="preserve"> when the MACD crosses its signal line form bellow</w:t>
      </w:r>
      <w:r>
        <w:t>/above</w:t>
      </w:r>
      <w:r w:rsidR="001F27A5">
        <w:t xml:space="preserve">, whilst concurrently the RSI is </w:t>
      </w:r>
      <w:r>
        <w:t>below/above</w:t>
      </w:r>
      <w:r w:rsidR="001F27A5">
        <w:t xml:space="preserve"> </w:t>
      </w:r>
      <w:r>
        <w:t xml:space="preserve">30/70. </w:t>
      </w:r>
      <w:r w:rsidR="00C9643C">
        <w:t>T</w:t>
      </w:r>
      <w:r w:rsidR="001F27A5">
        <w:t>he Golden Cross</w:t>
      </w:r>
      <w:r w:rsidR="00C9643C">
        <w:t xml:space="preserve"> is excluded</w:t>
      </w:r>
      <w:r w:rsidR="001F27A5">
        <w:t>, as the MACD incorporates the strategy</w:t>
      </w:r>
      <w:r>
        <w:t xml:space="preserve"> and allows for more prompt purchases/sales</w:t>
      </w:r>
      <w:r w:rsidR="001F27A5">
        <w:t>.</w:t>
      </w:r>
      <w:r>
        <w:t xml:space="preserve"> </w:t>
      </w:r>
    </w:p>
    <w:p w:rsidR="00A422FC" w:rsidRPr="00A422FC" w:rsidRDefault="00A422FC" w:rsidP="00A422FC">
      <w:pPr>
        <w:jc w:val="both"/>
        <w:rPr>
          <w:i/>
        </w:rPr>
      </w:pPr>
      <w:r w:rsidRPr="00D931AB">
        <w:rPr>
          <w:i/>
        </w:rPr>
        <w:t>Training Set Optimization (04.01.10 - 02.01.13):</w:t>
      </w:r>
    </w:p>
    <w:p w:rsidR="0092748A" w:rsidRDefault="00A422FC" w:rsidP="00634192">
      <w:pPr>
        <w:jc w:val="both"/>
      </w:pPr>
      <w:r>
        <w:t xml:space="preserve">Both the MACD signal length, and RSI length are varied from 4-49. Bellow the table of the 10 most profitable </w:t>
      </w:r>
      <w:r w:rsidR="004615A2">
        <w:t>combinations is presented:</w:t>
      </w:r>
      <w:r>
        <w:t xml:space="preserve"> </w:t>
      </w:r>
      <w:r w:rsidR="001F27A5">
        <w:t xml:space="preserve">  </w:t>
      </w:r>
      <w:r w:rsidR="0092748A">
        <w:t xml:space="preserve">   </w:t>
      </w:r>
    </w:p>
    <w:p w:rsidR="004615A2" w:rsidRDefault="004615A2" w:rsidP="004615A2"/>
    <w:p w:rsidR="0092748A" w:rsidRDefault="00E64C0D" w:rsidP="004615A2">
      <w:pPr>
        <w:jc w:val="center"/>
      </w:pPr>
      <w:r w:rsidRPr="00E64C0D">
        <w:rPr>
          <w:noProof/>
          <w:lang w:eastAsia="en-GB"/>
        </w:rPr>
        <w:drawing>
          <wp:inline distT="0" distB="0" distL="0" distR="0">
            <wp:extent cx="4184015" cy="2303145"/>
            <wp:effectExtent l="0" t="0" r="6985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015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4CE" w:rsidRDefault="00C9643C" w:rsidP="008824CE">
      <w:pPr>
        <w:jc w:val="both"/>
      </w:pPr>
      <w:r>
        <w:lastRenderedPageBreak/>
        <w:t>A</w:t>
      </w:r>
      <w:r w:rsidR="004615A2">
        <w:t xml:space="preserve">ll strategies provided equal % gains. </w:t>
      </w:r>
      <w:r>
        <w:t>W</w:t>
      </w:r>
      <w:r w:rsidR="004615A2">
        <w:t>e choose (29</w:t>
      </w:r>
      <w:proofErr w:type="gramStart"/>
      <w:r w:rsidR="004615A2">
        <w:t>,7</w:t>
      </w:r>
      <w:proofErr w:type="gramEnd"/>
      <w:r w:rsidR="004615A2">
        <w:t>) as the optimized combination</w:t>
      </w:r>
      <w:r>
        <w:t>; it</w:t>
      </w:r>
      <w:r w:rsidR="004615A2">
        <w:t xml:space="preserve"> generates an annualized return of 2.61%</w:t>
      </w:r>
      <w:r>
        <w:t>,</w:t>
      </w:r>
      <w:r w:rsidR="004615A2">
        <w:t xml:space="preserve"> outperforming the market by 2.85%. </w:t>
      </w:r>
      <w:r>
        <w:t>T</w:t>
      </w:r>
      <w:r w:rsidR="00476CCB">
        <w:t xml:space="preserve">he strategy generates an average total trade efficiency of </w:t>
      </w:r>
      <w:r w:rsidR="00476CCB" w:rsidRPr="00D06ED1">
        <w:rPr>
          <w:rFonts w:ascii="Verdana" w:eastAsia="Times New Roman" w:hAnsi="Verdana" w:cs="Times New Roman"/>
          <w:sz w:val="17"/>
          <w:szCs w:val="17"/>
        </w:rPr>
        <w:t>72.52 %</w:t>
      </w:r>
      <w:r w:rsidR="00476CCB">
        <w:rPr>
          <w:rFonts w:ascii="Verdana" w:eastAsia="Times New Roman" w:hAnsi="Verdana" w:cs="Times New Roman"/>
          <w:sz w:val="17"/>
          <w:szCs w:val="17"/>
        </w:rPr>
        <w:t xml:space="preserve">, as well as a profit/loss index value of </w:t>
      </w:r>
      <w:r w:rsidR="00476CCB" w:rsidRPr="00D06ED1">
        <w:rPr>
          <w:rFonts w:ascii="Verdana" w:eastAsia="Times New Roman" w:hAnsi="Verdana" w:cs="Times New Roman"/>
          <w:sz w:val="17"/>
          <w:szCs w:val="17"/>
        </w:rPr>
        <w:t>98.16 %</w:t>
      </w:r>
      <w:r w:rsidR="00476CCB">
        <w:rPr>
          <w:rFonts w:ascii="Verdana" w:eastAsia="Times New Roman" w:hAnsi="Verdana" w:cs="Times New Roman"/>
          <w:sz w:val="17"/>
          <w:szCs w:val="17"/>
        </w:rPr>
        <w:t xml:space="preserve">.  </w:t>
      </w:r>
      <w:r w:rsidR="004615A2">
        <w:t xml:space="preserve"> </w:t>
      </w:r>
    </w:p>
    <w:p w:rsidR="00B40B3A" w:rsidRDefault="00B40B3A" w:rsidP="008824CE">
      <w:pPr>
        <w:jc w:val="both"/>
      </w:pPr>
    </w:p>
    <w:p w:rsidR="00924F4F" w:rsidRPr="003C6364" w:rsidRDefault="00924F4F" w:rsidP="003C6364">
      <w:pPr>
        <w:jc w:val="center"/>
        <w:rPr>
          <w:b/>
          <w:sz w:val="24"/>
          <w:szCs w:val="24"/>
          <w:u w:val="single"/>
        </w:rPr>
      </w:pPr>
      <w:r w:rsidRPr="003C6364">
        <w:rPr>
          <w:b/>
          <w:sz w:val="24"/>
          <w:szCs w:val="24"/>
          <w:u w:val="single"/>
        </w:rPr>
        <w:t>CHOSSING THE M</w:t>
      </w:r>
      <w:r w:rsidR="009467BB" w:rsidRPr="003C6364">
        <w:rPr>
          <w:b/>
          <w:sz w:val="24"/>
          <w:szCs w:val="24"/>
          <w:u w:val="single"/>
        </w:rPr>
        <w:t>OST PROFITABLE TRADING STRATEGY</w:t>
      </w:r>
    </w:p>
    <w:p w:rsidR="00924F4F" w:rsidRDefault="00924F4F" w:rsidP="008824CE">
      <w:pPr>
        <w:jc w:val="both"/>
        <w:rPr>
          <w:i/>
        </w:rPr>
      </w:pPr>
      <w:r>
        <w:rPr>
          <w:i/>
        </w:rPr>
        <w:t>Test Set</w:t>
      </w:r>
      <w:r w:rsidRPr="00D931AB">
        <w:rPr>
          <w:i/>
        </w:rPr>
        <w:t xml:space="preserve"> (0</w:t>
      </w:r>
      <w:r>
        <w:rPr>
          <w:i/>
        </w:rPr>
        <w:t>2.01.13</w:t>
      </w:r>
      <w:r w:rsidRPr="00D931AB">
        <w:rPr>
          <w:i/>
        </w:rPr>
        <w:t xml:space="preserve"> - </w:t>
      </w:r>
      <w:r>
        <w:rPr>
          <w:i/>
        </w:rPr>
        <w:t>31.12</w:t>
      </w:r>
      <w:r w:rsidRPr="00D931AB">
        <w:rPr>
          <w:i/>
        </w:rPr>
        <w:t>.13):</w:t>
      </w:r>
    </w:p>
    <w:p w:rsidR="00296F56" w:rsidRDefault="003C6364" w:rsidP="008824CE">
      <w:pPr>
        <w:jc w:val="both"/>
        <w:rPr>
          <w:i/>
        </w:rPr>
      </w:pPr>
      <w:r>
        <w:rPr>
          <w:noProof/>
          <w:lang w:eastAsia="en-GB"/>
        </w:rPr>
        <w:drawing>
          <wp:anchor distT="0" distB="0" distL="114300" distR="114300" simplePos="0" relativeHeight="251659264" behindDoc="1" locked="0" layoutInCell="1" allowOverlap="1" wp14:anchorId="56B3793F" wp14:editId="3E3F59BA">
            <wp:simplePos x="0" y="0"/>
            <wp:positionH relativeFrom="column">
              <wp:posOffset>0</wp:posOffset>
            </wp:positionH>
            <wp:positionV relativeFrom="paragraph">
              <wp:posOffset>264388</wp:posOffset>
            </wp:positionV>
            <wp:extent cx="2510287" cy="816973"/>
            <wp:effectExtent l="0" t="0" r="4445" b="254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920" t="59259" r="25321" b="22963"/>
                    <a:stretch/>
                  </pic:blipFill>
                  <pic:spPr bwMode="auto">
                    <a:xfrm>
                      <a:off x="0" y="0"/>
                      <a:ext cx="2510155" cy="816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61312" behindDoc="0" locked="0" layoutInCell="1" allowOverlap="1" wp14:anchorId="75F8C1D2" wp14:editId="63308036">
            <wp:simplePos x="0" y="0"/>
            <wp:positionH relativeFrom="column">
              <wp:posOffset>2570673</wp:posOffset>
            </wp:positionH>
            <wp:positionV relativeFrom="paragraph">
              <wp:posOffset>265901</wp:posOffset>
            </wp:positionV>
            <wp:extent cx="2786332" cy="865961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44" t="43471" r="30230" b="35953"/>
                    <a:stretch/>
                  </pic:blipFill>
                  <pic:spPr bwMode="auto">
                    <a:xfrm>
                      <a:off x="0" y="0"/>
                      <a:ext cx="2798955" cy="869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6F56">
        <w:rPr>
          <w:i/>
        </w:rPr>
        <w:t xml:space="preserve">Equity </w:t>
      </w:r>
      <w:proofErr w:type="gramStart"/>
      <w:r w:rsidR="00296F56">
        <w:rPr>
          <w:i/>
        </w:rPr>
        <w:t>Over</w:t>
      </w:r>
      <w:proofErr w:type="gramEnd"/>
      <w:r w:rsidR="00296F56">
        <w:rPr>
          <w:i/>
        </w:rPr>
        <w:t xml:space="preserve"> Time:</w:t>
      </w:r>
    </w:p>
    <w:p w:rsidR="00924F4F" w:rsidRDefault="00924F4F" w:rsidP="008824CE">
      <w:pPr>
        <w:jc w:val="both"/>
        <w:rPr>
          <w:i/>
        </w:rPr>
      </w:pPr>
    </w:p>
    <w:p w:rsidR="00544BDE" w:rsidRDefault="00544BDE" w:rsidP="008824CE">
      <w:pPr>
        <w:jc w:val="both"/>
      </w:pPr>
    </w:p>
    <w:p w:rsidR="00544BDE" w:rsidRPr="002737C2" w:rsidRDefault="00544BDE" w:rsidP="008824CE">
      <w:pPr>
        <w:jc w:val="both"/>
      </w:pPr>
      <w:bookmarkStart w:id="0" w:name="_GoBack"/>
    </w:p>
    <w:bookmarkEnd w:id="0"/>
    <w:p w:rsidR="00906F2D" w:rsidRDefault="00296F56" w:rsidP="008824CE">
      <w:pPr>
        <w:jc w:val="both"/>
      </w:pPr>
      <w:r>
        <w:rPr>
          <w:noProof/>
          <w:lang w:eastAsia="en-GB"/>
        </w:rPr>
        <w:drawing>
          <wp:inline distT="0" distB="0" distL="0" distR="0" wp14:anchorId="337966E7" wp14:editId="536D69A8">
            <wp:extent cx="2651899" cy="80225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19156" t="34568" r="47807" b="47654"/>
                    <a:stretch/>
                  </pic:blipFill>
                  <pic:spPr bwMode="auto">
                    <a:xfrm>
                      <a:off x="0" y="0"/>
                      <a:ext cx="2651899" cy="802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277B45A6" wp14:editId="3F2BAF32">
            <wp:extent cx="2769535" cy="85795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34425" t="45186" r="40034" b="40740"/>
                    <a:stretch/>
                  </pic:blipFill>
                  <pic:spPr bwMode="auto">
                    <a:xfrm>
                      <a:off x="0" y="0"/>
                      <a:ext cx="2769535" cy="857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44FC" w:rsidRDefault="000A7DCD" w:rsidP="008824CE">
      <w:pPr>
        <w:jc w:val="both"/>
      </w:pPr>
      <w:r>
        <w:t xml:space="preserve">  </w:t>
      </w:r>
      <w:r w:rsidR="00296F56">
        <w:t xml:space="preserve">Note: Top left </w:t>
      </w:r>
      <w:proofErr w:type="gramStart"/>
      <w:r w:rsidR="00296F56">
        <w:t>RSI(</w:t>
      </w:r>
      <w:proofErr w:type="gramEnd"/>
      <w:r w:rsidR="00296F56">
        <w:t>22), top right MACD(27), bottom left MA(1,50), bottom right RSI(7) &amp; MACD(29)</w:t>
      </w:r>
    </w:p>
    <w:p w:rsidR="00296F56" w:rsidRDefault="00296F56" w:rsidP="008824CE">
      <w:pPr>
        <w:jc w:val="both"/>
      </w:pPr>
      <w:r w:rsidRPr="00296F56">
        <w:rPr>
          <w:noProof/>
          <w:lang w:eastAsia="en-GB"/>
        </w:rPr>
        <w:drawing>
          <wp:inline distT="0" distB="0" distL="0" distR="0" wp14:anchorId="09ECEC5B" wp14:editId="613414B5">
            <wp:extent cx="5731510" cy="78124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54D" w:rsidRDefault="00C9643C" w:rsidP="008824CE">
      <w:pPr>
        <w:jc w:val="both"/>
      </w:pPr>
      <w:r>
        <w:t>T</w:t>
      </w:r>
      <w:r w:rsidR="00E74E13">
        <w:t xml:space="preserve">he </w:t>
      </w:r>
      <w:proofErr w:type="gramStart"/>
      <w:r w:rsidR="00E74E13">
        <w:t>MACD(</w:t>
      </w:r>
      <w:proofErr w:type="gramEnd"/>
      <w:r w:rsidR="00E74E13">
        <w:t xml:space="preserve">27) </w:t>
      </w:r>
      <w:r>
        <w:t xml:space="preserve">is </w:t>
      </w:r>
      <w:r w:rsidR="00E74E13">
        <w:t xml:space="preserve">the best </w:t>
      </w:r>
      <w:r w:rsidR="0031354D">
        <w:t xml:space="preserve">trading strategy. As well as providing an annualized return closest to its return in the training set, the MACD(27) provided the highest </w:t>
      </w:r>
      <w:r w:rsidR="00E77898">
        <w:t xml:space="preserve">overall </w:t>
      </w:r>
      <w:r w:rsidR="0031354D">
        <w:t>return</w:t>
      </w:r>
      <w:r w:rsidR="008824CE">
        <w:t>, along with the highest profitability ratio (profit/loss index)</w:t>
      </w:r>
      <w:r w:rsidR="00476CCB">
        <w:t>, and did not suffer from trade execution problems (COMPLEX(29,7) strategy only induced one trade)</w:t>
      </w:r>
      <w:r w:rsidR="0031354D">
        <w:t xml:space="preserve">. Moreover, the </w:t>
      </w:r>
      <w:proofErr w:type="gramStart"/>
      <w:r w:rsidR="0031354D">
        <w:t>MACD(</w:t>
      </w:r>
      <w:proofErr w:type="gramEnd"/>
      <w:r w:rsidR="0031354D">
        <w:t xml:space="preserve">27) </w:t>
      </w:r>
      <w:r w:rsidR="009D21F1">
        <w:t xml:space="preserve">significantly outperformed its counterparts with respect to the </w:t>
      </w:r>
      <w:r>
        <w:t>risk/reward index</w:t>
      </w:r>
      <w:r w:rsidR="009D21F1">
        <w:t xml:space="preserve">. The risk/reward measures the level of risk assumed for a given return. A value of 100% implies that a significant return is generated without any risk; the </w:t>
      </w:r>
      <w:proofErr w:type="gramStart"/>
      <w:r w:rsidR="009D21F1">
        <w:t>MACD(</w:t>
      </w:r>
      <w:proofErr w:type="gramEnd"/>
      <w:r w:rsidR="009D21F1">
        <w:t>27) had a</w:t>
      </w:r>
      <w:r w:rsidR="008824CE">
        <w:t xml:space="preserve"> value of 83.26%. </w:t>
      </w:r>
    </w:p>
    <w:p w:rsidR="0031354D" w:rsidRDefault="0031354D" w:rsidP="008824CE">
      <w:pPr>
        <w:jc w:val="both"/>
      </w:pPr>
      <w:r>
        <w:t xml:space="preserve">Nevertheless, </w:t>
      </w:r>
      <w:r w:rsidR="00C9643C">
        <w:t xml:space="preserve">the </w:t>
      </w:r>
      <w:proofErr w:type="gramStart"/>
      <w:r>
        <w:t>MACD(</w:t>
      </w:r>
      <w:proofErr w:type="gramEnd"/>
      <w:r>
        <w:t xml:space="preserve">27) significantly underperformed a simple buy-and hold strategy </w:t>
      </w:r>
      <w:r w:rsidR="00C9643C">
        <w:t>(</w:t>
      </w:r>
      <w:r>
        <w:t>return</w:t>
      </w:r>
      <w:r w:rsidR="00C9643C">
        <w:t>ed</w:t>
      </w:r>
      <w:r>
        <w:t xml:space="preserve"> 4.01%</w:t>
      </w:r>
      <w:r w:rsidR="00C9643C">
        <w:t>)</w:t>
      </w:r>
      <w:r>
        <w:t xml:space="preserve">. Additionally, the equity over time graph for the </w:t>
      </w:r>
      <w:proofErr w:type="gramStart"/>
      <w:r>
        <w:t>MACD(</w:t>
      </w:r>
      <w:proofErr w:type="gramEnd"/>
      <w:r>
        <w:t>27) does not rise gradually, implying inconsistent profits</w:t>
      </w:r>
      <w:r w:rsidR="00E77898">
        <w:t>. Finally, the average total trade efficiency figure is negative; the ‘percentage of total possible profits realized’ was negativ</w:t>
      </w:r>
      <w:r w:rsidR="001B0E1B">
        <w:t>e (</w:t>
      </w:r>
      <w:proofErr w:type="spellStart"/>
      <w:r w:rsidR="001B0E1B">
        <w:t>MetaStock</w:t>
      </w:r>
      <w:proofErr w:type="spellEnd"/>
      <w:r w:rsidR="001B0E1B">
        <w:t xml:space="preserve"> User Manual, 523). Hence, although the </w:t>
      </w:r>
      <w:proofErr w:type="gramStart"/>
      <w:r w:rsidR="001B0E1B">
        <w:t>MACD(</w:t>
      </w:r>
      <w:proofErr w:type="gramEnd"/>
      <w:r w:rsidR="001B0E1B">
        <w:t xml:space="preserve">27) is recommended to subsequently be used upon </w:t>
      </w:r>
      <w:r w:rsidR="00094A78">
        <w:t xml:space="preserve">our </w:t>
      </w:r>
      <w:r w:rsidR="001B0E1B">
        <w:t xml:space="preserve">real data, </w:t>
      </w:r>
      <w:r w:rsidR="00094A78">
        <w:t xml:space="preserve">perhaps a combined strategy involving the MACD and fundamental analysis should be used instead. </w:t>
      </w:r>
    </w:p>
    <w:p w:rsidR="00634192" w:rsidRDefault="00634192" w:rsidP="008824CE">
      <w:pPr>
        <w:jc w:val="both"/>
      </w:pPr>
      <w:r>
        <w:t>(Meta Stock User Manual, 536)</w:t>
      </w:r>
    </w:p>
    <w:p w:rsidR="00E77898" w:rsidRDefault="00E77898" w:rsidP="008824CE">
      <w:pPr>
        <w:jc w:val="both"/>
      </w:pPr>
    </w:p>
    <w:p w:rsidR="00B40B3A" w:rsidRDefault="00B40B3A" w:rsidP="008824CE">
      <w:pPr>
        <w:jc w:val="both"/>
        <w:rPr>
          <w:b/>
          <w:u w:val="single"/>
        </w:rPr>
      </w:pPr>
    </w:p>
    <w:p w:rsidR="009467BB" w:rsidRPr="003C6364" w:rsidRDefault="009467BB" w:rsidP="003C6364">
      <w:pPr>
        <w:jc w:val="center"/>
        <w:rPr>
          <w:sz w:val="24"/>
          <w:szCs w:val="24"/>
        </w:rPr>
      </w:pPr>
      <w:r w:rsidRPr="003C6364">
        <w:rPr>
          <w:b/>
          <w:sz w:val="24"/>
          <w:szCs w:val="24"/>
          <w:u w:val="single"/>
        </w:rPr>
        <w:t>REAL DATA</w:t>
      </w:r>
    </w:p>
    <w:p w:rsidR="00094A78" w:rsidRDefault="009467BB" w:rsidP="008824CE">
      <w:pPr>
        <w:jc w:val="both"/>
        <w:rPr>
          <w:i/>
        </w:rPr>
      </w:pPr>
      <w:r w:rsidRPr="009467BB">
        <w:rPr>
          <w:i/>
        </w:rPr>
        <w:t xml:space="preserve">Evaluating the performance of the </w:t>
      </w:r>
      <w:proofErr w:type="gramStart"/>
      <w:r w:rsidRPr="009467BB">
        <w:rPr>
          <w:i/>
        </w:rPr>
        <w:t>MACD(</w:t>
      </w:r>
      <w:proofErr w:type="gramEnd"/>
      <w:r w:rsidRPr="009467BB">
        <w:rPr>
          <w:i/>
        </w:rPr>
        <w:t xml:space="preserve">27) from (20.11.13 - 31.10.14): </w:t>
      </w:r>
    </w:p>
    <w:p w:rsidR="006D654F" w:rsidRDefault="006D654F" w:rsidP="008824CE">
      <w:pPr>
        <w:jc w:val="both"/>
        <w:rPr>
          <w:i/>
        </w:rPr>
      </w:pPr>
      <w:r>
        <w:rPr>
          <w:noProof/>
          <w:lang w:eastAsia="en-GB"/>
        </w:rPr>
        <w:drawing>
          <wp:inline distT="0" distB="0" distL="0" distR="0" wp14:anchorId="2B4E4295" wp14:editId="2FF95EA3">
            <wp:extent cx="5654348" cy="1742536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34737" t="34506" r="17444" b="39280"/>
                    <a:stretch/>
                  </pic:blipFill>
                  <pic:spPr bwMode="auto">
                    <a:xfrm>
                      <a:off x="0" y="0"/>
                      <a:ext cx="5652774" cy="1742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654F" w:rsidRDefault="006D654F" w:rsidP="008824CE">
      <w:pPr>
        <w:jc w:val="both"/>
      </w:pPr>
      <w:r w:rsidRPr="006D654F">
        <w:drawing>
          <wp:inline distT="0" distB="0" distL="0" distR="0" wp14:anchorId="20001179" wp14:editId="3DAB1697">
            <wp:extent cx="5731510" cy="303134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54F" w:rsidRDefault="006D654F" w:rsidP="008824CE">
      <w:pPr>
        <w:jc w:val="both"/>
      </w:pPr>
      <w:r>
        <w:t xml:space="preserve">The </w:t>
      </w:r>
      <w:proofErr w:type="gramStart"/>
      <w:r>
        <w:t>MACD(</w:t>
      </w:r>
      <w:proofErr w:type="gramEnd"/>
      <w:r>
        <w:t xml:space="preserve">27) generated an annualized return of 2.1%; outperforming a buy-and-hold trading strategy by 2.34%. Comparing this return with returns from previous periods, we conclude that the </w:t>
      </w:r>
      <w:proofErr w:type="gramStart"/>
      <w:r>
        <w:t>MACD(</w:t>
      </w:r>
      <w:proofErr w:type="gramEnd"/>
      <w:r>
        <w:t xml:space="preserve">27) was consistent in generating positive returns; 2.1% ± 0.5%. </w:t>
      </w:r>
      <w:r w:rsidR="00751310">
        <w:t>O</w:t>
      </w:r>
      <w:r>
        <w:t xml:space="preserve">verall investors </w:t>
      </w:r>
      <w:r w:rsidR="00751310">
        <w:t>implementing</w:t>
      </w:r>
      <w:r>
        <w:t xml:space="preserve"> a </w:t>
      </w:r>
      <w:proofErr w:type="gramStart"/>
      <w:r>
        <w:t>MACD(</w:t>
      </w:r>
      <w:proofErr w:type="gramEnd"/>
      <w:r>
        <w:t xml:space="preserve">27) strategy </w:t>
      </w:r>
      <w:r w:rsidR="00751310">
        <w:t xml:space="preserve">from (2010-2014) </w:t>
      </w:r>
      <w:r>
        <w:t xml:space="preserve">would have outperformed </w:t>
      </w:r>
      <w:r w:rsidR="00751310">
        <w:t>a buy-and-</w:t>
      </w:r>
      <w:r>
        <w:t>hold strategy</w:t>
      </w:r>
      <w:r w:rsidR="00427DBC">
        <w:t xml:space="preserve"> by roughly 1.25%</w:t>
      </w:r>
      <w:r>
        <w:t xml:space="preserve">. </w:t>
      </w:r>
    </w:p>
    <w:p w:rsidR="00427DBC" w:rsidRDefault="00751310" w:rsidP="008824CE">
      <w:pPr>
        <w:jc w:val="both"/>
      </w:pPr>
      <w:r>
        <w:t>For</w:t>
      </w:r>
      <w:r w:rsidR="00427DBC">
        <w:t xml:space="preserve"> the real data </w:t>
      </w:r>
      <w:proofErr w:type="gramStart"/>
      <w:r w:rsidR="00427DBC">
        <w:t>MACD(</w:t>
      </w:r>
      <w:proofErr w:type="gramEnd"/>
      <w:r w:rsidR="00427DBC">
        <w:t>27) managed to fairly consistently predict profits</w:t>
      </w:r>
      <w:r>
        <w:t xml:space="preserve"> (equity graph) </w:t>
      </w:r>
      <w:r w:rsidR="00427DBC">
        <w:t xml:space="preserve">and capitalized on 22.28% of the total potential returns (trade efficiency). </w:t>
      </w:r>
      <w:r>
        <w:t>Concluding</w:t>
      </w:r>
      <w:r w:rsidR="00427DBC">
        <w:t xml:space="preserve"> the </w:t>
      </w:r>
      <w:proofErr w:type="gramStart"/>
      <w:r w:rsidR="00427DBC">
        <w:t>MACD(</w:t>
      </w:r>
      <w:proofErr w:type="gramEnd"/>
      <w:r w:rsidR="00427DBC">
        <w:t xml:space="preserve">27) generated significant returns without a high risk exposure (reward/risk index equalled 92.78%), and had a significantly high success rate (profit/loss index equalled 86.32%). </w:t>
      </w:r>
    </w:p>
    <w:p w:rsidR="00634192" w:rsidRDefault="00634192" w:rsidP="008824CE">
      <w:pPr>
        <w:jc w:val="both"/>
      </w:pPr>
    </w:p>
    <w:p w:rsidR="00E511D9" w:rsidRPr="003C6364" w:rsidRDefault="00001679" w:rsidP="003C6364">
      <w:pPr>
        <w:jc w:val="center"/>
        <w:rPr>
          <w:b/>
          <w:sz w:val="24"/>
          <w:szCs w:val="24"/>
          <w:u w:val="single"/>
        </w:rPr>
      </w:pPr>
      <w:r w:rsidRPr="003C6364">
        <w:rPr>
          <w:b/>
          <w:sz w:val="24"/>
          <w:szCs w:val="24"/>
          <w:u w:val="single"/>
        </w:rPr>
        <w:t>CONCLUSION</w:t>
      </w:r>
    </w:p>
    <w:p w:rsidR="00751310" w:rsidRDefault="00E511D9" w:rsidP="008824CE">
      <w:pPr>
        <w:jc w:val="both"/>
      </w:pPr>
      <w:r>
        <w:t>The objective of this report was to find a trading strategy</w:t>
      </w:r>
      <w:r w:rsidR="00751310">
        <w:t xml:space="preserve"> </w:t>
      </w:r>
      <w:r>
        <w:t xml:space="preserve">which would outperform a simple buy-and-hold trading strategy. </w:t>
      </w:r>
      <w:r w:rsidR="00751310">
        <w:t>T</w:t>
      </w:r>
      <w:r>
        <w:t xml:space="preserve">he </w:t>
      </w:r>
      <w:proofErr w:type="gramStart"/>
      <w:r>
        <w:t>MACD(</w:t>
      </w:r>
      <w:proofErr w:type="gramEnd"/>
      <w:r>
        <w:t xml:space="preserve">27) was unable to outperform </w:t>
      </w:r>
      <w:r w:rsidR="00751310">
        <w:t xml:space="preserve">this strategy in 2013; however, </w:t>
      </w:r>
      <w:r>
        <w:t xml:space="preserve">overall an investor implementing MACD(27) would have </w:t>
      </w:r>
      <w:r w:rsidR="00751310">
        <w:t>succeeded in our aim</w:t>
      </w:r>
      <w:r>
        <w:t xml:space="preserve">; 2013 appears to have been a significantly bullish year, unlikely to repeat itself. </w:t>
      </w:r>
    </w:p>
    <w:p w:rsidR="009467BB" w:rsidRDefault="00751310" w:rsidP="008824CE">
      <w:pPr>
        <w:jc w:val="both"/>
      </w:pPr>
      <w:r>
        <w:t>F</w:t>
      </w:r>
      <w:r w:rsidR="00E511D9">
        <w:t xml:space="preserve">urther research should be conducted upon the MACD, examining its performance over a range of securities, as well as markets. Currently, we cannot justify </w:t>
      </w:r>
      <w:r>
        <w:t>utilizing</w:t>
      </w:r>
      <w:r w:rsidR="003E1E55">
        <w:t xml:space="preserve"> </w:t>
      </w:r>
      <w:proofErr w:type="gramStart"/>
      <w:r w:rsidR="003E1E55">
        <w:t>MACD(</w:t>
      </w:r>
      <w:proofErr w:type="gramEnd"/>
      <w:r w:rsidR="003E1E55">
        <w:t xml:space="preserve">27) in conjunction with any other company than Boyd Gaming Corporation. </w:t>
      </w:r>
    </w:p>
    <w:p w:rsidR="00634192" w:rsidRDefault="00634192" w:rsidP="008824CE">
      <w:pPr>
        <w:jc w:val="both"/>
      </w:pPr>
    </w:p>
    <w:p w:rsidR="00874574" w:rsidRDefault="00874574" w:rsidP="008824CE">
      <w:pPr>
        <w:jc w:val="both"/>
      </w:pPr>
    </w:p>
    <w:p w:rsidR="00874574" w:rsidRDefault="00874574" w:rsidP="008824CE">
      <w:pPr>
        <w:jc w:val="both"/>
      </w:pPr>
    </w:p>
    <w:p w:rsidR="00874574" w:rsidRDefault="00874574" w:rsidP="008824CE">
      <w:pPr>
        <w:jc w:val="both"/>
      </w:pPr>
    </w:p>
    <w:p w:rsidR="00874574" w:rsidRDefault="00874574" w:rsidP="008824CE">
      <w:pPr>
        <w:jc w:val="both"/>
      </w:pPr>
    </w:p>
    <w:p w:rsidR="00874574" w:rsidRDefault="00874574" w:rsidP="008824CE">
      <w:pPr>
        <w:jc w:val="both"/>
      </w:pPr>
    </w:p>
    <w:p w:rsidR="00634192" w:rsidRPr="00001679" w:rsidRDefault="00634192" w:rsidP="008824CE">
      <w:pPr>
        <w:jc w:val="both"/>
        <w:rPr>
          <w:u w:val="single"/>
        </w:rPr>
      </w:pPr>
      <w:r w:rsidRPr="00001679">
        <w:rPr>
          <w:u w:val="single"/>
        </w:rPr>
        <w:t xml:space="preserve">Referencing: </w:t>
      </w:r>
    </w:p>
    <w:p w:rsidR="00970B76" w:rsidRPr="00970B76" w:rsidRDefault="00970B76" w:rsidP="008824CE">
      <w:pPr>
        <w:jc w:val="both"/>
        <w:rPr>
          <w:i/>
        </w:rPr>
      </w:pPr>
      <w:r w:rsidRPr="00970B76">
        <w:rPr>
          <w:i/>
        </w:rPr>
        <w:t>Online:</w:t>
      </w:r>
    </w:p>
    <w:p w:rsidR="00634192" w:rsidRDefault="00634192" w:rsidP="008824CE">
      <w:pPr>
        <w:jc w:val="both"/>
      </w:pPr>
      <w:r>
        <w:t>Boyd Gaming Corporation stock data generated from yahoo.finance.com</w:t>
      </w:r>
    </w:p>
    <w:p w:rsidR="00634192" w:rsidRDefault="00634192" w:rsidP="00634192">
      <w:pPr>
        <w:jc w:val="both"/>
      </w:pPr>
      <w:r>
        <w:t>(Meta Stock User Manual, accessed [online]</w:t>
      </w:r>
      <w:r w:rsidR="00970B76">
        <w:t>:</w:t>
      </w:r>
      <w:r w:rsidR="00970B76">
        <w:tab/>
      </w:r>
      <w:r>
        <w:t xml:space="preserve"> </w:t>
      </w:r>
      <w:hyperlink r:id="rId27" w:history="1">
        <w:r w:rsidR="00970B76" w:rsidRPr="00970B76">
          <w:t>http://www.moneymentor.com/TradingSoftware/MetaStockUserManual.pdf</w:t>
        </w:r>
      </w:hyperlink>
      <w:r w:rsidR="00970B76">
        <w:t xml:space="preserve">, </w:t>
      </w:r>
      <w:r w:rsidR="00970B76" w:rsidRPr="00970B76">
        <w:t>28.11.2014)</w:t>
      </w:r>
      <w:r>
        <w:t xml:space="preserve"> </w:t>
      </w:r>
    </w:p>
    <w:p w:rsidR="00970B76" w:rsidRDefault="00970B76" w:rsidP="00970B76">
      <w:pPr>
        <w:jc w:val="both"/>
      </w:pPr>
      <w:r w:rsidRPr="00970B76">
        <w:t xml:space="preserve"> (The Margin Investor, November 2013, accessed [online]</w:t>
      </w:r>
      <w:r>
        <w:tab/>
      </w:r>
      <w:r w:rsidRPr="00970B76">
        <w:t xml:space="preserve"> </w:t>
      </w:r>
      <w:hyperlink r:id="rId28" w:history="1">
        <w:r w:rsidRPr="00970B76">
          <w:t>http://www.themargininvestor.com/margin-rate-comparison.html</w:t>
        </w:r>
      </w:hyperlink>
      <w:r w:rsidRPr="00970B76">
        <w:t>, 28.11.2014)</w:t>
      </w:r>
    </w:p>
    <w:p w:rsidR="00970B76" w:rsidRDefault="00970B76" w:rsidP="00970B76">
      <w:pPr>
        <w:pStyle w:val="Heading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 w:rsidRPr="00970B76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 xml:space="preserve">(Forbes, 4/15/2013, accessed [online] </w:t>
      </w:r>
      <w:hyperlink r:id="rId29" w:history="1">
        <w:r w:rsidRPr="00970B76">
          <w:rPr>
            <w:rFonts w:asciiTheme="minorHAnsi" w:eastAsiaTheme="minorHAnsi" w:hAnsiTheme="minorHAnsi" w:cstheme="minorBidi"/>
            <w:b w:val="0"/>
            <w:sz w:val="22"/>
            <w:szCs w:val="22"/>
            <w:lang w:eastAsia="en-US"/>
          </w:rPr>
          <w:t>http://www.forbes.com/sites/greatspeculations/2013/04/15/technical-analysis-indicator-that-works-turns-positive-for-these-stocks/</w:t>
        </w:r>
      </w:hyperlink>
      <w:r w:rsidRPr="00970B76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>, 28.11.2014)</w:t>
      </w:r>
    </w:p>
    <w:p w:rsidR="00970B76" w:rsidRDefault="00970B76" w:rsidP="00970B76">
      <w:pPr>
        <w:pStyle w:val="Heading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</w:p>
    <w:p w:rsidR="00970B76" w:rsidRDefault="00970B76" w:rsidP="00970B76">
      <w:pPr>
        <w:pStyle w:val="Heading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 xml:space="preserve">(ETF </w:t>
      </w:r>
      <w:proofErr w:type="gramStart"/>
      <w:r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>HQ ,</w:t>
      </w:r>
      <w:proofErr w:type="gramEnd"/>
      <w:r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 xml:space="preserve"> accessed [online] </w:t>
      </w:r>
    </w:p>
    <w:p w:rsidR="00970B76" w:rsidRDefault="00970B76" w:rsidP="00970B76">
      <w:pPr>
        <w:pStyle w:val="Heading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hyperlink r:id="rId30" w:history="1">
        <w:r w:rsidRPr="00A4184B">
          <w:rPr>
            <w:b w:val="0"/>
            <w:lang w:eastAsia="en-US"/>
          </w:rPr>
          <w:t>http://etfhq.com/blog/2013/01/15/golden-cross-which-is-the-best/</w:t>
        </w:r>
      </w:hyperlink>
      <w:r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>, 28.11.2014)</w:t>
      </w:r>
    </w:p>
    <w:p w:rsidR="006C3B5F" w:rsidRDefault="006C3B5F" w:rsidP="00970B76">
      <w:pPr>
        <w:pStyle w:val="Heading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</w:p>
    <w:p w:rsidR="006C3B5F" w:rsidRPr="006C3B5F" w:rsidRDefault="006C3B5F" w:rsidP="00970B76">
      <w:pPr>
        <w:pStyle w:val="Heading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</w:pPr>
      <w:r w:rsidRPr="006C3B5F"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t xml:space="preserve">(The Patter Site, </w:t>
      </w:r>
      <w:hyperlink r:id="rId31" w:history="1">
        <w:r w:rsidRPr="006C3B5F">
          <w:rPr>
            <w:rFonts w:asciiTheme="minorHAnsi" w:eastAsiaTheme="minorHAnsi" w:hAnsiTheme="minorHAnsi" w:cstheme="minorBidi"/>
            <w:b w:val="0"/>
            <w:sz w:val="22"/>
            <w:szCs w:val="22"/>
            <w:lang w:eastAsia="en-US"/>
          </w:rPr>
          <w:t xml:space="preserve">Thomas </w:t>
        </w:r>
        <w:proofErr w:type="spellStart"/>
        <w:r w:rsidRPr="006C3B5F">
          <w:rPr>
            <w:rFonts w:asciiTheme="minorHAnsi" w:eastAsiaTheme="minorHAnsi" w:hAnsiTheme="minorHAnsi" w:cstheme="minorBidi"/>
            <w:b w:val="0"/>
            <w:sz w:val="22"/>
            <w:szCs w:val="22"/>
            <w:lang w:eastAsia="en-US"/>
          </w:rPr>
          <w:t>Bulkowski’s</w:t>
        </w:r>
        <w:proofErr w:type="spellEnd"/>
      </w:hyperlink>
      <w:r w:rsidRPr="006C3B5F"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t xml:space="preserve">, 2013, accessed [online] </w:t>
      </w:r>
      <w:hyperlink r:id="rId32" w:history="1">
        <w:r w:rsidRPr="006C3B5F">
          <w:rPr>
            <w:b w:val="0"/>
            <w:lang w:eastAsia="en-US"/>
          </w:rPr>
          <w:t>http://thepatternsite.com/RSI.html</w:t>
        </w:r>
      </w:hyperlink>
      <w:r w:rsidRPr="006C3B5F"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t>, 28.11.2014)</w:t>
      </w:r>
    </w:p>
    <w:p w:rsidR="00970B76" w:rsidRPr="00001679" w:rsidRDefault="00970B76" w:rsidP="00970B76">
      <w:pPr>
        <w:pStyle w:val="Heading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 w:cstheme="minorBidi"/>
          <w:b w:val="0"/>
          <w:bCs w:val="0"/>
          <w:i/>
          <w:sz w:val="22"/>
          <w:szCs w:val="22"/>
          <w:lang w:eastAsia="en-US"/>
        </w:rPr>
      </w:pPr>
    </w:p>
    <w:p w:rsidR="00970B76" w:rsidRPr="00001679" w:rsidRDefault="00970B76" w:rsidP="00970B76">
      <w:pPr>
        <w:jc w:val="both"/>
        <w:rPr>
          <w:i/>
        </w:rPr>
      </w:pPr>
      <w:r w:rsidRPr="00001679">
        <w:rPr>
          <w:i/>
        </w:rPr>
        <w:t xml:space="preserve">Dissertations and Articles: </w:t>
      </w:r>
    </w:p>
    <w:p w:rsidR="00970B76" w:rsidRDefault="00A4184B" w:rsidP="00970B76">
      <w:pPr>
        <w:jc w:val="both"/>
      </w:pPr>
      <w:r>
        <w:t xml:space="preserve">(A test of MACD trading strategy, Bill Huang &amp; Yong </w:t>
      </w:r>
      <w:proofErr w:type="spellStart"/>
      <w:r>
        <w:t>Soo</w:t>
      </w:r>
      <w:proofErr w:type="spellEnd"/>
      <w:r>
        <w:t xml:space="preserve"> Kim, 2006)</w:t>
      </w:r>
    </w:p>
    <w:p w:rsidR="00A4184B" w:rsidRPr="00970B76" w:rsidRDefault="00A4184B" w:rsidP="00970B76">
      <w:pPr>
        <w:jc w:val="both"/>
      </w:pPr>
      <w:r>
        <w:t xml:space="preserve">(Journal of Industrial Engineering International, </w:t>
      </w:r>
      <w:proofErr w:type="spellStart"/>
      <w:r>
        <w:t>Jasemi</w:t>
      </w:r>
      <w:proofErr w:type="spellEnd"/>
      <w:r>
        <w:t xml:space="preserve"> and </w:t>
      </w:r>
      <w:proofErr w:type="spellStart"/>
      <w:r>
        <w:t>Kimiagari</w:t>
      </w:r>
      <w:proofErr w:type="spellEnd"/>
      <w:r>
        <w:t>, 2012)</w:t>
      </w:r>
    </w:p>
    <w:p w:rsidR="006C3B5F" w:rsidRDefault="00A4184B" w:rsidP="006C3B5F">
      <w:pPr>
        <w:jc w:val="both"/>
      </w:pPr>
      <w:r w:rsidRPr="006C3B5F">
        <w:rPr>
          <w:bCs/>
        </w:rPr>
        <w:t xml:space="preserve">(Trading stocks with MACD, Bhandari and </w:t>
      </w:r>
      <w:proofErr w:type="spellStart"/>
      <w:r w:rsidRPr="006C3B5F">
        <w:rPr>
          <w:bCs/>
        </w:rPr>
        <w:t>Bramesh</w:t>
      </w:r>
      <w:proofErr w:type="spellEnd"/>
      <w:r w:rsidRPr="006C3B5F">
        <w:rPr>
          <w:bCs/>
        </w:rPr>
        <w:t>,</w:t>
      </w:r>
      <w:r w:rsidRPr="00A4184B">
        <w:rPr>
          <w:b/>
          <w:bCs/>
        </w:rPr>
        <w:t xml:space="preserve"> </w:t>
      </w:r>
      <w:r w:rsidRPr="006C3B5F">
        <w:t>December 2011)</w:t>
      </w:r>
    </w:p>
    <w:p w:rsidR="006C3B5F" w:rsidRPr="006C3B5F" w:rsidRDefault="006C3B5F" w:rsidP="006C3B5F">
      <w:pPr>
        <w:jc w:val="both"/>
      </w:pPr>
      <w:r>
        <w:t xml:space="preserve">(Market forces: technically speaking…, Doug </w:t>
      </w:r>
      <w:proofErr w:type="spellStart"/>
      <w:r>
        <w:t>Standefer</w:t>
      </w:r>
      <w:proofErr w:type="spellEnd"/>
      <w:r>
        <w:t>, June 2003)</w:t>
      </w:r>
    </w:p>
    <w:p w:rsidR="006C3B5F" w:rsidRPr="009467BB" w:rsidRDefault="006C3B5F" w:rsidP="006C3B5F">
      <w:pPr>
        <w:jc w:val="both"/>
      </w:pPr>
      <w:r>
        <w:t>(Revisiting the performance of MACD and RSI oscillators, Terence Tai-Leung Chong, Wing-</w:t>
      </w:r>
      <w:proofErr w:type="spellStart"/>
      <w:r>
        <w:t>Kam</w:t>
      </w:r>
      <w:proofErr w:type="spellEnd"/>
      <w:r>
        <w:t xml:space="preserve"> Ng, and Venus </w:t>
      </w:r>
      <w:proofErr w:type="spellStart"/>
      <w:r>
        <w:t>Khim</w:t>
      </w:r>
      <w:proofErr w:type="spellEnd"/>
      <w:r>
        <w:t xml:space="preserve">-Sen </w:t>
      </w:r>
      <w:proofErr w:type="spellStart"/>
      <w:r>
        <w:t>Liew</w:t>
      </w:r>
      <w:proofErr w:type="spellEnd"/>
      <w:r>
        <w:t>, February 2014)</w:t>
      </w:r>
    </w:p>
    <w:sectPr w:rsidR="006C3B5F" w:rsidRPr="009467BB">
      <w:headerReference w:type="default" r:id="rId33"/>
      <w:footerReference w:type="default" r:id="rId3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657B0" w:rsidRDefault="00D657B0" w:rsidP="0092748A">
      <w:pPr>
        <w:spacing w:after="0" w:line="240" w:lineRule="auto"/>
      </w:pPr>
      <w:r>
        <w:separator/>
      </w:r>
    </w:p>
  </w:endnote>
  <w:endnote w:type="continuationSeparator" w:id="0">
    <w:p w:rsidR="00D657B0" w:rsidRDefault="00D657B0" w:rsidP="009274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0133368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5445E" w:rsidRDefault="0005445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C6364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05445E" w:rsidRDefault="0005445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657B0" w:rsidRDefault="00D657B0" w:rsidP="0092748A">
      <w:pPr>
        <w:spacing w:after="0" w:line="240" w:lineRule="auto"/>
      </w:pPr>
      <w:r>
        <w:separator/>
      </w:r>
    </w:p>
  </w:footnote>
  <w:footnote w:type="continuationSeparator" w:id="0">
    <w:p w:rsidR="00D657B0" w:rsidRDefault="00D657B0" w:rsidP="009274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445E" w:rsidRDefault="0005445E">
    <w:pPr>
      <w:pStyle w:val="Header"/>
    </w:pPr>
    <w:r>
      <w:t>Technical Analysis</w:t>
    </w:r>
    <w:r>
      <w:ptab w:relativeTo="margin" w:alignment="center" w:leader="none"/>
    </w:r>
    <w:proofErr w:type="spellStart"/>
    <w:r>
      <w:t>Krystof</w:t>
    </w:r>
    <w:proofErr w:type="spellEnd"/>
    <w:r>
      <w:t xml:space="preserve"> </w:t>
    </w:r>
    <w:proofErr w:type="spellStart"/>
    <w:r>
      <w:t>Mincev</w:t>
    </w:r>
    <w:proofErr w:type="spellEnd"/>
    <w:r>
      <w:ptab w:relativeTo="margin" w:alignment="right" w:leader="none"/>
    </w:r>
    <w:r>
      <w:t>120001163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260D"/>
    <w:rsid w:val="00001679"/>
    <w:rsid w:val="0005445E"/>
    <w:rsid w:val="00086509"/>
    <w:rsid w:val="00094A78"/>
    <w:rsid w:val="000A66F7"/>
    <w:rsid w:val="000A7DCD"/>
    <w:rsid w:val="000C1A42"/>
    <w:rsid w:val="000E5DA9"/>
    <w:rsid w:val="00101755"/>
    <w:rsid w:val="001B0E1B"/>
    <w:rsid w:val="001F27A5"/>
    <w:rsid w:val="0020781C"/>
    <w:rsid w:val="0021001A"/>
    <w:rsid w:val="00254EE0"/>
    <w:rsid w:val="002737C2"/>
    <w:rsid w:val="00275D17"/>
    <w:rsid w:val="00296091"/>
    <w:rsid w:val="00296F56"/>
    <w:rsid w:val="002E42C2"/>
    <w:rsid w:val="00303CF5"/>
    <w:rsid w:val="00312960"/>
    <w:rsid w:val="0031354D"/>
    <w:rsid w:val="00322847"/>
    <w:rsid w:val="00323B23"/>
    <w:rsid w:val="003478B5"/>
    <w:rsid w:val="003A27AE"/>
    <w:rsid w:val="003B5DF8"/>
    <w:rsid w:val="003C6364"/>
    <w:rsid w:val="003C68F1"/>
    <w:rsid w:val="003E1E55"/>
    <w:rsid w:val="004226B2"/>
    <w:rsid w:val="00427DBC"/>
    <w:rsid w:val="00452DEB"/>
    <w:rsid w:val="004615A2"/>
    <w:rsid w:val="00476CCB"/>
    <w:rsid w:val="004A1FFE"/>
    <w:rsid w:val="004B0174"/>
    <w:rsid w:val="004D5E53"/>
    <w:rsid w:val="004E4EE1"/>
    <w:rsid w:val="0052269E"/>
    <w:rsid w:val="00544BDE"/>
    <w:rsid w:val="00547373"/>
    <w:rsid w:val="00562992"/>
    <w:rsid w:val="005A6F8C"/>
    <w:rsid w:val="005D2163"/>
    <w:rsid w:val="005E521B"/>
    <w:rsid w:val="005E5E3B"/>
    <w:rsid w:val="005F4C45"/>
    <w:rsid w:val="006112D9"/>
    <w:rsid w:val="00634192"/>
    <w:rsid w:val="00673514"/>
    <w:rsid w:val="006C3B5F"/>
    <w:rsid w:val="006D654F"/>
    <w:rsid w:val="006E7EC0"/>
    <w:rsid w:val="00707F94"/>
    <w:rsid w:val="00720CFD"/>
    <w:rsid w:val="0074048B"/>
    <w:rsid w:val="00751310"/>
    <w:rsid w:val="007B42D3"/>
    <w:rsid w:val="007D20D1"/>
    <w:rsid w:val="007D3E63"/>
    <w:rsid w:val="00802029"/>
    <w:rsid w:val="00811B32"/>
    <w:rsid w:val="00863FEF"/>
    <w:rsid w:val="00874574"/>
    <w:rsid w:val="008824CE"/>
    <w:rsid w:val="008851E9"/>
    <w:rsid w:val="008D5D50"/>
    <w:rsid w:val="00906F2D"/>
    <w:rsid w:val="00924F4F"/>
    <w:rsid w:val="0092748A"/>
    <w:rsid w:val="0094260D"/>
    <w:rsid w:val="009467BB"/>
    <w:rsid w:val="00970B76"/>
    <w:rsid w:val="009D21F1"/>
    <w:rsid w:val="00A308FD"/>
    <w:rsid w:val="00A4184B"/>
    <w:rsid w:val="00A422FC"/>
    <w:rsid w:val="00AA2154"/>
    <w:rsid w:val="00B329CF"/>
    <w:rsid w:val="00B40B3A"/>
    <w:rsid w:val="00B41DD7"/>
    <w:rsid w:val="00B447D1"/>
    <w:rsid w:val="00B552BF"/>
    <w:rsid w:val="00B62FA7"/>
    <w:rsid w:val="00B630C2"/>
    <w:rsid w:val="00C04A27"/>
    <w:rsid w:val="00C401AC"/>
    <w:rsid w:val="00C7044F"/>
    <w:rsid w:val="00C81234"/>
    <w:rsid w:val="00C9643C"/>
    <w:rsid w:val="00CD2713"/>
    <w:rsid w:val="00D207B6"/>
    <w:rsid w:val="00D444FC"/>
    <w:rsid w:val="00D561F4"/>
    <w:rsid w:val="00D657B0"/>
    <w:rsid w:val="00D931AB"/>
    <w:rsid w:val="00DC7A0A"/>
    <w:rsid w:val="00DE134A"/>
    <w:rsid w:val="00E511D9"/>
    <w:rsid w:val="00E64C0D"/>
    <w:rsid w:val="00E74E13"/>
    <w:rsid w:val="00E75953"/>
    <w:rsid w:val="00E7695B"/>
    <w:rsid w:val="00E77898"/>
    <w:rsid w:val="00E82217"/>
    <w:rsid w:val="00E90E2A"/>
    <w:rsid w:val="00E91A45"/>
    <w:rsid w:val="00EC5586"/>
    <w:rsid w:val="00ED30F4"/>
    <w:rsid w:val="00EF2F7B"/>
    <w:rsid w:val="00F01805"/>
    <w:rsid w:val="00F62F5F"/>
    <w:rsid w:val="00F6464E"/>
    <w:rsid w:val="00FA6C76"/>
    <w:rsid w:val="00FC1D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184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5">
    <w:name w:val="heading 5"/>
    <w:basedOn w:val="Normal"/>
    <w:link w:val="Heading5Char"/>
    <w:uiPriority w:val="9"/>
    <w:qFormat/>
    <w:rsid w:val="00970B76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444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44F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C68F1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274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748A"/>
  </w:style>
  <w:style w:type="paragraph" w:styleId="Footer">
    <w:name w:val="footer"/>
    <w:basedOn w:val="Normal"/>
    <w:link w:val="FooterChar"/>
    <w:uiPriority w:val="99"/>
    <w:unhideWhenUsed/>
    <w:rsid w:val="009274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748A"/>
  </w:style>
  <w:style w:type="character" w:customStyle="1" w:styleId="Heading5Char">
    <w:name w:val="Heading 5 Char"/>
    <w:basedOn w:val="DefaultParagraphFont"/>
    <w:link w:val="Heading5"/>
    <w:uiPriority w:val="9"/>
    <w:rsid w:val="00970B76"/>
    <w:rPr>
      <w:rFonts w:ascii="Times New Roman" w:eastAsia="Times New Roman" w:hAnsi="Times New Roman" w:cs="Times New Roman"/>
      <w:b/>
      <w:bCs/>
      <w:sz w:val="20"/>
      <w:szCs w:val="20"/>
      <w:lang w:eastAsia="en-GB"/>
    </w:rPr>
  </w:style>
  <w:style w:type="character" w:customStyle="1" w:styleId="apple-converted-space">
    <w:name w:val="apple-converted-space"/>
    <w:basedOn w:val="DefaultParagraphFont"/>
    <w:rsid w:val="00970B76"/>
  </w:style>
  <w:style w:type="character" w:customStyle="1" w:styleId="Heading2Char">
    <w:name w:val="Heading 2 Char"/>
    <w:basedOn w:val="DefaultParagraphFont"/>
    <w:link w:val="Heading2"/>
    <w:uiPriority w:val="9"/>
    <w:rsid w:val="00A4184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leauthoretc">
    <w:name w:val="titleauthoretc"/>
    <w:basedOn w:val="DefaultParagraphFont"/>
    <w:rsid w:val="00A4184B"/>
  </w:style>
  <w:style w:type="character" w:styleId="Strong">
    <w:name w:val="Strong"/>
    <w:basedOn w:val="DefaultParagraphFont"/>
    <w:uiPriority w:val="22"/>
    <w:qFormat/>
    <w:rsid w:val="006C3B5F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184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5">
    <w:name w:val="heading 5"/>
    <w:basedOn w:val="Normal"/>
    <w:link w:val="Heading5Char"/>
    <w:uiPriority w:val="9"/>
    <w:qFormat/>
    <w:rsid w:val="00970B76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444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44F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C68F1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274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748A"/>
  </w:style>
  <w:style w:type="paragraph" w:styleId="Footer">
    <w:name w:val="footer"/>
    <w:basedOn w:val="Normal"/>
    <w:link w:val="FooterChar"/>
    <w:uiPriority w:val="99"/>
    <w:unhideWhenUsed/>
    <w:rsid w:val="009274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748A"/>
  </w:style>
  <w:style w:type="character" w:customStyle="1" w:styleId="Heading5Char">
    <w:name w:val="Heading 5 Char"/>
    <w:basedOn w:val="DefaultParagraphFont"/>
    <w:link w:val="Heading5"/>
    <w:uiPriority w:val="9"/>
    <w:rsid w:val="00970B76"/>
    <w:rPr>
      <w:rFonts w:ascii="Times New Roman" w:eastAsia="Times New Roman" w:hAnsi="Times New Roman" w:cs="Times New Roman"/>
      <w:b/>
      <w:bCs/>
      <w:sz w:val="20"/>
      <w:szCs w:val="20"/>
      <w:lang w:eastAsia="en-GB"/>
    </w:rPr>
  </w:style>
  <w:style w:type="character" w:customStyle="1" w:styleId="apple-converted-space">
    <w:name w:val="apple-converted-space"/>
    <w:basedOn w:val="DefaultParagraphFont"/>
    <w:rsid w:val="00970B76"/>
  </w:style>
  <w:style w:type="character" w:customStyle="1" w:styleId="Heading2Char">
    <w:name w:val="Heading 2 Char"/>
    <w:basedOn w:val="DefaultParagraphFont"/>
    <w:link w:val="Heading2"/>
    <w:uiPriority w:val="9"/>
    <w:rsid w:val="00A4184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leauthoretc">
    <w:name w:val="titleauthoretc"/>
    <w:basedOn w:val="DefaultParagraphFont"/>
    <w:rsid w:val="00A4184B"/>
  </w:style>
  <w:style w:type="character" w:styleId="Strong">
    <w:name w:val="Strong"/>
    <w:basedOn w:val="DefaultParagraphFont"/>
    <w:uiPriority w:val="22"/>
    <w:qFormat/>
    <w:rsid w:val="006C3B5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493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75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7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58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2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5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15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1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98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9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95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thepatternsite.com/about.html" TargetMode="External"/><Relationship Id="rId13" Type="http://schemas.openxmlformats.org/officeDocument/2006/relationships/image" Target="media/image4.emf"/><Relationship Id="rId18" Type="http://schemas.openxmlformats.org/officeDocument/2006/relationships/image" Target="media/image6.emf"/><Relationship Id="rId26" Type="http://schemas.openxmlformats.org/officeDocument/2006/relationships/image" Target="media/image14.emf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chart" Target="charts/chart2.xml"/><Relationship Id="rId17" Type="http://schemas.openxmlformats.org/officeDocument/2006/relationships/chart" Target="charts/chart3.xml"/><Relationship Id="rId25" Type="http://schemas.openxmlformats.org/officeDocument/2006/relationships/image" Target="media/image13.png"/><Relationship Id="rId33" Type="http://schemas.openxmlformats.org/officeDocument/2006/relationships/header" Target="header1.xml"/><Relationship Id="rId2" Type="http://schemas.microsoft.com/office/2007/relationships/stylesWithEffects" Target="stylesWithEffects.xml"/><Relationship Id="rId16" Type="http://schemas.openxmlformats.org/officeDocument/2006/relationships/hyperlink" Target="http://thepatternsite.com/about.html" TargetMode="External"/><Relationship Id="rId20" Type="http://schemas.openxmlformats.org/officeDocument/2006/relationships/image" Target="media/image8.png"/><Relationship Id="rId29" Type="http://schemas.openxmlformats.org/officeDocument/2006/relationships/hyperlink" Target="http://www.forbes.com/sites/greatspeculations/2013/04/15/technical-analysis-indicator-that-works-turns-positive-for-these-stocks/" TargetMode="Externa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24" Type="http://schemas.openxmlformats.org/officeDocument/2006/relationships/image" Target="media/image12.emf"/><Relationship Id="rId32" Type="http://schemas.openxmlformats.org/officeDocument/2006/relationships/hyperlink" Target="http://thepatternsite.com/RSI.html" TargetMode="Externa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://thepatternsite.com/about.html" TargetMode="External"/><Relationship Id="rId23" Type="http://schemas.openxmlformats.org/officeDocument/2006/relationships/image" Target="media/image11.png"/><Relationship Id="rId28" Type="http://schemas.openxmlformats.org/officeDocument/2006/relationships/hyperlink" Target="http://www.themargininvestor.com/margin-rate-comparison.html" TargetMode="External"/><Relationship Id="rId36" Type="http://schemas.openxmlformats.org/officeDocument/2006/relationships/glossaryDocument" Target="glossary/document.xml"/><Relationship Id="rId10" Type="http://schemas.openxmlformats.org/officeDocument/2006/relationships/chart" Target="charts/chart1.xml"/><Relationship Id="rId19" Type="http://schemas.openxmlformats.org/officeDocument/2006/relationships/image" Target="media/image7.emf"/><Relationship Id="rId31" Type="http://schemas.openxmlformats.org/officeDocument/2006/relationships/hyperlink" Target="http://thepatternsite.com/about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hyperlink" Target="http://www.moneymentor.com/TradingSoftware/MetaStockUserManual.pdf" TargetMode="External"/><Relationship Id="rId30" Type="http://schemas.openxmlformats.org/officeDocument/2006/relationships/hyperlink" Target="http://etfhq.com/blog/2013/01/15/golden-cross-which-is-the-best/" TargetMode="External"/><Relationship Id="rId35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Book1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Book1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Book1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GB" sz="1400"/>
              <a:t>System</a:t>
            </a:r>
            <a:r>
              <a:rPr lang="en-GB" sz="1400" baseline="0"/>
              <a:t> Test</a:t>
            </a:r>
            <a:r>
              <a:rPr lang="en-GB" sz="1400"/>
              <a:t> for</a:t>
            </a:r>
            <a:r>
              <a:rPr lang="en-GB" sz="1400" baseline="0"/>
              <a:t> Goldan Cross </a:t>
            </a:r>
            <a:r>
              <a:rPr lang="en-GB" sz="1100" b="0" baseline="0"/>
              <a:t>(20 most profitable crossovers)</a:t>
            </a:r>
            <a:endParaRPr lang="en-GB" sz="1100" b="0"/>
          </a:p>
        </c:rich>
      </c:tx>
      <c:layout>
        <c:manualLayout>
          <c:xMode val="edge"/>
          <c:yMode val="edge"/>
          <c:x val="0.17025235604533653"/>
          <c:y val="2.8503382649873885E-2"/>
        </c:manualLayout>
      </c:layout>
      <c:overlay val="1"/>
    </c:title>
    <c:autoTitleDeleted val="0"/>
    <c:view3D>
      <c:rotX val="10"/>
      <c:rotY val="50"/>
      <c:rAngAx val="0"/>
      <c:perspective val="0"/>
    </c:view3D>
    <c:floor>
      <c:thickness val="0"/>
      <c:spPr>
        <a:noFill/>
        <a:ln w="9525">
          <a:noFill/>
        </a:ln>
      </c:spPr>
    </c:floor>
    <c:sideWall>
      <c:thickness val="0"/>
    </c:sideWall>
    <c:backWall>
      <c:thickness val="0"/>
    </c:backWall>
    <c:plotArea>
      <c:layout/>
      <c:surface3DChart>
        <c:wireframe val="0"/>
        <c:ser>
          <c:idx val="0"/>
          <c:order val="0"/>
          <c:tx>
            <c:strRef>
              <c:f>Sheet4!$C$3</c:f>
              <c:strCache>
                <c:ptCount val="1"/>
                <c:pt idx="0">
                  <c:v>1</c:v>
                </c:pt>
              </c:strCache>
            </c:strRef>
          </c:tx>
          <c:cat>
            <c:numRef>
              <c:f>Sheet4!$D$2:$AE$2</c:f>
              <c:numCache>
                <c:formatCode>General</c:formatCode>
                <c:ptCount val="28"/>
                <c:pt idx="0">
                  <c:v>23</c:v>
                </c:pt>
                <c:pt idx="1">
                  <c:v>24</c:v>
                </c:pt>
                <c:pt idx="2">
                  <c:v>25</c:v>
                </c:pt>
                <c:pt idx="3">
                  <c:v>26</c:v>
                </c:pt>
                <c:pt idx="4">
                  <c:v>27</c:v>
                </c:pt>
                <c:pt idx="5">
                  <c:v>28</c:v>
                </c:pt>
                <c:pt idx="6">
                  <c:v>29</c:v>
                </c:pt>
                <c:pt idx="7">
                  <c:v>30</c:v>
                </c:pt>
                <c:pt idx="8">
                  <c:v>31</c:v>
                </c:pt>
                <c:pt idx="9">
                  <c:v>32</c:v>
                </c:pt>
                <c:pt idx="10">
                  <c:v>33</c:v>
                </c:pt>
                <c:pt idx="11">
                  <c:v>34</c:v>
                </c:pt>
                <c:pt idx="12">
                  <c:v>35</c:v>
                </c:pt>
                <c:pt idx="13">
                  <c:v>36</c:v>
                </c:pt>
                <c:pt idx="14">
                  <c:v>37</c:v>
                </c:pt>
                <c:pt idx="15">
                  <c:v>38</c:v>
                </c:pt>
                <c:pt idx="16">
                  <c:v>39</c:v>
                </c:pt>
                <c:pt idx="17">
                  <c:v>40</c:v>
                </c:pt>
                <c:pt idx="18">
                  <c:v>41</c:v>
                </c:pt>
                <c:pt idx="19">
                  <c:v>42</c:v>
                </c:pt>
                <c:pt idx="20">
                  <c:v>43</c:v>
                </c:pt>
                <c:pt idx="21">
                  <c:v>44</c:v>
                </c:pt>
                <c:pt idx="22">
                  <c:v>45</c:v>
                </c:pt>
                <c:pt idx="23">
                  <c:v>46</c:v>
                </c:pt>
                <c:pt idx="24">
                  <c:v>47</c:v>
                </c:pt>
                <c:pt idx="25">
                  <c:v>48</c:v>
                </c:pt>
                <c:pt idx="26">
                  <c:v>49</c:v>
                </c:pt>
                <c:pt idx="27">
                  <c:v>50</c:v>
                </c:pt>
              </c:numCache>
            </c:numRef>
          </c:cat>
          <c:val>
            <c:numRef>
              <c:f>Sheet4!$D$3:$AE$3</c:f>
              <c:numCache>
                <c:formatCode>General</c:formatCode>
                <c:ptCount val="28"/>
                <c:pt idx="17">
                  <c:v>4.1700000000000001E-2</c:v>
                </c:pt>
                <c:pt idx="22">
                  <c:v>4.1099999999999998E-2</c:v>
                </c:pt>
                <c:pt idx="27">
                  <c:v>6.0900000000000003E-2</c:v>
                </c:pt>
              </c:numCache>
            </c:numRef>
          </c:val>
        </c:ser>
        <c:ser>
          <c:idx val="1"/>
          <c:order val="1"/>
          <c:tx>
            <c:strRef>
              <c:f>Sheet4!$C$4</c:f>
              <c:strCache>
                <c:ptCount val="1"/>
                <c:pt idx="0">
                  <c:v>2</c:v>
                </c:pt>
              </c:strCache>
            </c:strRef>
          </c:tx>
          <c:cat>
            <c:numRef>
              <c:f>Sheet4!$D$2:$AE$2</c:f>
              <c:numCache>
                <c:formatCode>General</c:formatCode>
                <c:ptCount val="28"/>
                <c:pt idx="0">
                  <c:v>23</c:v>
                </c:pt>
                <c:pt idx="1">
                  <c:v>24</c:v>
                </c:pt>
                <c:pt idx="2">
                  <c:v>25</c:v>
                </c:pt>
                <c:pt idx="3">
                  <c:v>26</c:v>
                </c:pt>
                <c:pt idx="4">
                  <c:v>27</c:v>
                </c:pt>
                <c:pt idx="5">
                  <c:v>28</c:v>
                </c:pt>
                <c:pt idx="6">
                  <c:v>29</c:v>
                </c:pt>
                <c:pt idx="7">
                  <c:v>30</c:v>
                </c:pt>
                <c:pt idx="8">
                  <c:v>31</c:v>
                </c:pt>
                <c:pt idx="9">
                  <c:v>32</c:v>
                </c:pt>
                <c:pt idx="10">
                  <c:v>33</c:v>
                </c:pt>
                <c:pt idx="11">
                  <c:v>34</c:v>
                </c:pt>
                <c:pt idx="12">
                  <c:v>35</c:v>
                </c:pt>
                <c:pt idx="13">
                  <c:v>36</c:v>
                </c:pt>
                <c:pt idx="14">
                  <c:v>37</c:v>
                </c:pt>
                <c:pt idx="15">
                  <c:v>38</c:v>
                </c:pt>
                <c:pt idx="16">
                  <c:v>39</c:v>
                </c:pt>
                <c:pt idx="17">
                  <c:v>40</c:v>
                </c:pt>
                <c:pt idx="18">
                  <c:v>41</c:v>
                </c:pt>
                <c:pt idx="19">
                  <c:v>42</c:v>
                </c:pt>
                <c:pt idx="20">
                  <c:v>43</c:v>
                </c:pt>
                <c:pt idx="21">
                  <c:v>44</c:v>
                </c:pt>
                <c:pt idx="22">
                  <c:v>45</c:v>
                </c:pt>
                <c:pt idx="23">
                  <c:v>46</c:v>
                </c:pt>
                <c:pt idx="24">
                  <c:v>47</c:v>
                </c:pt>
                <c:pt idx="25">
                  <c:v>48</c:v>
                </c:pt>
                <c:pt idx="26">
                  <c:v>49</c:v>
                </c:pt>
                <c:pt idx="27">
                  <c:v>50</c:v>
                </c:pt>
              </c:numCache>
            </c:numRef>
          </c:cat>
          <c:val>
            <c:numRef>
              <c:f>Sheet4!$D$4:$AE$4</c:f>
              <c:numCache>
                <c:formatCode>General</c:formatCode>
                <c:ptCount val="28"/>
                <c:pt idx="2">
                  <c:v>3.7400000000000003E-2</c:v>
                </c:pt>
                <c:pt idx="7">
                  <c:v>4.2299999999999997E-2</c:v>
                </c:pt>
                <c:pt idx="12">
                  <c:v>4.48E-2</c:v>
                </c:pt>
                <c:pt idx="17">
                  <c:v>3.9899999999999998E-2</c:v>
                </c:pt>
              </c:numCache>
            </c:numRef>
          </c:val>
        </c:ser>
        <c:ser>
          <c:idx val="2"/>
          <c:order val="2"/>
          <c:tx>
            <c:strRef>
              <c:f>Sheet4!$C$5</c:f>
              <c:strCache>
                <c:ptCount val="1"/>
                <c:pt idx="0">
                  <c:v>3</c:v>
                </c:pt>
              </c:strCache>
            </c:strRef>
          </c:tx>
          <c:cat>
            <c:numRef>
              <c:f>Sheet4!$D$2:$AE$2</c:f>
              <c:numCache>
                <c:formatCode>General</c:formatCode>
                <c:ptCount val="28"/>
                <c:pt idx="0">
                  <c:v>23</c:v>
                </c:pt>
                <c:pt idx="1">
                  <c:v>24</c:v>
                </c:pt>
                <c:pt idx="2">
                  <c:v>25</c:v>
                </c:pt>
                <c:pt idx="3">
                  <c:v>26</c:v>
                </c:pt>
                <c:pt idx="4">
                  <c:v>27</c:v>
                </c:pt>
                <c:pt idx="5">
                  <c:v>28</c:v>
                </c:pt>
                <c:pt idx="6">
                  <c:v>29</c:v>
                </c:pt>
                <c:pt idx="7">
                  <c:v>30</c:v>
                </c:pt>
                <c:pt idx="8">
                  <c:v>31</c:v>
                </c:pt>
                <c:pt idx="9">
                  <c:v>32</c:v>
                </c:pt>
                <c:pt idx="10">
                  <c:v>33</c:v>
                </c:pt>
                <c:pt idx="11">
                  <c:v>34</c:v>
                </c:pt>
                <c:pt idx="12">
                  <c:v>35</c:v>
                </c:pt>
                <c:pt idx="13">
                  <c:v>36</c:v>
                </c:pt>
                <c:pt idx="14">
                  <c:v>37</c:v>
                </c:pt>
                <c:pt idx="15">
                  <c:v>38</c:v>
                </c:pt>
                <c:pt idx="16">
                  <c:v>39</c:v>
                </c:pt>
                <c:pt idx="17">
                  <c:v>40</c:v>
                </c:pt>
                <c:pt idx="18">
                  <c:v>41</c:v>
                </c:pt>
                <c:pt idx="19">
                  <c:v>42</c:v>
                </c:pt>
                <c:pt idx="20">
                  <c:v>43</c:v>
                </c:pt>
                <c:pt idx="21">
                  <c:v>44</c:v>
                </c:pt>
                <c:pt idx="22">
                  <c:v>45</c:v>
                </c:pt>
                <c:pt idx="23">
                  <c:v>46</c:v>
                </c:pt>
                <c:pt idx="24">
                  <c:v>47</c:v>
                </c:pt>
                <c:pt idx="25">
                  <c:v>48</c:v>
                </c:pt>
                <c:pt idx="26">
                  <c:v>49</c:v>
                </c:pt>
                <c:pt idx="27">
                  <c:v>50</c:v>
                </c:pt>
              </c:numCache>
            </c:numRef>
          </c:cat>
          <c:val>
            <c:numRef>
              <c:f>Sheet4!$D$5:$AE$5</c:f>
              <c:numCache>
                <c:formatCode>General</c:formatCode>
                <c:ptCount val="28"/>
                <c:pt idx="12">
                  <c:v>5.1400000000000001E-2</c:v>
                </c:pt>
                <c:pt idx="17">
                  <c:v>4.7100000000000003E-2</c:v>
                </c:pt>
              </c:numCache>
            </c:numRef>
          </c:val>
        </c:ser>
        <c:ser>
          <c:idx val="3"/>
          <c:order val="3"/>
          <c:tx>
            <c:strRef>
              <c:f>Sheet4!$C$6</c:f>
              <c:strCache>
                <c:ptCount val="1"/>
                <c:pt idx="0">
                  <c:v>4</c:v>
                </c:pt>
              </c:strCache>
            </c:strRef>
          </c:tx>
          <c:cat>
            <c:numRef>
              <c:f>Sheet4!$D$2:$AE$2</c:f>
              <c:numCache>
                <c:formatCode>General</c:formatCode>
                <c:ptCount val="28"/>
                <c:pt idx="0">
                  <c:v>23</c:v>
                </c:pt>
                <c:pt idx="1">
                  <c:v>24</c:v>
                </c:pt>
                <c:pt idx="2">
                  <c:v>25</c:v>
                </c:pt>
                <c:pt idx="3">
                  <c:v>26</c:v>
                </c:pt>
                <c:pt idx="4">
                  <c:v>27</c:v>
                </c:pt>
                <c:pt idx="5">
                  <c:v>28</c:v>
                </c:pt>
                <c:pt idx="6">
                  <c:v>29</c:v>
                </c:pt>
                <c:pt idx="7">
                  <c:v>30</c:v>
                </c:pt>
                <c:pt idx="8">
                  <c:v>31</c:v>
                </c:pt>
                <c:pt idx="9">
                  <c:v>32</c:v>
                </c:pt>
                <c:pt idx="10">
                  <c:v>33</c:v>
                </c:pt>
                <c:pt idx="11">
                  <c:v>34</c:v>
                </c:pt>
                <c:pt idx="12">
                  <c:v>35</c:v>
                </c:pt>
                <c:pt idx="13">
                  <c:v>36</c:v>
                </c:pt>
                <c:pt idx="14">
                  <c:v>37</c:v>
                </c:pt>
                <c:pt idx="15">
                  <c:v>38</c:v>
                </c:pt>
                <c:pt idx="16">
                  <c:v>39</c:v>
                </c:pt>
                <c:pt idx="17">
                  <c:v>40</c:v>
                </c:pt>
                <c:pt idx="18">
                  <c:v>41</c:v>
                </c:pt>
                <c:pt idx="19">
                  <c:v>42</c:v>
                </c:pt>
                <c:pt idx="20">
                  <c:v>43</c:v>
                </c:pt>
                <c:pt idx="21">
                  <c:v>44</c:v>
                </c:pt>
                <c:pt idx="22">
                  <c:v>45</c:v>
                </c:pt>
                <c:pt idx="23">
                  <c:v>46</c:v>
                </c:pt>
                <c:pt idx="24">
                  <c:v>47</c:v>
                </c:pt>
                <c:pt idx="25">
                  <c:v>48</c:v>
                </c:pt>
                <c:pt idx="26">
                  <c:v>49</c:v>
                </c:pt>
                <c:pt idx="27">
                  <c:v>50</c:v>
                </c:pt>
              </c:numCache>
            </c:numRef>
          </c:cat>
          <c:val>
            <c:numRef>
              <c:f>Sheet4!$D$6:$AE$6</c:f>
              <c:numCache>
                <c:formatCode>General</c:formatCode>
                <c:ptCount val="28"/>
                <c:pt idx="12">
                  <c:v>5.0799999999999998E-2</c:v>
                </c:pt>
              </c:numCache>
            </c:numRef>
          </c:val>
        </c:ser>
        <c:ser>
          <c:idx val="4"/>
          <c:order val="4"/>
          <c:tx>
            <c:strRef>
              <c:f>Sheet4!$C$7</c:f>
              <c:strCache>
                <c:ptCount val="1"/>
                <c:pt idx="0">
                  <c:v>5</c:v>
                </c:pt>
              </c:strCache>
            </c:strRef>
          </c:tx>
          <c:cat>
            <c:numRef>
              <c:f>Sheet4!$D$2:$AE$2</c:f>
              <c:numCache>
                <c:formatCode>General</c:formatCode>
                <c:ptCount val="28"/>
                <c:pt idx="0">
                  <c:v>23</c:v>
                </c:pt>
                <c:pt idx="1">
                  <c:v>24</c:v>
                </c:pt>
                <c:pt idx="2">
                  <c:v>25</c:v>
                </c:pt>
                <c:pt idx="3">
                  <c:v>26</c:v>
                </c:pt>
                <c:pt idx="4">
                  <c:v>27</c:v>
                </c:pt>
                <c:pt idx="5">
                  <c:v>28</c:v>
                </c:pt>
                <c:pt idx="6">
                  <c:v>29</c:v>
                </c:pt>
                <c:pt idx="7">
                  <c:v>30</c:v>
                </c:pt>
                <c:pt idx="8">
                  <c:v>31</c:v>
                </c:pt>
                <c:pt idx="9">
                  <c:v>32</c:v>
                </c:pt>
                <c:pt idx="10">
                  <c:v>33</c:v>
                </c:pt>
                <c:pt idx="11">
                  <c:v>34</c:v>
                </c:pt>
                <c:pt idx="12">
                  <c:v>35</c:v>
                </c:pt>
                <c:pt idx="13">
                  <c:v>36</c:v>
                </c:pt>
                <c:pt idx="14">
                  <c:v>37</c:v>
                </c:pt>
                <c:pt idx="15">
                  <c:v>38</c:v>
                </c:pt>
                <c:pt idx="16">
                  <c:v>39</c:v>
                </c:pt>
                <c:pt idx="17">
                  <c:v>40</c:v>
                </c:pt>
                <c:pt idx="18">
                  <c:v>41</c:v>
                </c:pt>
                <c:pt idx="19">
                  <c:v>42</c:v>
                </c:pt>
                <c:pt idx="20">
                  <c:v>43</c:v>
                </c:pt>
                <c:pt idx="21">
                  <c:v>44</c:v>
                </c:pt>
                <c:pt idx="22">
                  <c:v>45</c:v>
                </c:pt>
                <c:pt idx="23">
                  <c:v>46</c:v>
                </c:pt>
                <c:pt idx="24">
                  <c:v>47</c:v>
                </c:pt>
                <c:pt idx="25">
                  <c:v>48</c:v>
                </c:pt>
                <c:pt idx="26">
                  <c:v>49</c:v>
                </c:pt>
                <c:pt idx="27">
                  <c:v>50</c:v>
                </c:pt>
              </c:numCache>
            </c:numRef>
          </c:cat>
          <c:val>
            <c:numRef>
              <c:f>Sheet4!$D$7:$AE$7</c:f>
              <c:numCache>
                <c:formatCode>General</c:formatCode>
                <c:ptCount val="28"/>
                <c:pt idx="7">
                  <c:v>4.6800000000000001E-2</c:v>
                </c:pt>
                <c:pt idx="12">
                  <c:v>5.8500000000000003E-2</c:v>
                </c:pt>
              </c:numCache>
            </c:numRef>
          </c:val>
        </c:ser>
        <c:ser>
          <c:idx val="5"/>
          <c:order val="5"/>
          <c:tx>
            <c:strRef>
              <c:f>Sheet4!$C$8</c:f>
              <c:strCache>
                <c:ptCount val="1"/>
                <c:pt idx="0">
                  <c:v>6</c:v>
                </c:pt>
              </c:strCache>
            </c:strRef>
          </c:tx>
          <c:cat>
            <c:numRef>
              <c:f>Sheet4!$D$2:$AE$2</c:f>
              <c:numCache>
                <c:formatCode>General</c:formatCode>
                <c:ptCount val="28"/>
                <c:pt idx="0">
                  <c:v>23</c:v>
                </c:pt>
                <c:pt idx="1">
                  <c:v>24</c:v>
                </c:pt>
                <c:pt idx="2">
                  <c:v>25</c:v>
                </c:pt>
                <c:pt idx="3">
                  <c:v>26</c:v>
                </c:pt>
                <c:pt idx="4">
                  <c:v>27</c:v>
                </c:pt>
                <c:pt idx="5">
                  <c:v>28</c:v>
                </c:pt>
                <c:pt idx="6">
                  <c:v>29</c:v>
                </c:pt>
                <c:pt idx="7">
                  <c:v>30</c:v>
                </c:pt>
                <c:pt idx="8">
                  <c:v>31</c:v>
                </c:pt>
                <c:pt idx="9">
                  <c:v>32</c:v>
                </c:pt>
                <c:pt idx="10">
                  <c:v>33</c:v>
                </c:pt>
                <c:pt idx="11">
                  <c:v>34</c:v>
                </c:pt>
                <c:pt idx="12">
                  <c:v>35</c:v>
                </c:pt>
                <c:pt idx="13">
                  <c:v>36</c:v>
                </c:pt>
                <c:pt idx="14">
                  <c:v>37</c:v>
                </c:pt>
                <c:pt idx="15">
                  <c:v>38</c:v>
                </c:pt>
                <c:pt idx="16">
                  <c:v>39</c:v>
                </c:pt>
                <c:pt idx="17">
                  <c:v>40</c:v>
                </c:pt>
                <c:pt idx="18">
                  <c:v>41</c:v>
                </c:pt>
                <c:pt idx="19">
                  <c:v>42</c:v>
                </c:pt>
                <c:pt idx="20">
                  <c:v>43</c:v>
                </c:pt>
                <c:pt idx="21">
                  <c:v>44</c:v>
                </c:pt>
                <c:pt idx="22">
                  <c:v>45</c:v>
                </c:pt>
                <c:pt idx="23">
                  <c:v>46</c:v>
                </c:pt>
                <c:pt idx="24">
                  <c:v>47</c:v>
                </c:pt>
                <c:pt idx="25">
                  <c:v>48</c:v>
                </c:pt>
                <c:pt idx="26">
                  <c:v>49</c:v>
                </c:pt>
                <c:pt idx="27">
                  <c:v>50</c:v>
                </c:pt>
              </c:numCache>
            </c:numRef>
          </c:cat>
          <c:val>
            <c:numRef>
              <c:f>Sheet4!$D$8:$AE$8</c:f>
              <c:numCache>
                <c:formatCode>General</c:formatCode>
                <c:ptCount val="28"/>
                <c:pt idx="7">
                  <c:v>5.0799999999999998E-2</c:v>
                </c:pt>
                <c:pt idx="12">
                  <c:v>4.3400000000000001E-2</c:v>
                </c:pt>
              </c:numCache>
            </c:numRef>
          </c:val>
        </c:ser>
        <c:ser>
          <c:idx val="6"/>
          <c:order val="6"/>
          <c:tx>
            <c:strRef>
              <c:f>Sheet4!$C$9</c:f>
              <c:strCache>
                <c:ptCount val="1"/>
                <c:pt idx="0">
                  <c:v>7</c:v>
                </c:pt>
              </c:strCache>
            </c:strRef>
          </c:tx>
          <c:cat>
            <c:numRef>
              <c:f>Sheet4!$D$2:$AE$2</c:f>
              <c:numCache>
                <c:formatCode>General</c:formatCode>
                <c:ptCount val="28"/>
                <c:pt idx="0">
                  <c:v>23</c:v>
                </c:pt>
                <c:pt idx="1">
                  <c:v>24</c:v>
                </c:pt>
                <c:pt idx="2">
                  <c:v>25</c:v>
                </c:pt>
                <c:pt idx="3">
                  <c:v>26</c:v>
                </c:pt>
                <c:pt idx="4">
                  <c:v>27</c:v>
                </c:pt>
                <c:pt idx="5">
                  <c:v>28</c:v>
                </c:pt>
                <c:pt idx="6">
                  <c:v>29</c:v>
                </c:pt>
                <c:pt idx="7">
                  <c:v>30</c:v>
                </c:pt>
                <c:pt idx="8">
                  <c:v>31</c:v>
                </c:pt>
                <c:pt idx="9">
                  <c:v>32</c:v>
                </c:pt>
                <c:pt idx="10">
                  <c:v>33</c:v>
                </c:pt>
                <c:pt idx="11">
                  <c:v>34</c:v>
                </c:pt>
                <c:pt idx="12">
                  <c:v>35</c:v>
                </c:pt>
                <c:pt idx="13">
                  <c:v>36</c:v>
                </c:pt>
                <c:pt idx="14">
                  <c:v>37</c:v>
                </c:pt>
                <c:pt idx="15">
                  <c:v>38</c:v>
                </c:pt>
                <c:pt idx="16">
                  <c:v>39</c:v>
                </c:pt>
                <c:pt idx="17">
                  <c:v>40</c:v>
                </c:pt>
                <c:pt idx="18">
                  <c:v>41</c:v>
                </c:pt>
                <c:pt idx="19">
                  <c:v>42</c:v>
                </c:pt>
                <c:pt idx="20">
                  <c:v>43</c:v>
                </c:pt>
                <c:pt idx="21">
                  <c:v>44</c:v>
                </c:pt>
                <c:pt idx="22">
                  <c:v>45</c:v>
                </c:pt>
                <c:pt idx="23">
                  <c:v>46</c:v>
                </c:pt>
                <c:pt idx="24">
                  <c:v>47</c:v>
                </c:pt>
                <c:pt idx="25">
                  <c:v>48</c:v>
                </c:pt>
                <c:pt idx="26">
                  <c:v>49</c:v>
                </c:pt>
                <c:pt idx="27">
                  <c:v>50</c:v>
                </c:pt>
              </c:numCache>
            </c:numRef>
          </c:cat>
          <c:val>
            <c:numRef>
              <c:f>Sheet4!$D$9:$AE$9</c:f>
              <c:numCache>
                <c:formatCode>General</c:formatCode>
                <c:ptCount val="28"/>
              </c:numCache>
            </c:numRef>
          </c:val>
        </c:ser>
        <c:ser>
          <c:idx val="7"/>
          <c:order val="7"/>
          <c:tx>
            <c:strRef>
              <c:f>Sheet4!$C$10</c:f>
              <c:strCache>
                <c:ptCount val="1"/>
                <c:pt idx="0">
                  <c:v>8</c:v>
                </c:pt>
              </c:strCache>
            </c:strRef>
          </c:tx>
          <c:cat>
            <c:numRef>
              <c:f>Sheet4!$D$2:$AE$2</c:f>
              <c:numCache>
                <c:formatCode>General</c:formatCode>
                <c:ptCount val="28"/>
                <c:pt idx="0">
                  <c:v>23</c:v>
                </c:pt>
                <c:pt idx="1">
                  <c:v>24</c:v>
                </c:pt>
                <c:pt idx="2">
                  <c:v>25</c:v>
                </c:pt>
                <c:pt idx="3">
                  <c:v>26</c:v>
                </c:pt>
                <c:pt idx="4">
                  <c:v>27</c:v>
                </c:pt>
                <c:pt idx="5">
                  <c:v>28</c:v>
                </c:pt>
                <c:pt idx="6">
                  <c:v>29</c:v>
                </c:pt>
                <c:pt idx="7">
                  <c:v>30</c:v>
                </c:pt>
                <c:pt idx="8">
                  <c:v>31</c:v>
                </c:pt>
                <c:pt idx="9">
                  <c:v>32</c:v>
                </c:pt>
                <c:pt idx="10">
                  <c:v>33</c:v>
                </c:pt>
                <c:pt idx="11">
                  <c:v>34</c:v>
                </c:pt>
                <c:pt idx="12">
                  <c:v>35</c:v>
                </c:pt>
                <c:pt idx="13">
                  <c:v>36</c:v>
                </c:pt>
                <c:pt idx="14">
                  <c:v>37</c:v>
                </c:pt>
                <c:pt idx="15">
                  <c:v>38</c:v>
                </c:pt>
                <c:pt idx="16">
                  <c:v>39</c:v>
                </c:pt>
                <c:pt idx="17">
                  <c:v>40</c:v>
                </c:pt>
                <c:pt idx="18">
                  <c:v>41</c:v>
                </c:pt>
                <c:pt idx="19">
                  <c:v>42</c:v>
                </c:pt>
                <c:pt idx="20">
                  <c:v>43</c:v>
                </c:pt>
                <c:pt idx="21">
                  <c:v>44</c:v>
                </c:pt>
                <c:pt idx="22">
                  <c:v>45</c:v>
                </c:pt>
                <c:pt idx="23">
                  <c:v>46</c:v>
                </c:pt>
                <c:pt idx="24">
                  <c:v>47</c:v>
                </c:pt>
                <c:pt idx="25">
                  <c:v>48</c:v>
                </c:pt>
                <c:pt idx="26">
                  <c:v>49</c:v>
                </c:pt>
                <c:pt idx="27">
                  <c:v>50</c:v>
                </c:pt>
              </c:numCache>
            </c:numRef>
          </c:cat>
          <c:val>
            <c:numRef>
              <c:f>Sheet4!$D$10:$AE$10</c:f>
              <c:numCache>
                <c:formatCode>General</c:formatCode>
                <c:ptCount val="28"/>
              </c:numCache>
            </c:numRef>
          </c:val>
        </c:ser>
        <c:ser>
          <c:idx val="8"/>
          <c:order val="8"/>
          <c:tx>
            <c:strRef>
              <c:f>Sheet4!$C$11</c:f>
              <c:strCache>
                <c:ptCount val="1"/>
                <c:pt idx="0">
                  <c:v>9</c:v>
                </c:pt>
              </c:strCache>
            </c:strRef>
          </c:tx>
          <c:cat>
            <c:numRef>
              <c:f>Sheet4!$D$2:$AE$2</c:f>
              <c:numCache>
                <c:formatCode>General</c:formatCode>
                <c:ptCount val="28"/>
                <c:pt idx="0">
                  <c:v>23</c:v>
                </c:pt>
                <c:pt idx="1">
                  <c:v>24</c:v>
                </c:pt>
                <c:pt idx="2">
                  <c:v>25</c:v>
                </c:pt>
                <c:pt idx="3">
                  <c:v>26</c:v>
                </c:pt>
                <c:pt idx="4">
                  <c:v>27</c:v>
                </c:pt>
                <c:pt idx="5">
                  <c:v>28</c:v>
                </c:pt>
                <c:pt idx="6">
                  <c:v>29</c:v>
                </c:pt>
                <c:pt idx="7">
                  <c:v>30</c:v>
                </c:pt>
                <c:pt idx="8">
                  <c:v>31</c:v>
                </c:pt>
                <c:pt idx="9">
                  <c:v>32</c:v>
                </c:pt>
                <c:pt idx="10">
                  <c:v>33</c:v>
                </c:pt>
                <c:pt idx="11">
                  <c:v>34</c:v>
                </c:pt>
                <c:pt idx="12">
                  <c:v>35</c:v>
                </c:pt>
                <c:pt idx="13">
                  <c:v>36</c:v>
                </c:pt>
                <c:pt idx="14">
                  <c:v>37</c:v>
                </c:pt>
                <c:pt idx="15">
                  <c:v>38</c:v>
                </c:pt>
                <c:pt idx="16">
                  <c:v>39</c:v>
                </c:pt>
                <c:pt idx="17">
                  <c:v>40</c:v>
                </c:pt>
                <c:pt idx="18">
                  <c:v>41</c:v>
                </c:pt>
                <c:pt idx="19">
                  <c:v>42</c:v>
                </c:pt>
                <c:pt idx="20">
                  <c:v>43</c:v>
                </c:pt>
                <c:pt idx="21">
                  <c:v>44</c:v>
                </c:pt>
                <c:pt idx="22">
                  <c:v>45</c:v>
                </c:pt>
                <c:pt idx="23">
                  <c:v>46</c:v>
                </c:pt>
                <c:pt idx="24">
                  <c:v>47</c:v>
                </c:pt>
                <c:pt idx="25">
                  <c:v>48</c:v>
                </c:pt>
                <c:pt idx="26">
                  <c:v>49</c:v>
                </c:pt>
                <c:pt idx="27">
                  <c:v>50</c:v>
                </c:pt>
              </c:numCache>
            </c:numRef>
          </c:cat>
          <c:val>
            <c:numRef>
              <c:f>Sheet4!$D$11:$AE$11</c:f>
              <c:numCache>
                <c:formatCode>General</c:formatCode>
                <c:ptCount val="28"/>
              </c:numCache>
            </c:numRef>
          </c:val>
        </c:ser>
        <c:ser>
          <c:idx val="9"/>
          <c:order val="9"/>
          <c:tx>
            <c:strRef>
              <c:f>Sheet4!$C$12</c:f>
              <c:strCache>
                <c:ptCount val="1"/>
                <c:pt idx="0">
                  <c:v>10</c:v>
                </c:pt>
              </c:strCache>
            </c:strRef>
          </c:tx>
          <c:cat>
            <c:numRef>
              <c:f>Sheet4!$D$2:$AE$2</c:f>
              <c:numCache>
                <c:formatCode>General</c:formatCode>
                <c:ptCount val="28"/>
                <c:pt idx="0">
                  <c:v>23</c:v>
                </c:pt>
                <c:pt idx="1">
                  <c:v>24</c:v>
                </c:pt>
                <c:pt idx="2">
                  <c:v>25</c:v>
                </c:pt>
                <c:pt idx="3">
                  <c:v>26</c:v>
                </c:pt>
                <c:pt idx="4">
                  <c:v>27</c:v>
                </c:pt>
                <c:pt idx="5">
                  <c:v>28</c:v>
                </c:pt>
                <c:pt idx="6">
                  <c:v>29</c:v>
                </c:pt>
                <c:pt idx="7">
                  <c:v>30</c:v>
                </c:pt>
                <c:pt idx="8">
                  <c:v>31</c:v>
                </c:pt>
                <c:pt idx="9">
                  <c:v>32</c:v>
                </c:pt>
                <c:pt idx="10">
                  <c:v>33</c:v>
                </c:pt>
                <c:pt idx="11">
                  <c:v>34</c:v>
                </c:pt>
                <c:pt idx="12">
                  <c:v>35</c:v>
                </c:pt>
                <c:pt idx="13">
                  <c:v>36</c:v>
                </c:pt>
                <c:pt idx="14">
                  <c:v>37</c:v>
                </c:pt>
                <c:pt idx="15">
                  <c:v>38</c:v>
                </c:pt>
                <c:pt idx="16">
                  <c:v>39</c:v>
                </c:pt>
                <c:pt idx="17">
                  <c:v>40</c:v>
                </c:pt>
                <c:pt idx="18">
                  <c:v>41</c:v>
                </c:pt>
                <c:pt idx="19">
                  <c:v>42</c:v>
                </c:pt>
                <c:pt idx="20">
                  <c:v>43</c:v>
                </c:pt>
                <c:pt idx="21">
                  <c:v>44</c:v>
                </c:pt>
                <c:pt idx="22">
                  <c:v>45</c:v>
                </c:pt>
                <c:pt idx="23">
                  <c:v>46</c:v>
                </c:pt>
                <c:pt idx="24">
                  <c:v>47</c:v>
                </c:pt>
                <c:pt idx="25">
                  <c:v>48</c:v>
                </c:pt>
                <c:pt idx="26">
                  <c:v>49</c:v>
                </c:pt>
                <c:pt idx="27">
                  <c:v>50</c:v>
                </c:pt>
              </c:numCache>
            </c:numRef>
          </c:cat>
          <c:val>
            <c:numRef>
              <c:f>Sheet4!$D$12:$AE$12</c:f>
              <c:numCache>
                <c:formatCode>General</c:formatCode>
                <c:ptCount val="28"/>
                <c:pt idx="7">
                  <c:v>5.2699999999999997E-2</c:v>
                </c:pt>
              </c:numCache>
            </c:numRef>
          </c:val>
        </c:ser>
        <c:ser>
          <c:idx val="10"/>
          <c:order val="10"/>
          <c:tx>
            <c:strRef>
              <c:f>Sheet4!$C$13</c:f>
              <c:strCache>
                <c:ptCount val="1"/>
                <c:pt idx="0">
                  <c:v>11</c:v>
                </c:pt>
              </c:strCache>
            </c:strRef>
          </c:tx>
          <c:cat>
            <c:numRef>
              <c:f>Sheet4!$D$2:$AE$2</c:f>
              <c:numCache>
                <c:formatCode>General</c:formatCode>
                <c:ptCount val="28"/>
                <c:pt idx="0">
                  <c:v>23</c:v>
                </c:pt>
                <c:pt idx="1">
                  <c:v>24</c:v>
                </c:pt>
                <c:pt idx="2">
                  <c:v>25</c:v>
                </c:pt>
                <c:pt idx="3">
                  <c:v>26</c:v>
                </c:pt>
                <c:pt idx="4">
                  <c:v>27</c:v>
                </c:pt>
                <c:pt idx="5">
                  <c:v>28</c:v>
                </c:pt>
                <c:pt idx="6">
                  <c:v>29</c:v>
                </c:pt>
                <c:pt idx="7">
                  <c:v>30</c:v>
                </c:pt>
                <c:pt idx="8">
                  <c:v>31</c:v>
                </c:pt>
                <c:pt idx="9">
                  <c:v>32</c:v>
                </c:pt>
                <c:pt idx="10">
                  <c:v>33</c:v>
                </c:pt>
                <c:pt idx="11">
                  <c:v>34</c:v>
                </c:pt>
                <c:pt idx="12">
                  <c:v>35</c:v>
                </c:pt>
                <c:pt idx="13">
                  <c:v>36</c:v>
                </c:pt>
                <c:pt idx="14">
                  <c:v>37</c:v>
                </c:pt>
                <c:pt idx="15">
                  <c:v>38</c:v>
                </c:pt>
                <c:pt idx="16">
                  <c:v>39</c:v>
                </c:pt>
                <c:pt idx="17">
                  <c:v>40</c:v>
                </c:pt>
                <c:pt idx="18">
                  <c:v>41</c:v>
                </c:pt>
                <c:pt idx="19">
                  <c:v>42</c:v>
                </c:pt>
                <c:pt idx="20">
                  <c:v>43</c:v>
                </c:pt>
                <c:pt idx="21">
                  <c:v>44</c:v>
                </c:pt>
                <c:pt idx="22">
                  <c:v>45</c:v>
                </c:pt>
                <c:pt idx="23">
                  <c:v>46</c:v>
                </c:pt>
                <c:pt idx="24">
                  <c:v>47</c:v>
                </c:pt>
                <c:pt idx="25">
                  <c:v>48</c:v>
                </c:pt>
                <c:pt idx="26">
                  <c:v>49</c:v>
                </c:pt>
                <c:pt idx="27">
                  <c:v>50</c:v>
                </c:pt>
              </c:numCache>
            </c:numRef>
          </c:cat>
          <c:val>
            <c:numRef>
              <c:f>Sheet4!$D$13:$AE$13</c:f>
              <c:numCache>
                <c:formatCode>General</c:formatCode>
                <c:ptCount val="28"/>
                <c:pt idx="2">
                  <c:v>4.0599999999999997E-2</c:v>
                </c:pt>
                <c:pt idx="7">
                  <c:v>5.6899999999999999E-2</c:v>
                </c:pt>
              </c:numCache>
            </c:numRef>
          </c:val>
        </c:ser>
        <c:ser>
          <c:idx val="11"/>
          <c:order val="11"/>
          <c:tx>
            <c:strRef>
              <c:f>Sheet4!$C$14</c:f>
              <c:strCache>
                <c:ptCount val="1"/>
                <c:pt idx="0">
                  <c:v>12</c:v>
                </c:pt>
              </c:strCache>
            </c:strRef>
          </c:tx>
          <c:cat>
            <c:numRef>
              <c:f>Sheet4!$D$2:$AE$2</c:f>
              <c:numCache>
                <c:formatCode>General</c:formatCode>
                <c:ptCount val="28"/>
                <c:pt idx="0">
                  <c:v>23</c:v>
                </c:pt>
                <c:pt idx="1">
                  <c:v>24</c:v>
                </c:pt>
                <c:pt idx="2">
                  <c:v>25</c:v>
                </c:pt>
                <c:pt idx="3">
                  <c:v>26</c:v>
                </c:pt>
                <c:pt idx="4">
                  <c:v>27</c:v>
                </c:pt>
                <c:pt idx="5">
                  <c:v>28</c:v>
                </c:pt>
                <c:pt idx="6">
                  <c:v>29</c:v>
                </c:pt>
                <c:pt idx="7">
                  <c:v>30</c:v>
                </c:pt>
                <c:pt idx="8">
                  <c:v>31</c:v>
                </c:pt>
                <c:pt idx="9">
                  <c:v>32</c:v>
                </c:pt>
                <c:pt idx="10">
                  <c:v>33</c:v>
                </c:pt>
                <c:pt idx="11">
                  <c:v>34</c:v>
                </c:pt>
                <c:pt idx="12">
                  <c:v>35</c:v>
                </c:pt>
                <c:pt idx="13">
                  <c:v>36</c:v>
                </c:pt>
                <c:pt idx="14">
                  <c:v>37</c:v>
                </c:pt>
                <c:pt idx="15">
                  <c:v>38</c:v>
                </c:pt>
                <c:pt idx="16">
                  <c:v>39</c:v>
                </c:pt>
                <c:pt idx="17">
                  <c:v>40</c:v>
                </c:pt>
                <c:pt idx="18">
                  <c:v>41</c:v>
                </c:pt>
                <c:pt idx="19">
                  <c:v>42</c:v>
                </c:pt>
                <c:pt idx="20">
                  <c:v>43</c:v>
                </c:pt>
                <c:pt idx="21">
                  <c:v>44</c:v>
                </c:pt>
                <c:pt idx="22">
                  <c:v>45</c:v>
                </c:pt>
                <c:pt idx="23">
                  <c:v>46</c:v>
                </c:pt>
                <c:pt idx="24">
                  <c:v>47</c:v>
                </c:pt>
                <c:pt idx="25">
                  <c:v>48</c:v>
                </c:pt>
                <c:pt idx="26">
                  <c:v>49</c:v>
                </c:pt>
                <c:pt idx="27">
                  <c:v>50</c:v>
                </c:pt>
              </c:numCache>
            </c:numRef>
          </c:cat>
          <c:val>
            <c:numRef>
              <c:f>Sheet4!$D$14:$AE$14</c:f>
              <c:numCache>
                <c:formatCode>General</c:formatCode>
                <c:ptCount val="28"/>
                <c:pt idx="7">
                  <c:v>5.0200000000000002E-2</c:v>
                </c:pt>
              </c:numCache>
            </c:numRef>
          </c:val>
        </c:ser>
        <c:ser>
          <c:idx val="12"/>
          <c:order val="12"/>
          <c:tx>
            <c:strRef>
              <c:f>Sheet4!$C$15</c:f>
              <c:strCache>
                <c:ptCount val="1"/>
                <c:pt idx="0">
                  <c:v>13</c:v>
                </c:pt>
              </c:strCache>
            </c:strRef>
          </c:tx>
          <c:cat>
            <c:numRef>
              <c:f>Sheet4!$D$2:$AE$2</c:f>
              <c:numCache>
                <c:formatCode>General</c:formatCode>
                <c:ptCount val="28"/>
                <c:pt idx="0">
                  <c:v>23</c:v>
                </c:pt>
                <c:pt idx="1">
                  <c:v>24</c:v>
                </c:pt>
                <c:pt idx="2">
                  <c:v>25</c:v>
                </c:pt>
                <c:pt idx="3">
                  <c:v>26</c:v>
                </c:pt>
                <c:pt idx="4">
                  <c:v>27</c:v>
                </c:pt>
                <c:pt idx="5">
                  <c:v>28</c:v>
                </c:pt>
                <c:pt idx="6">
                  <c:v>29</c:v>
                </c:pt>
                <c:pt idx="7">
                  <c:v>30</c:v>
                </c:pt>
                <c:pt idx="8">
                  <c:v>31</c:v>
                </c:pt>
                <c:pt idx="9">
                  <c:v>32</c:v>
                </c:pt>
                <c:pt idx="10">
                  <c:v>33</c:v>
                </c:pt>
                <c:pt idx="11">
                  <c:v>34</c:v>
                </c:pt>
                <c:pt idx="12">
                  <c:v>35</c:v>
                </c:pt>
                <c:pt idx="13">
                  <c:v>36</c:v>
                </c:pt>
                <c:pt idx="14">
                  <c:v>37</c:v>
                </c:pt>
                <c:pt idx="15">
                  <c:v>38</c:v>
                </c:pt>
                <c:pt idx="16">
                  <c:v>39</c:v>
                </c:pt>
                <c:pt idx="17">
                  <c:v>40</c:v>
                </c:pt>
                <c:pt idx="18">
                  <c:v>41</c:v>
                </c:pt>
                <c:pt idx="19">
                  <c:v>42</c:v>
                </c:pt>
                <c:pt idx="20">
                  <c:v>43</c:v>
                </c:pt>
                <c:pt idx="21">
                  <c:v>44</c:v>
                </c:pt>
                <c:pt idx="22">
                  <c:v>45</c:v>
                </c:pt>
                <c:pt idx="23">
                  <c:v>46</c:v>
                </c:pt>
                <c:pt idx="24">
                  <c:v>47</c:v>
                </c:pt>
                <c:pt idx="25">
                  <c:v>48</c:v>
                </c:pt>
                <c:pt idx="26">
                  <c:v>49</c:v>
                </c:pt>
                <c:pt idx="27">
                  <c:v>50</c:v>
                </c:pt>
              </c:numCache>
            </c:numRef>
          </c:cat>
          <c:val>
            <c:numRef>
              <c:f>Sheet4!$D$15:$AE$15</c:f>
              <c:numCache>
                <c:formatCode>General</c:formatCode>
                <c:ptCount val="28"/>
                <c:pt idx="7">
                  <c:v>3.7400000000000003E-2</c:v>
                </c:pt>
                <c:pt idx="27">
                  <c:v>4.7000000000000002E-3</c:v>
                </c:pt>
              </c:numCache>
            </c:numRef>
          </c:val>
        </c:ser>
        <c:ser>
          <c:idx val="13"/>
          <c:order val="13"/>
          <c:tx>
            <c:strRef>
              <c:f>Sheet4!$C$16</c:f>
              <c:strCache>
                <c:ptCount val="1"/>
                <c:pt idx="0">
                  <c:v>14</c:v>
                </c:pt>
              </c:strCache>
            </c:strRef>
          </c:tx>
          <c:cat>
            <c:numRef>
              <c:f>Sheet4!$D$2:$AE$2</c:f>
              <c:numCache>
                <c:formatCode>General</c:formatCode>
                <c:ptCount val="28"/>
                <c:pt idx="0">
                  <c:v>23</c:v>
                </c:pt>
                <c:pt idx="1">
                  <c:v>24</c:v>
                </c:pt>
                <c:pt idx="2">
                  <c:v>25</c:v>
                </c:pt>
                <c:pt idx="3">
                  <c:v>26</c:v>
                </c:pt>
                <c:pt idx="4">
                  <c:v>27</c:v>
                </c:pt>
                <c:pt idx="5">
                  <c:v>28</c:v>
                </c:pt>
                <c:pt idx="6">
                  <c:v>29</c:v>
                </c:pt>
                <c:pt idx="7">
                  <c:v>30</c:v>
                </c:pt>
                <c:pt idx="8">
                  <c:v>31</c:v>
                </c:pt>
                <c:pt idx="9">
                  <c:v>32</c:v>
                </c:pt>
                <c:pt idx="10">
                  <c:v>33</c:v>
                </c:pt>
                <c:pt idx="11">
                  <c:v>34</c:v>
                </c:pt>
                <c:pt idx="12">
                  <c:v>35</c:v>
                </c:pt>
                <c:pt idx="13">
                  <c:v>36</c:v>
                </c:pt>
                <c:pt idx="14">
                  <c:v>37</c:v>
                </c:pt>
                <c:pt idx="15">
                  <c:v>38</c:v>
                </c:pt>
                <c:pt idx="16">
                  <c:v>39</c:v>
                </c:pt>
                <c:pt idx="17">
                  <c:v>40</c:v>
                </c:pt>
                <c:pt idx="18">
                  <c:v>41</c:v>
                </c:pt>
                <c:pt idx="19">
                  <c:v>42</c:v>
                </c:pt>
                <c:pt idx="20">
                  <c:v>43</c:v>
                </c:pt>
                <c:pt idx="21">
                  <c:v>44</c:v>
                </c:pt>
                <c:pt idx="22">
                  <c:v>45</c:v>
                </c:pt>
                <c:pt idx="23">
                  <c:v>46</c:v>
                </c:pt>
                <c:pt idx="24">
                  <c:v>47</c:v>
                </c:pt>
                <c:pt idx="25">
                  <c:v>48</c:v>
                </c:pt>
                <c:pt idx="26">
                  <c:v>49</c:v>
                </c:pt>
                <c:pt idx="27">
                  <c:v>50</c:v>
                </c:pt>
              </c:numCache>
            </c:numRef>
          </c:cat>
          <c:val>
            <c:numRef>
              <c:f>Sheet4!$D$16:$AE$16</c:f>
              <c:numCache>
                <c:formatCode>General</c:formatCode>
                <c:ptCount val="28"/>
              </c:numCache>
            </c:numRef>
          </c:val>
        </c:ser>
        <c:ser>
          <c:idx val="14"/>
          <c:order val="14"/>
          <c:tx>
            <c:strRef>
              <c:f>Sheet4!$C$17</c:f>
              <c:strCache>
                <c:ptCount val="1"/>
                <c:pt idx="0">
                  <c:v>15</c:v>
                </c:pt>
              </c:strCache>
            </c:strRef>
          </c:tx>
          <c:cat>
            <c:numRef>
              <c:f>Sheet4!$D$2:$AE$2</c:f>
              <c:numCache>
                <c:formatCode>General</c:formatCode>
                <c:ptCount val="28"/>
                <c:pt idx="0">
                  <c:v>23</c:v>
                </c:pt>
                <c:pt idx="1">
                  <c:v>24</c:v>
                </c:pt>
                <c:pt idx="2">
                  <c:v>25</c:v>
                </c:pt>
                <c:pt idx="3">
                  <c:v>26</c:v>
                </c:pt>
                <c:pt idx="4">
                  <c:v>27</c:v>
                </c:pt>
                <c:pt idx="5">
                  <c:v>28</c:v>
                </c:pt>
                <c:pt idx="6">
                  <c:v>29</c:v>
                </c:pt>
                <c:pt idx="7">
                  <c:v>30</c:v>
                </c:pt>
                <c:pt idx="8">
                  <c:v>31</c:v>
                </c:pt>
                <c:pt idx="9">
                  <c:v>32</c:v>
                </c:pt>
                <c:pt idx="10">
                  <c:v>33</c:v>
                </c:pt>
                <c:pt idx="11">
                  <c:v>34</c:v>
                </c:pt>
                <c:pt idx="12">
                  <c:v>35</c:v>
                </c:pt>
                <c:pt idx="13">
                  <c:v>36</c:v>
                </c:pt>
                <c:pt idx="14">
                  <c:v>37</c:v>
                </c:pt>
                <c:pt idx="15">
                  <c:v>38</c:v>
                </c:pt>
                <c:pt idx="16">
                  <c:v>39</c:v>
                </c:pt>
                <c:pt idx="17">
                  <c:v>40</c:v>
                </c:pt>
                <c:pt idx="18">
                  <c:v>41</c:v>
                </c:pt>
                <c:pt idx="19">
                  <c:v>42</c:v>
                </c:pt>
                <c:pt idx="20">
                  <c:v>43</c:v>
                </c:pt>
                <c:pt idx="21">
                  <c:v>44</c:v>
                </c:pt>
                <c:pt idx="22">
                  <c:v>45</c:v>
                </c:pt>
                <c:pt idx="23">
                  <c:v>46</c:v>
                </c:pt>
                <c:pt idx="24">
                  <c:v>47</c:v>
                </c:pt>
                <c:pt idx="25">
                  <c:v>48</c:v>
                </c:pt>
                <c:pt idx="26">
                  <c:v>49</c:v>
                </c:pt>
                <c:pt idx="27">
                  <c:v>50</c:v>
                </c:pt>
              </c:numCache>
            </c:numRef>
          </c:cat>
          <c:val>
            <c:numRef>
              <c:f>Sheet4!$D$17:$AE$17</c:f>
              <c:numCache>
                <c:formatCode>General</c:formatCode>
                <c:ptCount val="28"/>
              </c:numCache>
            </c:numRef>
          </c:val>
        </c:ser>
        <c:ser>
          <c:idx val="15"/>
          <c:order val="15"/>
          <c:tx>
            <c:strRef>
              <c:f>Sheet4!$C$18</c:f>
              <c:strCache>
                <c:ptCount val="1"/>
                <c:pt idx="0">
                  <c:v>16</c:v>
                </c:pt>
              </c:strCache>
            </c:strRef>
          </c:tx>
          <c:cat>
            <c:numRef>
              <c:f>Sheet4!$D$2:$AE$2</c:f>
              <c:numCache>
                <c:formatCode>General</c:formatCode>
                <c:ptCount val="28"/>
                <c:pt idx="0">
                  <c:v>23</c:v>
                </c:pt>
                <c:pt idx="1">
                  <c:v>24</c:v>
                </c:pt>
                <c:pt idx="2">
                  <c:v>25</c:v>
                </c:pt>
                <c:pt idx="3">
                  <c:v>26</c:v>
                </c:pt>
                <c:pt idx="4">
                  <c:v>27</c:v>
                </c:pt>
                <c:pt idx="5">
                  <c:v>28</c:v>
                </c:pt>
                <c:pt idx="6">
                  <c:v>29</c:v>
                </c:pt>
                <c:pt idx="7">
                  <c:v>30</c:v>
                </c:pt>
                <c:pt idx="8">
                  <c:v>31</c:v>
                </c:pt>
                <c:pt idx="9">
                  <c:v>32</c:v>
                </c:pt>
                <c:pt idx="10">
                  <c:v>33</c:v>
                </c:pt>
                <c:pt idx="11">
                  <c:v>34</c:v>
                </c:pt>
                <c:pt idx="12">
                  <c:v>35</c:v>
                </c:pt>
                <c:pt idx="13">
                  <c:v>36</c:v>
                </c:pt>
                <c:pt idx="14">
                  <c:v>37</c:v>
                </c:pt>
                <c:pt idx="15">
                  <c:v>38</c:v>
                </c:pt>
                <c:pt idx="16">
                  <c:v>39</c:v>
                </c:pt>
                <c:pt idx="17">
                  <c:v>40</c:v>
                </c:pt>
                <c:pt idx="18">
                  <c:v>41</c:v>
                </c:pt>
                <c:pt idx="19">
                  <c:v>42</c:v>
                </c:pt>
                <c:pt idx="20">
                  <c:v>43</c:v>
                </c:pt>
                <c:pt idx="21">
                  <c:v>44</c:v>
                </c:pt>
                <c:pt idx="22">
                  <c:v>45</c:v>
                </c:pt>
                <c:pt idx="23">
                  <c:v>46</c:v>
                </c:pt>
                <c:pt idx="24">
                  <c:v>47</c:v>
                </c:pt>
                <c:pt idx="25">
                  <c:v>48</c:v>
                </c:pt>
                <c:pt idx="26">
                  <c:v>49</c:v>
                </c:pt>
                <c:pt idx="27">
                  <c:v>50</c:v>
                </c:pt>
              </c:numCache>
            </c:numRef>
          </c:cat>
          <c:val>
            <c:numRef>
              <c:f>Sheet4!$D$18:$AE$18</c:f>
              <c:numCache>
                <c:formatCode>General</c:formatCode>
                <c:ptCount val="28"/>
                <c:pt idx="7">
                  <c:v>4.2999999999999997E-2</c:v>
                </c:pt>
              </c:numCache>
            </c:numRef>
          </c:val>
        </c:ser>
        <c:ser>
          <c:idx val="16"/>
          <c:order val="16"/>
          <c:tx>
            <c:strRef>
              <c:f>Sheet4!$C$19</c:f>
              <c:strCache>
                <c:ptCount val="1"/>
                <c:pt idx="0">
                  <c:v>17</c:v>
                </c:pt>
              </c:strCache>
            </c:strRef>
          </c:tx>
          <c:cat>
            <c:numRef>
              <c:f>Sheet4!$D$2:$AE$2</c:f>
              <c:numCache>
                <c:formatCode>General</c:formatCode>
                <c:ptCount val="28"/>
                <c:pt idx="0">
                  <c:v>23</c:v>
                </c:pt>
                <c:pt idx="1">
                  <c:v>24</c:v>
                </c:pt>
                <c:pt idx="2">
                  <c:v>25</c:v>
                </c:pt>
                <c:pt idx="3">
                  <c:v>26</c:v>
                </c:pt>
                <c:pt idx="4">
                  <c:v>27</c:v>
                </c:pt>
                <c:pt idx="5">
                  <c:v>28</c:v>
                </c:pt>
                <c:pt idx="6">
                  <c:v>29</c:v>
                </c:pt>
                <c:pt idx="7">
                  <c:v>30</c:v>
                </c:pt>
                <c:pt idx="8">
                  <c:v>31</c:v>
                </c:pt>
                <c:pt idx="9">
                  <c:v>32</c:v>
                </c:pt>
                <c:pt idx="10">
                  <c:v>33</c:v>
                </c:pt>
                <c:pt idx="11">
                  <c:v>34</c:v>
                </c:pt>
                <c:pt idx="12">
                  <c:v>35</c:v>
                </c:pt>
                <c:pt idx="13">
                  <c:v>36</c:v>
                </c:pt>
                <c:pt idx="14">
                  <c:v>37</c:v>
                </c:pt>
                <c:pt idx="15">
                  <c:v>38</c:v>
                </c:pt>
                <c:pt idx="16">
                  <c:v>39</c:v>
                </c:pt>
                <c:pt idx="17">
                  <c:v>40</c:v>
                </c:pt>
                <c:pt idx="18">
                  <c:v>41</c:v>
                </c:pt>
                <c:pt idx="19">
                  <c:v>42</c:v>
                </c:pt>
                <c:pt idx="20">
                  <c:v>43</c:v>
                </c:pt>
                <c:pt idx="21">
                  <c:v>44</c:v>
                </c:pt>
                <c:pt idx="22">
                  <c:v>45</c:v>
                </c:pt>
                <c:pt idx="23">
                  <c:v>46</c:v>
                </c:pt>
                <c:pt idx="24">
                  <c:v>47</c:v>
                </c:pt>
                <c:pt idx="25">
                  <c:v>48</c:v>
                </c:pt>
                <c:pt idx="26">
                  <c:v>49</c:v>
                </c:pt>
                <c:pt idx="27">
                  <c:v>50</c:v>
                </c:pt>
              </c:numCache>
            </c:numRef>
          </c:cat>
          <c:val>
            <c:numRef>
              <c:f>Sheet4!$D$19:$AE$19</c:f>
              <c:numCache>
                <c:formatCode>General</c:formatCode>
                <c:ptCount val="28"/>
              </c:numCache>
            </c:numRef>
          </c:val>
        </c:ser>
        <c:ser>
          <c:idx val="17"/>
          <c:order val="17"/>
          <c:tx>
            <c:strRef>
              <c:f>Sheet4!$C$20</c:f>
              <c:strCache>
                <c:ptCount val="1"/>
                <c:pt idx="0">
                  <c:v>18</c:v>
                </c:pt>
              </c:strCache>
            </c:strRef>
          </c:tx>
          <c:cat>
            <c:numRef>
              <c:f>Sheet4!$D$2:$AE$2</c:f>
              <c:numCache>
                <c:formatCode>General</c:formatCode>
                <c:ptCount val="28"/>
                <c:pt idx="0">
                  <c:v>23</c:v>
                </c:pt>
                <c:pt idx="1">
                  <c:v>24</c:v>
                </c:pt>
                <c:pt idx="2">
                  <c:v>25</c:v>
                </c:pt>
                <c:pt idx="3">
                  <c:v>26</c:v>
                </c:pt>
                <c:pt idx="4">
                  <c:v>27</c:v>
                </c:pt>
                <c:pt idx="5">
                  <c:v>28</c:v>
                </c:pt>
                <c:pt idx="6">
                  <c:v>29</c:v>
                </c:pt>
                <c:pt idx="7">
                  <c:v>30</c:v>
                </c:pt>
                <c:pt idx="8">
                  <c:v>31</c:v>
                </c:pt>
                <c:pt idx="9">
                  <c:v>32</c:v>
                </c:pt>
                <c:pt idx="10">
                  <c:v>33</c:v>
                </c:pt>
                <c:pt idx="11">
                  <c:v>34</c:v>
                </c:pt>
                <c:pt idx="12">
                  <c:v>35</c:v>
                </c:pt>
                <c:pt idx="13">
                  <c:v>36</c:v>
                </c:pt>
                <c:pt idx="14">
                  <c:v>37</c:v>
                </c:pt>
                <c:pt idx="15">
                  <c:v>38</c:v>
                </c:pt>
                <c:pt idx="16">
                  <c:v>39</c:v>
                </c:pt>
                <c:pt idx="17">
                  <c:v>40</c:v>
                </c:pt>
                <c:pt idx="18">
                  <c:v>41</c:v>
                </c:pt>
                <c:pt idx="19">
                  <c:v>42</c:v>
                </c:pt>
                <c:pt idx="20">
                  <c:v>43</c:v>
                </c:pt>
                <c:pt idx="21">
                  <c:v>44</c:v>
                </c:pt>
                <c:pt idx="22">
                  <c:v>45</c:v>
                </c:pt>
                <c:pt idx="23">
                  <c:v>46</c:v>
                </c:pt>
                <c:pt idx="24">
                  <c:v>47</c:v>
                </c:pt>
                <c:pt idx="25">
                  <c:v>48</c:v>
                </c:pt>
                <c:pt idx="26">
                  <c:v>49</c:v>
                </c:pt>
                <c:pt idx="27">
                  <c:v>50</c:v>
                </c:pt>
              </c:numCache>
            </c:numRef>
          </c:cat>
          <c:val>
            <c:numRef>
              <c:f>Sheet4!$D$20:$AE$20</c:f>
              <c:numCache>
                <c:formatCode>General</c:formatCode>
                <c:ptCount val="28"/>
              </c:numCache>
            </c:numRef>
          </c:val>
        </c:ser>
        <c:ser>
          <c:idx val="18"/>
          <c:order val="18"/>
          <c:tx>
            <c:strRef>
              <c:f>Sheet4!$C$21</c:f>
              <c:strCache>
                <c:ptCount val="1"/>
                <c:pt idx="0">
                  <c:v>19</c:v>
                </c:pt>
              </c:strCache>
            </c:strRef>
          </c:tx>
          <c:cat>
            <c:numRef>
              <c:f>Sheet4!$D$2:$AE$2</c:f>
              <c:numCache>
                <c:formatCode>General</c:formatCode>
                <c:ptCount val="28"/>
                <c:pt idx="0">
                  <c:v>23</c:v>
                </c:pt>
                <c:pt idx="1">
                  <c:v>24</c:v>
                </c:pt>
                <c:pt idx="2">
                  <c:v>25</c:v>
                </c:pt>
                <c:pt idx="3">
                  <c:v>26</c:v>
                </c:pt>
                <c:pt idx="4">
                  <c:v>27</c:v>
                </c:pt>
                <c:pt idx="5">
                  <c:v>28</c:v>
                </c:pt>
                <c:pt idx="6">
                  <c:v>29</c:v>
                </c:pt>
                <c:pt idx="7">
                  <c:v>30</c:v>
                </c:pt>
                <c:pt idx="8">
                  <c:v>31</c:v>
                </c:pt>
                <c:pt idx="9">
                  <c:v>32</c:v>
                </c:pt>
                <c:pt idx="10">
                  <c:v>33</c:v>
                </c:pt>
                <c:pt idx="11">
                  <c:v>34</c:v>
                </c:pt>
                <c:pt idx="12">
                  <c:v>35</c:v>
                </c:pt>
                <c:pt idx="13">
                  <c:v>36</c:v>
                </c:pt>
                <c:pt idx="14">
                  <c:v>37</c:v>
                </c:pt>
                <c:pt idx="15">
                  <c:v>38</c:v>
                </c:pt>
                <c:pt idx="16">
                  <c:v>39</c:v>
                </c:pt>
                <c:pt idx="17">
                  <c:v>40</c:v>
                </c:pt>
                <c:pt idx="18">
                  <c:v>41</c:v>
                </c:pt>
                <c:pt idx="19">
                  <c:v>42</c:v>
                </c:pt>
                <c:pt idx="20">
                  <c:v>43</c:v>
                </c:pt>
                <c:pt idx="21">
                  <c:v>44</c:v>
                </c:pt>
                <c:pt idx="22">
                  <c:v>45</c:v>
                </c:pt>
                <c:pt idx="23">
                  <c:v>46</c:v>
                </c:pt>
                <c:pt idx="24">
                  <c:v>47</c:v>
                </c:pt>
                <c:pt idx="25">
                  <c:v>48</c:v>
                </c:pt>
                <c:pt idx="26">
                  <c:v>49</c:v>
                </c:pt>
                <c:pt idx="27">
                  <c:v>50</c:v>
                </c:pt>
              </c:numCache>
            </c:numRef>
          </c:cat>
          <c:val>
            <c:numRef>
              <c:f>Sheet4!$D$21:$AE$21</c:f>
              <c:numCache>
                <c:formatCode>General</c:formatCode>
                <c:ptCount val="28"/>
                <c:pt idx="2">
                  <c:v>4.07E-2</c:v>
                </c:pt>
              </c:numCache>
            </c:numRef>
          </c:val>
        </c:ser>
        <c:ser>
          <c:idx val="19"/>
          <c:order val="19"/>
          <c:tx>
            <c:strRef>
              <c:f>Sheet4!$C$22</c:f>
              <c:strCache>
                <c:ptCount val="1"/>
                <c:pt idx="0">
                  <c:v>20</c:v>
                </c:pt>
              </c:strCache>
            </c:strRef>
          </c:tx>
          <c:cat>
            <c:numRef>
              <c:f>Sheet4!$D$2:$AE$2</c:f>
              <c:numCache>
                <c:formatCode>General</c:formatCode>
                <c:ptCount val="28"/>
                <c:pt idx="0">
                  <c:v>23</c:v>
                </c:pt>
                <c:pt idx="1">
                  <c:v>24</c:v>
                </c:pt>
                <c:pt idx="2">
                  <c:v>25</c:v>
                </c:pt>
                <c:pt idx="3">
                  <c:v>26</c:v>
                </c:pt>
                <c:pt idx="4">
                  <c:v>27</c:v>
                </c:pt>
                <c:pt idx="5">
                  <c:v>28</c:v>
                </c:pt>
                <c:pt idx="6">
                  <c:v>29</c:v>
                </c:pt>
                <c:pt idx="7">
                  <c:v>30</c:v>
                </c:pt>
                <c:pt idx="8">
                  <c:v>31</c:v>
                </c:pt>
                <c:pt idx="9">
                  <c:v>32</c:v>
                </c:pt>
                <c:pt idx="10">
                  <c:v>33</c:v>
                </c:pt>
                <c:pt idx="11">
                  <c:v>34</c:v>
                </c:pt>
                <c:pt idx="12">
                  <c:v>35</c:v>
                </c:pt>
                <c:pt idx="13">
                  <c:v>36</c:v>
                </c:pt>
                <c:pt idx="14">
                  <c:v>37</c:v>
                </c:pt>
                <c:pt idx="15">
                  <c:v>38</c:v>
                </c:pt>
                <c:pt idx="16">
                  <c:v>39</c:v>
                </c:pt>
                <c:pt idx="17">
                  <c:v>40</c:v>
                </c:pt>
                <c:pt idx="18">
                  <c:v>41</c:v>
                </c:pt>
                <c:pt idx="19">
                  <c:v>42</c:v>
                </c:pt>
                <c:pt idx="20">
                  <c:v>43</c:v>
                </c:pt>
                <c:pt idx="21">
                  <c:v>44</c:v>
                </c:pt>
                <c:pt idx="22">
                  <c:v>45</c:v>
                </c:pt>
                <c:pt idx="23">
                  <c:v>46</c:v>
                </c:pt>
                <c:pt idx="24">
                  <c:v>47</c:v>
                </c:pt>
                <c:pt idx="25">
                  <c:v>48</c:v>
                </c:pt>
                <c:pt idx="26">
                  <c:v>49</c:v>
                </c:pt>
                <c:pt idx="27">
                  <c:v>50</c:v>
                </c:pt>
              </c:numCache>
            </c:numRef>
          </c:cat>
          <c:val>
            <c:numRef>
              <c:f>Sheet4!$D$22:$AE$22</c:f>
              <c:numCache>
                <c:formatCode>General</c:formatCode>
                <c:ptCount val="28"/>
                <c:pt idx="2">
                  <c:v>4.1300000000000003E-2</c:v>
                </c:pt>
              </c:numCache>
            </c:numRef>
          </c:val>
        </c:ser>
        <c:ser>
          <c:idx val="20"/>
          <c:order val="20"/>
          <c:tx>
            <c:strRef>
              <c:f>Sheet4!$C$23</c:f>
              <c:strCache>
                <c:ptCount val="1"/>
                <c:pt idx="0">
                  <c:v>21</c:v>
                </c:pt>
              </c:strCache>
            </c:strRef>
          </c:tx>
          <c:cat>
            <c:numRef>
              <c:f>Sheet4!$D$2:$AE$2</c:f>
              <c:numCache>
                <c:formatCode>General</c:formatCode>
                <c:ptCount val="28"/>
                <c:pt idx="0">
                  <c:v>23</c:v>
                </c:pt>
                <c:pt idx="1">
                  <c:v>24</c:v>
                </c:pt>
                <c:pt idx="2">
                  <c:v>25</c:v>
                </c:pt>
                <c:pt idx="3">
                  <c:v>26</c:v>
                </c:pt>
                <c:pt idx="4">
                  <c:v>27</c:v>
                </c:pt>
                <c:pt idx="5">
                  <c:v>28</c:v>
                </c:pt>
                <c:pt idx="6">
                  <c:v>29</c:v>
                </c:pt>
                <c:pt idx="7">
                  <c:v>30</c:v>
                </c:pt>
                <c:pt idx="8">
                  <c:v>31</c:v>
                </c:pt>
                <c:pt idx="9">
                  <c:v>32</c:v>
                </c:pt>
                <c:pt idx="10">
                  <c:v>33</c:v>
                </c:pt>
                <c:pt idx="11">
                  <c:v>34</c:v>
                </c:pt>
                <c:pt idx="12">
                  <c:v>35</c:v>
                </c:pt>
                <c:pt idx="13">
                  <c:v>36</c:v>
                </c:pt>
                <c:pt idx="14">
                  <c:v>37</c:v>
                </c:pt>
                <c:pt idx="15">
                  <c:v>38</c:v>
                </c:pt>
                <c:pt idx="16">
                  <c:v>39</c:v>
                </c:pt>
                <c:pt idx="17">
                  <c:v>40</c:v>
                </c:pt>
                <c:pt idx="18">
                  <c:v>41</c:v>
                </c:pt>
                <c:pt idx="19">
                  <c:v>42</c:v>
                </c:pt>
                <c:pt idx="20">
                  <c:v>43</c:v>
                </c:pt>
                <c:pt idx="21">
                  <c:v>44</c:v>
                </c:pt>
                <c:pt idx="22">
                  <c:v>45</c:v>
                </c:pt>
                <c:pt idx="23">
                  <c:v>46</c:v>
                </c:pt>
                <c:pt idx="24">
                  <c:v>47</c:v>
                </c:pt>
                <c:pt idx="25">
                  <c:v>48</c:v>
                </c:pt>
                <c:pt idx="26">
                  <c:v>49</c:v>
                </c:pt>
                <c:pt idx="27">
                  <c:v>50</c:v>
                </c:pt>
              </c:numCache>
            </c:numRef>
          </c:cat>
          <c:val>
            <c:numRef>
              <c:f>Sheet4!$D$23:$AE$23</c:f>
              <c:numCache>
                <c:formatCode>General</c:formatCode>
                <c:ptCount val="28"/>
              </c:numCache>
            </c:numRef>
          </c:val>
        </c:ser>
        <c:ser>
          <c:idx val="21"/>
          <c:order val="21"/>
          <c:tx>
            <c:strRef>
              <c:f>Sheet4!$C$24</c:f>
              <c:strCache>
                <c:ptCount val="1"/>
                <c:pt idx="0">
                  <c:v>22</c:v>
                </c:pt>
              </c:strCache>
            </c:strRef>
          </c:tx>
          <c:cat>
            <c:numRef>
              <c:f>Sheet4!$D$2:$AE$2</c:f>
              <c:numCache>
                <c:formatCode>General</c:formatCode>
                <c:ptCount val="28"/>
                <c:pt idx="0">
                  <c:v>23</c:v>
                </c:pt>
                <c:pt idx="1">
                  <c:v>24</c:v>
                </c:pt>
                <c:pt idx="2">
                  <c:v>25</c:v>
                </c:pt>
                <c:pt idx="3">
                  <c:v>26</c:v>
                </c:pt>
                <c:pt idx="4">
                  <c:v>27</c:v>
                </c:pt>
                <c:pt idx="5">
                  <c:v>28</c:v>
                </c:pt>
                <c:pt idx="6">
                  <c:v>29</c:v>
                </c:pt>
                <c:pt idx="7">
                  <c:v>30</c:v>
                </c:pt>
                <c:pt idx="8">
                  <c:v>31</c:v>
                </c:pt>
                <c:pt idx="9">
                  <c:v>32</c:v>
                </c:pt>
                <c:pt idx="10">
                  <c:v>33</c:v>
                </c:pt>
                <c:pt idx="11">
                  <c:v>34</c:v>
                </c:pt>
                <c:pt idx="12">
                  <c:v>35</c:v>
                </c:pt>
                <c:pt idx="13">
                  <c:v>36</c:v>
                </c:pt>
                <c:pt idx="14">
                  <c:v>37</c:v>
                </c:pt>
                <c:pt idx="15">
                  <c:v>38</c:v>
                </c:pt>
                <c:pt idx="16">
                  <c:v>39</c:v>
                </c:pt>
                <c:pt idx="17">
                  <c:v>40</c:v>
                </c:pt>
                <c:pt idx="18">
                  <c:v>41</c:v>
                </c:pt>
                <c:pt idx="19">
                  <c:v>42</c:v>
                </c:pt>
                <c:pt idx="20">
                  <c:v>43</c:v>
                </c:pt>
                <c:pt idx="21">
                  <c:v>44</c:v>
                </c:pt>
                <c:pt idx="22">
                  <c:v>45</c:v>
                </c:pt>
                <c:pt idx="23">
                  <c:v>46</c:v>
                </c:pt>
                <c:pt idx="24">
                  <c:v>47</c:v>
                </c:pt>
                <c:pt idx="25">
                  <c:v>48</c:v>
                </c:pt>
                <c:pt idx="26">
                  <c:v>49</c:v>
                </c:pt>
                <c:pt idx="27">
                  <c:v>50</c:v>
                </c:pt>
              </c:numCache>
            </c:numRef>
          </c:cat>
          <c:val>
            <c:numRef>
              <c:f>Sheet4!$D$24:$AE$24</c:f>
              <c:numCache>
                <c:formatCode>General</c:formatCode>
                <c:ptCount val="28"/>
              </c:numCache>
            </c:numRef>
          </c:val>
        </c:ser>
        <c:bandFmts/>
        <c:axId val="206979072"/>
        <c:axId val="206980992"/>
        <c:axId val="156035264"/>
      </c:surface3DChart>
      <c:catAx>
        <c:axId val="206979072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GB"/>
                  <a:t>'Long' MA</a:t>
                </a:r>
                <a:r>
                  <a:rPr lang="en-GB" baseline="0"/>
                  <a:t> length</a:t>
                </a:r>
                <a:endParaRPr lang="en-GB"/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06980992"/>
        <c:crosses val="autoZero"/>
        <c:auto val="1"/>
        <c:lblAlgn val="ctr"/>
        <c:lblOffset val="100"/>
        <c:noMultiLvlLbl val="0"/>
      </c:catAx>
      <c:valAx>
        <c:axId val="206980992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GB"/>
                  <a:t>% Return</a:t>
                </a:r>
              </a:p>
            </c:rich>
          </c:tx>
          <c:overlay val="0"/>
        </c:title>
        <c:numFmt formatCode="0.0%" sourceLinked="0"/>
        <c:majorTickMark val="out"/>
        <c:minorTickMark val="none"/>
        <c:tickLblPos val="nextTo"/>
        <c:crossAx val="206979072"/>
        <c:crosses val="autoZero"/>
        <c:crossBetween val="midCat"/>
      </c:valAx>
      <c:serAx>
        <c:axId val="156035264"/>
        <c:scaling>
          <c:orientation val="minMax"/>
        </c:scaling>
        <c:delete val="0"/>
        <c:axPos val="b"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en-GB"/>
                  <a:t>'Short' MA</a:t>
                </a:r>
                <a:r>
                  <a:rPr lang="en-GB" baseline="0"/>
                  <a:t> length</a:t>
                </a:r>
                <a:endParaRPr lang="en-GB"/>
              </a:p>
            </c:rich>
          </c:tx>
          <c:overlay val="0"/>
        </c:title>
        <c:majorTickMark val="out"/>
        <c:minorTickMark val="none"/>
        <c:tickLblPos val="nextTo"/>
        <c:crossAx val="206980992"/>
        <c:crosses val="autoZero"/>
      </c:serAx>
    </c:plotArea>
    <c:legend>
      <c:legendPos val="r"/>
      <c:overlay val="0"/>
      <c:txPr>
        <a:bodyPr/>
        <a:lstStyle/>
        <a:p>
          <a:pPr rtl="0">
            <a:defRPr/>
          </a:pPr>
          <a:endParaRPr lang="en-US"/>
        </a:p>
      </c:txPr>
    </c:legend>
    <c:plotVisOnly val="1"/>
    <c:dispBlanksAs val="zero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3"/>
    </mc:Choice>
    <mc:Fallback>
      <c:style val="3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GB" sz="1600"/>
              <a:t>System Test for MACD </a:t>
            </a:r>
            <a:r>
              <a:rPr lang="en-GB" sz="1200" b="0"/>
              <a:t>(20 most profitable signal lengths)</a:t>
            </a:r>
          </a:p>
        </c:rich>
      </c:tx>
      <c:layout>
        <c:manualLayout>
          <c:xMode val="edge"/>
          <c:yMode val="edge"/>
          <c:x val="0.18079155730533683"/>
          <c:y val="0"/>
        </c:manualLayout>
      </c:layout>
      <c:overlay val="1"/>
    </c:title>
    <c:autoTitleDeleted val="0"/>
    <c:plotArea>
      <c:layout/>
      <c:barChart>
        <c:barDir val="col"/>
        <c:grouping val="stacked"/>
        <c:varyColors val="0"/>
        <c:ser>
          <c:idx val="1"/>
          <c:order val="0"/>
          <c:invertIfNegative val="0"/>
          <c:cat>
            <c:numRef>
              <c:f>Sheet6!$J$4:$J$23</c:f>
              <c:numCache>
                <c:formatCode>General</c:formatCode>
                <c:ptCount val="20"/>
                <c:pt idx="0">
                  <c:v>11</c:v>
                </c:pt>
                <c:pt idx="1">
                  <c:v>12</c:v>
                </c:pt>
                <c:pt idx="2">
                  <c:v>13</c:v>
                </c:pt>
                <c:pt idx="3">
                  <c:v>14</c:v>
                </c:pt>
                <c:pt idx="4">
                  <c:v>15</c:v>
                </c:pt>
                <c:pt idx="5">
                  <c:v>18</c:v>
                </c:pt>
                <c:pt idx="6">
                  <c:v>20</c:v>
                </c:pt>
                <c:pt idx="7">
                  <c:v>22</c:v>
                </c:pt>
                <c:pt idx="8">
                  <c:v>23</c:v>
                </c:pt>
                <c:pt idx="9">
                  <c:v>24</c:v>
                </c:pt>
                <c:pt idx="10">
                  <c:v>25</c:v>
                </c:pt>
                <c:pt idx="11">
                  <c:v>26</c:v>
                </c:pt>
                <c:pt idx="12">
                  <c:v>27</c:v>
                </c:pt>
                <c:pt idx="13">
                  <c:v>28</c:v>
                </c:pt>
                <c:pt idx="14">
                  <c:v>29</c:v>
                </c:pt>
                <c:pt idx="15">
                  <c:v>30</c:v>
                </c:pt>
                <c:pt idx="16">
                  <c:v>31</c:v>
                </c:pt>
                <c:pt idx="17">
                  <c:v>32</c:v>
                </c:pt>
                <c:pt idx="18">
                  <c:v>33</c:v>
                </c:pt>
                <c:pt idx="19">
                  <c:v>34</c:v>
                </c:pt>
              </c:numCache>
            </c:numRef>
          </c:cat>
          <c:val>
            <c:numRef>
              <c:f>Sheet6!$F$4:$F$23</c:f>
              <c:numCache>
                <c:formatCode>0.00%</c:formatCode>
                <c:ptCount val="20"/>
                <c:pt idx="0">
                  <c:v>4.6699999999999998E-2</c:v>
                </c:pt>
                <c:pt idx="1">
                  <c:v>4.8500000000000001E-2</c:v>
                </c:pt>
                <c:pt idx="2">
                  <c:v>4.65E-2</c:v>
                </c:pt>
                <c:pt idx="3">
                  <c:v>4.9599999999999998E-2</c:v>
                </c:pt>
                <c:pt idx="4">
                  <c:v>5.1700000000000003E-2</c:v>
                </c:pt>
                <c:pt idx="5">
                  <c:v>4.4699999999999997E-2</c:v>
                </c:pt>
                <c:pt idx="6">
                  <c:v>4.6699999999999998E-2</c:v>
                </c:pt>
                <c:pt idx="7">
                  <c:v>4.5199999999999997E-2</c:v>
                </c:pt>
                <c:pt idx="8">
                  <c:v>4.3700000000000003E-2</c:v>
                </c:pt>
                <c:pt idx="9">
                  <c:v>5.5199999999999999E-2</c:v>
                </c:pt>
                <c:pt idx="10">
                  <c:v>7.3099999999999998E-2</c:v>
                </c:pt>
                <c:pt idx="11">
                  <c:v>7.3200000000000001E-2</c:v>
                </c:pt>
                <c:pt idx="12">
                  <c:v>7.5200000000000003E-2</c:v>
                </c:pt>
                <c:pt idx="13">
                  <c:v>7.4800000000000005E-2</c:v>
                </c:pt>
                <c:pt idx="14">
                  <c:v>6.7299999999999999E-2</c:v>
                </c:pt>
                <c:pt idx="15">
                  <c:v>6.0600000000000001E-2</c:v>
                </c:pt>
                <c:pt idx="16">
                  <c:v>5.3199999999999997E-2</c:v>
                </c:pt>
                <c:pt idx="17">
                  <c:v>5.4899999999999997E-2</c:v>
                </c:pt>
                <c:pt idx="18">
                  <c:v>4.5600000000000002E-2</c:v>
                </c:pt>
                <c:pt idx="19">
                  <c:v>4.4400000000000002E-2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153886720"/>
        <c:axId val="153888640"/>
      </c:barChart>
      <c:catAx>
        <c:axId val="153886720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Signal length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53888640"/>
        <c:crosses val="autoZero"/>
        <c:auto val="1"/>
        <c:lblAlgn val="ctr"/>
        <c:lblOffset val="100"/>
        <c:noMultiLvlLbl val="0"/>
      </c:catAx>
      <c:valAx>
        <c:axId val="153888640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GB"/>
                  <a:t>Return</a:t>
                </a:r>
              </a:p>
            </c:rich>
          </c:tx>
          <c:overlay val="0"/>
        </c:title>
        <c:numFmt formatCode="0.00%" sourceLinked="1"/>
        <c:majorTickMark val="out"/>
        <c:minorTickMark val="none"/>
        <c:tickLblPos val="nextTo"/>
        <c:crossAx val="153886720"/>
        <c:crosses val="autoZero"/>
        <c:crossBetween val="between"/>
      </c:valAx>
    </c:plotArea>
    <c:plotVisOnly val="1"/>
    <c:dispBlanksAs val="gap"/>
    <c:showDLblsOverMax val="0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GB" sz="1600" b="1" i="0" u="none" strike="noStrike" baseline="0">
                <a:effectLst/>
              </a:rPr>
              <a:t>System Test for RSI </a:t>
            </a:r>
            <a:r>
              <a:rPr lang="en-GB" sz="1100" b="0" i="0" u="none" strike="noStrike" baseline="0">
                <a:effectLst/>
              </a:rPr>
              <a:t>(20 most profitable RSI lengths)</a:t>
            </a:r>
            <a:endParaRPr lang="en-GB" sz="1100"/>
          </a:p>
        </c:rich>
      </c:tx>
      <c:layout>
        <c:manualLayout>
          <c:xMode val="edge"/>
          <c:yMode val="edge"/>
          <c:x val="0.22474574502869266"/>
          <c:y val="2.7777777777777776E-2"/>
        </c:manualLayout>
      </c:layout>
      <c:overlay val="1"/>
    </c:title>
    <c:autoTitleDeleted val="0"/>
    <c:plotArea>
      <c:layout/>
      <c:barChart>
        <c:barDir val="col"/>
        <c:grouping val="stacked"/>
        <c:varyColors val="0"/>
        <c:ser>
          <c:idx val="1"/>
          <c:order val="0"/>
          <c:invertIfNegative val="0"/>
          <c:cat>
            <c:numRef>
              <c:f>Sheet8!$G$4:$G$24</c:f>
              <c:numCache>
                <c:formatCode>General</c:formatCode>
                <c:ptCount val="21"/>
                <c:pt idx="0">
                  <c:v>7</c:v>
                </c:pt>
                <c:pt idx="1">
                  <c:v>6</c:v>
                </c:pt>
                <c:pt idx="2">
                  <c:v>8</c:v>
                </c:pt>
                <c:pt idx="3">
                  <c:v>9</c:v>
                </c:pt>
                <c:pt idx="4">
                  <c:v>10</c:v>
                </c:pt>
                <c:pt idx="5">
                  <c:v>5</c:v>
                </c:pt>
                <c:pt idx="6">
                  <c:v>23</c:v>
                </c:pt>
                <c:pt idx="7">
                  <c:v>25</c:v>
                </c:pt>
                <c:pt idx="8">
                  <c:v>24</c:v>
                </c:pt>
                <c:pt idx="9">
                  <c:v>13</c:v>
                </c:pt>
                <c:pt idx="10">
                  <c:v>15</c:v>
                </c:pt>
                <c:pt idx="11">
                  <c:v>11</c:v>
                </c:pt>
                <c:pt idx="12">
                  <c:v>16</c:v>
                </c:pt>
                <c:pt idx="13">
                  <c:v>17</c:v>
                </c:pt>
                <c:pt idx="14">
                  <c:v>12</c:v>
                </c:pt>
                <c:pt idx="15">
                  <c:v>18</c:v>
                </c:pt>
                <c:pt idx="16">
                  <c:v>19</c:v>
                </c:pt>
                <c:pt idx="17">
                  <c:v>14</c:v>
                </c:pt>
                <c:pt idx="18">
                  <c:v>20</c:v>
                </c:pt>
                <c:pt idx="19">
                  <c:v>21</c:v>
                </c:pt>
                <c:pt idx="20">
                  <c:v>22</c:v>
                </c:pt>
              </c:numCache>
            </c:numRef>
          </c:cat>
          <c:val>
            <c:numRef>
              <c:f>Sheet8!$E$4:$E$24</c:f>
              <c:numCache>
                <c:formatCode>0.00%</c:formatCode>
                <c:ptCount val="21"/>
                <c:pt idx="0">
                  <c:v>-4.0300000000000002E-2</c:v>
                </c:pt>
                <c:pt idx="1">
                  <c:v>-2.98E-2</c:v>
                </c:pt>
                <c:pt idx="2">
                  <c:v>-1.52E-2</c:v>
                </c:pt>
                <c:pt idx="3">
                  <c:v>-2.3E-3</c:v>
                </c:pt>
                <c:pt idx="4">
                  <c:v>3.2000000000000002E-3</c:v>
                </c:pt>
                <c:pt idx="5">
                  <c:v>5.5999999999999999E-3</c:v>
                </c:pt>
                <c:pt idx="6">
                  <c:v>1.44E-2</c:v>
                </c:pt>
                <c:pt idx="7">
                  <c:v>1.54E-2</c:v>
                </c:pt>
                <c:pt idx="8">
                  <c:v>1.7500000000000002E-2</c:v>
                </c:pt>
                <c:pt idx="9">
                  <c:v>2.1399999999999999E-2</c:v>
                </c:pt>
                <c:pt idx="10">
                  <c:v>3.3399999999999999E-2</c:v>
                </c:pt>
                <c:pt idx="11">
                  <c:v>3.3500000000000002E-2</c:v>
                </c:pt>
                <c:pt idx="12">
                  <c:v>3.4700000000000002E-2</c:v>
                </c:pt>
                <c:pt idx="13">
                  <c:v>3.5299999999999998E-2</c:v>
                </c:pt>
                <c:pt idx="14">
                  <c:v>3.6600000000000001E-2</c:v>
                </c:pt>
                <c:pt idx="15">
                  <c:v>3.7100000000000001E-2</c:v>
                </c:pt>
                <c:pt idx="16">
                  <c:v>3.7100000000000001E-2</c:v>
                </c:pt>
                <c:pt idx="17">
                  <c:v>4.2799999999999998E-2</c:v>
                </c:pt>
                <c:pt idx="18">
                  <c:v>4.7600000000000003E-2</c:v>
                </c:pt>
                <c:pt idx="19">
                  <c:v>4.9200000000000001E-2</c:v>
                </c:pt>
                <c:pt idx="20">
                  <c:v>5.0099999999999999E-2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207002240"/>
        <c:axId val="207012608"/>
      </c:barChart>
      <c:catAx>
        <c:axId val="207002240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RSI </a:t>
                </a:r>
                <a:r>
                  <a:rPr lang="en-US" baseline="0"/>
                  <a:t> p</a:t>
                </a:r>
                <a:r>
                  <a:rPr lang="en-US"/>
                  <a:t>eriod</a:t>
                </a:r>
                <a:r>
                  <a:rPr lang="en-US" baseline="0"/>
                  <a:t> length</a:t>
                </a:r>
                <a:endParaRPr lang="en-US"/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07012608"/>
        <c:crosses val="autoZero"/>
        <c:auto val="1"/>
        <c:lblAlgn val="ctr"/>
        <c:lblOffset val="100"/>
        <c:noMultiLvlLbl val="0"/>
      </c:catAx>
      <c:valAx>
        <c:axId val="207012608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GB"/>
                  <a:t>Return</a:t>
                </a:r>
              </a:p>
            </c:rich>
          </c:tx>
          <c:overlay val="0"/>
        </c:title>
        <c:numFmt formatCode="0.00%" sourceLinked="1"/>
        <c:majorTickMark val="out"/>
        <c:minorTickMark val="none"/>
        <c:tickLblPos val="nextTo"/>
        <c:crossAx val="207002240"/>
        <c:crosses val="autoZero"/>
        <c:crossBetween val="between"/>
      </c:valAx>
    </c:plotArea>
    <c:plotVisOnly val="1"/>
    <c:dispBlanksAs val="gap"/>
    <c:showDLblsOverMax val="0"/>
  </c:chart>
  <c:externalData r:id="rId1">
    <c:autoUpdate val="0"/>
  </c:externalData>
</c:chartSpac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606A"/>
    <w:rsid w:val="008760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718B3A6AA12485B82252FD5A1EE76CE">
    <w:name w:val="8718B3A6AA12485B82252FD5A1EE76CE"/>
    <w:rsid w:val="0087606A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718B3A6AA12485B82252FD5A1EE76CE">
    <w:name w:val="8718B3A6AA12485B82252FD5A1EE76CE"/>
    <w:rsid w:val="0087606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11</Pages>
  <Words>2255</Words>
  <Characters>12860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9</cp:revision>
  <cp:lastPrinted>2014-11-28T15:49:00Z</cp:lastPrinted>
  <dcterms:created xsi:type="dcterms:W3CDTF">2014-11-28T14:22:00Z</dcterms:created>
  <dcterms:modified xsi:type="dcterms:W3CDTF">2014-11-28T17:07:00Z</dcterms:modified>
</cp:coreProperties>
</file>