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Integrated Sealed EO Vapour Test Cell</w:t>
      </w:r>
    </w:p>
    <w:p>
      <w:pPr>
        <w:jc w:val="center"/>
      </w:pPr>
      <w:r>
        <w:t>Dimensioning basis — current handoff release, 2026-09-03</w:t>
      </w:r>
    </w:p>
    <w:p>
      <w:pPr>
        <w:jc w:val="center"/>
      </w:pPr>
      <w:r>
        <w:t>Status: authoritative engineering concept; fabrication release is blocked by the open evidence gates.</w:t>
      </w:r>
    </w:p>
    <w:tbl>
      <w:tblPr>
        <w:tblStyle w:val="LightShading-Accent1"/>
        <w:tblW w:type="auto" w:w="0"/>
        <w:tblLook w:firstColumn="1" w:firstRow="1" w:lastColumn="0" w:lastRow="0" w:noHBand="0" w:noVBand="1" w:val="04A0"/>
      </w:tblPr>
      <w:tblGrid>
        <w:gridCol w:w="3289"/>
        <w:gridCol w:w="3289"/>
        <w:gridCol w:w="3289"/>
      </w:tblGrid>
      <w:tr>
        <w:trPr>
          <w:cantSplit/>
          <w:tblHeader/>
        </w:trPr>
        <w:tc>
          <w:tcPr>
            <w:tcW w:type="dxa" w:w="3289"/>
            <w:vAlign w:val="top"/>
          </w:tcPr>
          <w:p>
            <w:pPr>
              <w:spacing w:after="0"/>
            </w:pPr>
            <w:r>
              <w:rPr>
                <w:sz w:val="17"/>
              </w:rPr>
              <w:t>NET-VOLUME TARGET / SIDE</w:t>
            </w:r>
          </w:p>
        </w:tc>
        <w:tc>
          <w:tcPr>
            <w:tcW w:type="dxa" w:w="3289"/>
            <w:vAlign w:val="top"/>
          </w:tcPr>
          <w:p>
            <w:pPr>
              <w:spacing w:after="0"/>
            </w:pPr>
            <w:r>
              <w:rPr>
                <w:sz w:val="17"/>
              </w:rPr>
              <w:t>MEMBRANE REGION</w:t>
            </w:r>
          </w:p>
        </w:tc>
        <w:tc>
          <w:tcPr>
            <w:tcW w:type="dxa" w:w="3289"/>
            <w:vAlign w:val="top"/>
          </w:tcPr>
          <w:p>
            <w:pPr>
              <w:spacing w:after="0"/>
            </w:pPr>
            <w:r>
              <w:rPr>
                <w:sz w:val="17"/>
              </w:rPr>
              <w:t>LOCAL GAPS</w:t>
            </w:r>
          </w:p>
        </w:tc>
      </w:tr>
      <w:tr>
        <w:trPr>
          <w:cantSplit/>
        </w:trPr>
        <w:tc>
          <w:tcPr>
            <w:tcW w:type="dxa" w:w="3289"/>
            <w:vAlign w:val="top"/>
          </w:tcPr>
          <w:p>
            <w:pPr>
              <w:spacing w:after="0"/>
            </w:pPr>
            <w:r>
              <w:rPr>
                <w:sz w:val="17"/>
              </w:rPr>
              <w:t>500.0 +/- 5.0 mL</w:t>
            </w:r>
          </w:p>
        </w:tc>
        <w:tc>
          <w:tcPr>
            <w:tcW w:type="dxa" w:w="3289"/>
            <w:vAlign w:val="top"/>
          </w:tcPr>
          <w:p>
            <w:pPr>
              <w:spacing w:after="0"/>
            </w:pPr>
            <w:r>
              <w:rPr>
                <w:sz w:val="17"/>
              </w:rPr>
              <w:t>50 x 50 mm (25 cm2)</w:t>
            </w:r>
          </w:p>
        </w:tc>
        <w:tc>
          <w:tcPr>
            <w:tcW w:type="dxa" w:w="3289"/>
            <w:vAlign w:val="top"/>
          </w:tcPr>
          <w:p>
            <w:pPr>
              <w:spacing w:after="0"/>
            </w:pPr>
            <w:r>
              <w:rPr>
                <w:sz w:val="17"/>
              </w:rPr>
              <w:t>1 / 2 / 4 mm</w:t>
            </w:r>
          </w:p>
        </w:tc>
      </w:tr>
    </w:tbl>
    <w:p>
      <w:pPr>
        <w:pStyle w:val="Heading1"/>
        <w:keepNext/>
      </w:pPr>
      <w:r>
        <w:t>Selected physical system</w:t>
      </w:r>
    </w:p>
    <w:p>
      <w:r>
        <w:t>Two equal sealed gas chambers, A and B, share the active membrane boundary. Each assembled chamber shall be calibrated to 500.0 +/- 5.0 mL net free-gas volume at 32 °C, 101325 Pa and 50% initial RH. The membrane coupon is 80 x 80 mm, the active region is 50 x 50 mm, the clear chamber face is 100 x 100 mm, and the outer plate envelope is 110 x 110 mm. The volume is a governing design target; traceable assembled-cell calibration remains open.</w:t>
      </w:r>
    </w:p>
    <w:p>
      <w:r>
        <w:drawing>
          <wp:inline xmlns:a="http://schemas.openxmlformats.org/drawingml/2006/main" xmlns:pic="http://schemas.openxmlformats.org/drawingml/2006/picture">
            <wp:extent cx="5832000" cy="3663900"/>
            <wp:docPr id="1" name="Picture 1"/>
            <wp:cNvGraphicFramePr>
              <a:graphicFrameLocks noChangeAspect="1"/>
            </wp:cNvGraphicFramePr>
            <a:graphic>
              <a:graphicData uri="http://schemas.openxmlformats.org/drawingml/2006/picture">
                <pic:pic>
                  <pic:nvPicPr>
                    <pic:cNvPr id="0" name="eo_vapour_integrated_two_chamber_dimensioned_views.png"/>
                    <pic:cNvPicPr/>
                  </pic:nvPicPr>
                  <pic:blipFill>
                    <a:blip r:embed="rId9"/>
                    <a:stretch>
                      <a:fillRect/>
                    </a:stretch>
                  </pic:blipFill>
                  <pic:spPr>
                    <a:xfrm>
                      <a:off x="0" y="0"/>
                      <a:ext cx="5832000" cy="3663900"/>
                    </a:xfrm>
                    <a:prstGeom prst="rect"/>
                  </pic:spPr>
                </pic:pic>
              </a:graphicData>
            </a:graphic>
          </wp:inline>
        </w:drawing>
      </w:r>
    </w:p>
    <w:p>
      <w:pPr>
        <w:jc w:val="center"/>
      </w:pPr>
      <w:r>
        <w:t>Figure 1. Dimensioned exterior and section engineering concept.</w:t>
      </w:r>
    </w:p>
    <w:p>
      <w:pPr>
        <w:pStyle w:val="Heading1"/>
        <w:keepNext/>
      </w:pPr>
      <w:r>
        <w:t>Volume derived from target drift and switching time</w:t>
      </w:r>
    </w:p>
    <w:p>
      <w:r>
        <w:t>The declared target flux is 208 g m-2 h-1 across 25 cm2, giving 520.0 mg/h (0.144444 mg/s). A 5.0 s polarity segment transfers 0.722222 mg. Using V_required = transferred mass / (saturated vapour density x 0.05), the minimum net free-gas volume is 427.6 mL per side. The selected 500.0 mL target gives a ratio of 1.169 and a predicted change of 4.276 RH percentage points in either chamber at the first switching point.</w:t>
      </w:r>
    </w:p>
    <w:p>
      <w:pPr>
        <w:pStyle w:val="Heading1"/>
        <w:keepNext/>
      </w:pPr>
      <w:r>
        <w:t>Local, bulk, net and gross volume</w:t>
      </w:r>
    </w:p>
    <w:tbl>
      <w:tblPr>
        <w:tblStyle w:val="LightShading-Accent1"/>
        <w:tblW w:type="auto" w:w="0"/>
        <w:tblLook w:firstColumn="1" w:firstRow="1" w:lastColumn="0" w:lastRow="0" w:noHBand="0" w:noVBand="1" w:val="04A0"/>
      </w:tblPr>
      <w:tblGrid>
        <w:gridCol w:w="2466"/>
        <w:gridCol w:w="2466"/>
        <w:gridCol w:w="2466"/>
        <w:gridCol w:w="2466"/>
      </w:tblGrid>
      <w:tr>
        <w:trPr>
          <w:cantSplit/>
          <w:tblHeader/>
        </w:trPr>
        <w:tc>
          <w:tcPr>
            <w:tcW w:type="dxa" w:w="2466"/>
            <w:vAlign w:val="top"/>
          </w:tcPr>
          <w:p>
            <w:pPr>
              <w:spacing w:after="0"/>
            </w:pPr>
            <w:r>
              <w:rPr>
                <w:sz w:val="17"/>
              </w:rPr>
              <w:t>Gap</w:t>
            </w:r>
          </w:p>
        </w:tc>
        <w:tc>
          <w:tcPr>
            <w:tcW w:type="dxa" w:w="2466"/>
            <w:vAlign w:val="top"/>
          </w:tcPr>
          <w:p>
            <w:pPr>
              <w:spacing w:after="0"/>
            </w:pPr>
            <w:r>
              <w:rPr>
                <w:sz w:val="17"/>
              </w:rPr>
              <w:t>Local membrane region</w:t>
            </w:r>
          </w:p>
        </w:tc>
        <w:tc>
          <w:tcPr>
            <w:tcW w:type="dxa" w:w="2466"/>
            <w:vAlign w:val="top"/>
          </w:tcPr>
          <w:p>
            <w:pPr>
              <w:spacing w:after="0"/>
            </w:pPr>
            <w:r>
              <w:rPr>
                <w:sz w:val="17"/>
              </w:rPr>
              <w:t>Bulk free gas</w:t>
            </w:r>
          </w:p>
        </w:tc>
        <w:tc>
          <w:tcPr>
            <w:tcW w:type="dxa" w:w="2466"/>
            <w:vAlign w:val="top"/>
          </w:tcPr>
          <w:p>
            <w:pPr>
              <w:spacing w:after="0"/>
            </w:pPr>
            <w:r>
              <w:rPr>
                <w:sz w:val="17"/>
              </w:rPr>
              <w:t>Net-volume target</w:t>
            </w:r>
          </w:p>
        </w:tc>
      </w:tr>
      <w:tr>
        <w:trPr>
          <w:cantSplit/>
        </w:trPr>
        <w:tc>
          <w:tcPr>
            <w:tcW w:type="dxa" w:w="2466"/>
            <w:vAlign w:val="top"/>
          </w:tcPr>
          <w:p>
            <w:pPr>
              <w:spacing w:after="0"/>
            </w:pPr>
            <w:r>
              <w:rPr>
                <w:sz w:val="17"/>
              </w:rPr>
              <w:t>1 mm</w:t>
            </w:r>
          </w:p>
        </w:tc>
        <w:tc>
          <w:tcPr>
            <w:tcW w:type="dxa" w:w="2466"/>
            <w:vAlign w:val="top"/>
          </w:tcPr>
          <w:p>
            <w:pPr>
              <w:spacing w:after="0"/>
            </w:pPr>
            <w:r>
              <w:rPr>
                <w:sz w:val="17"/>
              </w:rPr>
              <w:t>2.5 mL</w:t>
            </w:r>
          </w:p>
        </w:tc>
        <w:tc>
          <w:tcPr>
            <w:tcW w:type="dxa" w:w="2466"/>
            <w:vAlign w:val="top"/>
          </w:tcPr>
          <w:p>
            <w:pPr>
              <w:spacing w:after="0"/>
            </w:pPr>
            <w:r>
              <w:rPr>
                <w:sz w:val="17"/>
              </w:rPr>
              <w:t>497.5 mL</w:t>
            </w:r>
          </w:p>
        </w:tc>
        <w:tc>
          <w:tcPr>
            <w:tcW w:type="dxa" w:w="2466"/>
            <w:vAlign w:val="top"/>
          </w:tcPr>
          <w:p>
            <w:pPr>
              <w:spacing w:after="0"/>
            </w:pPr>
            <w:r>
              <w:rPr>
                <w:sz w:val="17"/>
              </w:rPr>
              <w:t>500.0 mL</w:t>
            </w:r>
          </w:p>
        </w:tc>
      </w:tr>
      <w:tr>
        <w:trPr>
          <w:cantSplit/>
        </w:trPr>
        <w:tc>
          <w:tcPr>
            <w:tcW w:type="dxa" w:w="2466"/>
            <w:vAlign w:val="top"/>
          </w:tcPr>
          <w:p>
            <w:pPr>
              <w:spacing w:after="0"/>
            </w:pPr>
            <w:r>
              <w:rPr>
                <w:sz w:val="17"/>
              </w:rPr>
              <w:t>2 mm</w:t>
            </w:r>
          </w:p>
        </w:tc>
        <w:tc>
          <w:tcPr>
            <w:tcW w:type="dxa" w:w="2466"/>
            <w:vAlign w:val="top"/>
          </w:tcPr>
          <w:p>
            <w:pPr>
              <w:spacing w:after="0"/>
            </w:pPr>
            <w:r>
              <w:rPr>
                <w:sz w:val="17"/>
              </w:rPr>
              <w:t>5.0 mL</w:t>
            </w:r>
          </w:p>
        </w:tc>
        <w:tc>
          <w:tcPr>
            <w:tcW w:type="dxa" w:w="2466"/>
            <w:vAlign w:val="top"/>
          </w:tcPr>
          <w:p>
            <w:pPr>
              <w:spacing w:after="0"/>
            </w:pPr>
            <w:r>
              <w:rPr>
                <w:sz w:val="17"/>
              </w:rPr>
              <w:t>495.0 mL</w:t>
            </w:r>
          </w:p>
        </w:tc>
        <w:tc>
          <w:tcPr>
            <w:tcW w:type="dxa" w:w="2466"/>
            <w:vAlign w:val="top"/>
          </w:tcPr>
          <w:p>
            <w:pPr>
              <w:spacing w:after="0"/>
            </w:pPr>
            <w:r>
              <w:rPr>
                <w:sz w:val="17"/>
              </w:rPr>
              <w:t>500.0 mL</w:t>
            </w:r>
          </w:p>
        </w:tc>
      </w:tr>
      <w:tr>
        <w:trPr>
          <w:cantSplit/>
        </w:trPr>
        <w:tc>
          <w:tcPr>
            <w:tcW w:type="dxa" w:w="2466"/>
            <w:vAlign w:val="top"/>
          </w:tcPr>
          <w:p>
            <w:pPr>
              <w:spacing w:after="0"/>
            </w:pPr>
            <w:r>
              <w:rPr>
                <w:sz w:val="17"/>
              </w:rPr>
              <w:t>4 mm</w:t>
            </w:r>
          </w:p>
        </w:tc>
        <w:tc>
          <w:tcPr>
            <w:tcW w:type="dxa" w:w="2466"/>
            <w:vAlign w:val="top"/>
          </w:tcPr>
          <w:p>
            <w:pPr>
              <w:spacing w:after="0"/>
            </w:pPr>
            <w:r>
              <w:rPr>
                <w:sz w:val="17"/>
              </w:rPr>
              <w:t>10.0 mL</w:t>
            </w:r>
          </w:p>
        </w:tc>
        <w:tc>
          <w:tcPr>
            <w:tcW w:type="dxa" w:w="2466"/>
            <w:vAlign w:val="top"/>
          </w:tcPr>
          <w:p>
            <w:pPr>
              <w:spacing w:after="0"/>
            </w:pPr>
            <w:r>
              <w:rPr>
                <w:sz w:val="17"/>
              </w:rPr>
              <w:t>490.0 mL</w:t>
            </w:r>
          </w:p>
        </w:tc>
        <w:tc>
          <w:tcPr>
            <w:tcW w:type="dxa" w:w="2466"/>
            <w:vAlign w:val="top"/>
          </w:tcPr>
          <w:p>
            <w:pPr>
              <w:spacing w:after="0"/>
            </w:pPr>
            <w:r>
              <w:rPr>
                <w:sz w:val="17"/>
              </w:rPr>
              <w:t>500.0 mL</w:t>
            </w:r>
          </w:p>
        </w:tc>
      </w:tr>
    </w:tbl>
    <w:p>
      <w:pPr>
        <w:keepLines/>
      </w:pPr>
      <w:r>
        <w:t>The local membrane-region volume is included in the net-volume target. Gross empty-cavity volume is released from gross = calibrated net + installed component displacement after the internal hardware inventory is measured. The rendering does not define any dimension stored as null in the configuration.</w:t>
      </w:r>
    </w:p>
    <w:p>
      <w:pPr>
        <w:pStyle w:val="Heading1"/>
        <w:keepNext/>
      </w:pPr>
      <w:r>
        <w:t>Ideal ABBA transient</w:t>
      </w:r>
    </w:p>
    <w:tbl>
      <w:tblPr>
        <w:tblStyle w:val="LightShading-Accent1"/>
        <w:tblW w:type="auto" w:w="0"/>
        <w:tblLook w:firstColumn="1" w:firstRow="1" w:lastColumn="0" w:lastRow="0" w:noHBand="0" w:noVBand="1" w:val="04A0"/>
      </w:tblPr>
      <w:tblGrid>
        <w:gridCol w:w="2466"/>
        <w:gridCol w:w="2466"/>
        <w:gridCol w:w="2466"/>
        <w:gridCol w:w="2466"/>
      </w:tblGrid>
      <w:tr>
        <w:trPr>
          <w:cantSplit/>
          <w:tblHeader/>
        </w:trPr>
        <w:tc>
          <w:tcPr>
            <w:tcW w:type="dxa" w:w="2466"/>
            <w:vAlign w:val="top"/>
          </w:tcPr>
          <w:p>
            <w:pPr>
              <w:spacing w:after="0"/>
            </w:pPr>
            <w:r>
              <w:rPr>
                <w:sz w:val="17"/>
              </w:rPr>
              <w:t>Time</w:t>
            </w:r>
          </w:p>
        </w:tc>
        <w:tc>
          <w:tcPr>
            <w:tcW w:type="dxa" w:w="2466"/>
            <w:vAlign w:val="top"/>
          </w:tcPr>
          <w:p>
            <w:pPr>
              <w:spacing w:after="0"/>
            </w:pPr>
            <w:r>
              <w:rPr>
                <w:sz w:val="17"/>
              </w:rPr>
              <w:t>RH A</w:t>
            </w:r>
          </w:p>
        </w:tc>
        <w:tc>
          <w:tcPr>
            <w:tcW w:type="dxa" w:w="2466"/>
            <w:vAlign w:val="top"/>
          </w:tcPr>
          <w:p>
            <w:pPr>
              <w:spacing w:after="0"/>
            </w:pPr>
            <w:r>
              <w:rPr>
                <w:sz w:val="17"/>
              </w:rPr>
              <w:t>RH B</w:t>
            </w:r>
          </w:p>
        </w:tc>
        <w:tc>
          <w:tcPr>
            <w:tcW w:type="dxa" w:w="2466"/>
            <w:vAlign w:val="top"/>
          </w:tcPr>
          <w:p>
            <w:pPr>
              <w:spacing w:after="0"/>
            </w:pPr>
            <w:r>
              <w:rPr>
                <w:sz w:val="17"/>
              </w:rPr>
              <w:t>Transfer A to B</w:t>
            </w:r>
          </w:p>
        </w:tc>
      </w:tr>
      <w:tr>
        <w:trPr>
          <w:cantSplit/>
        </w:trPr>
        <w:tc>
          <w:tcPr>
            <w:tcW w:type="dxa" w:w="2466"/>
            <w:vAlign w:val="top"/>
          </w:tcPr>
          <w:p>
            <w:pPr>
              <w:spacing w:after="0"/>
            </w:pPr>
            <w:r>
              <w:rPr>
                <w:sz w:val="17"/>
              </w:rPr>
              <w:t>0 s</w:t>
            </w:r>
          </w:p>
        </w:tc>
        <w:tc>
          <w:tcPr>
            <w:tcW w:type="dxa" w:w="2466"/>
            <w:vAlign w:val="top"/>
          </w:tcPr>
          <w:p>
            <w:pPr>
              <w:spacing w:after="0"/>
            </w:pPr>
            <w:r>
              <w:rPr>
                <w:sz w:val="17"/>
              </w:rPr>
              <w:t>50.000%</w:t>
            </w:r>
          </w:p>
        </w:tc>
        <w:tc>
          <w:tcPr>
            <w:tcW w:type="dxa" w:w="2466"/>
            <w:vAlign w:val="top"/>
          </w:tcPr>
          <w:p>
            <w:pPr>
              <w:spacing w:after="0"/>
            </w:pPr>
            <w:r>
              <w:rPr>
                <w:sz w:val="17"/>
              </w:rPr>
              <w:t>50.000%</w:t>
            </w:r>
          </w:p>
        </w:tc>
        <w:tc>
          <w:tcPr>
            <w:tcW w:type="dxa" w:w="2466"/>
            <w:vAlign w:val="top"/>
          </w:tcPr>
          <w:p>
            <w:pPr>
              <w:spacing w:after="0"/>
            </w:pPr>
            <w:r>
              <w:rPr>
                <w:sz w:val="17"/>
              </w:rPr>
              <w:t>+0.000000 mg</w:t>
            </w:r>
          </w:p>
        </w:tc>
      </w:tr>
      <w:tr>
        <w:trPr>
          <w:cantSplit/>
        </w:trPr>
        <w:tc>
          <w:tcPr>
            <w:tcW w:type="dxa" w:w="2466"/>
            <w:vAlign w:val="top"/>
          </w:tcPr>
          <w:p>
            <w:pPr>
              <w:spacing w:after="0"/>
            </w:pPr>
            <w:r>
              <w:rPr>
                <w:sz w:val="17"/>
              </w:rPr>
              <w:t>5 s</w:t>
            </w:r>
          </w:p>
        </w:tc>
        <w:tc>
          <w:tcPr>
            <w:tcW w:type="dxa" w:w="2466"/>
            <w:vAlign w:val="top"/>
          </w:tcPr>
          <w:p>
            <w:pPr>
              <w:spacing w:after="0"/>
            </w:pPr>
            <w:r>
              <w:rPr>
                <w:sz w:val="17"/>
              </w:rPr>
              <w:t>45.724%</w:t>
            </w:r>
          </w:p>
        </w:tc>
        <w:tc>
          <w:tcPr>
            <w:tcW w:type="dxa" w:w="2466"/>
            <w:vAlign w:val="top"/>
          </w:tcPr>
          <w:p>
            <w:pPr>
              <w:spacing w:after="0"/>
            </w:pPr>
            <w:r>
              <w:rPr>
                <w:sz w:val="17"/>
              </w:rPr>
              <w:t>54.276%</w:t>
            </w:r>
          </w:p>
        </w:tc>
        <w:tc>
          <w:tcPr>
            <w:tcW w:type="dxa" w:w="2466"/>
            <w:vAlign w:val="top"/>
          </w:tcPr>
          <w:p>
            <w:pPr>
              <w:spacing w:after="0"/>
            </w:pPr>
            <w:r>
              <w:rPr>
                <w:sz w:val="17"/>
              </w:rPr>
              <w:t>+0.722222 mg</w:t>
            </w:r>
          </w:p>
        </w:tc>
      </w:tr>
      <w:tr>
        <w:trPr>
          <w:cantSplit/>
        </w:trPr>
        <w:tc>
          <w:tcPr>
            <w:tcW w:type="dxa" w:w="2466"/>
            <w:vAlign w:val="top"/>
          </w:tcPr>
          <w:p>
            <w:pPr>
              <w:spacing w:after="0"/>
            </w:pPr>
            <w:r>
              <w:rPr>
                <w:sz w:val="17"/>
              </w:rPr>
              <w:t>10 s</w:t>
            </w:r>
          </w:p>
        </w:tc>
        <w:tc>
          <w:tcPr>
            <w:tcW w:type="dxa" w:w="2466"/>
            <w:vAlign w:val="top"/>
          </w:tcPr>
          <w:p>
            <w:pPr>
              <w:spacing w:after="0"/>
            </w:pPr>
            <w:r>
              <w:rPr>
                <w:sz w:val="17"/>
              </w:rPr>
              <w:t>50.000%</w:t>
            </w:r>
          </w:p>
        </w:tc>
        <w:tc>
          <w:tcPr>
            <w:tcW w:type="dxa" w:w="2466"/>
            <w:vAlign w:val="top"/>
          </w:tcPr>
          <w:p>
            <w:pPr>
              <w:spacing w:after="0"/>
            </w:pPr>
            <w:r>
              <w:rPr>
                <w:sz w:val="17"/>
              </w:rPr>
              <w:t>50.000%</w:t>
            </w:r>
          </w:p>
        </w:tc>
        <w:tc>
          <w:tcPr>
            <w:tcW w:type="dxa" w:w="2466"/>
            <w:vAlign w:val="top"/>
          </w:tcPr>
          <w:p>
            <w:pPr>
              <w:spacing w:after="0"/>
            </w:pPr>
            <w:r>
              <w:rPr>
                <w:sz w:val="17"/>
              </w:rPr>
              <w:t>+0.000000 mg</w:t>
            </w:r>
          </w:p>
        </w:tc>
      </w:tr>
      <w:tr>
        <w:trPr>
          <w:cantSplit/>
        </w:trPr>
        <w:tc>
          <w:tcPr>
            <w:tcW w:type="dxa" w:w="2466"/>
            <w:vAlign w:val="top"/>
          </w:tcPr>
          <w:p>
            <w:pPr>
              <w:spacing w:after="0"/>
            </w:pPr>
            <w:r>
              <w:rPr>
                <w:sz w:val="17"/>
              </w:rPr>
              <w:t>15 s</w:t>
            </w:r>
          </w:p>
        </w:tc>
        <w:tc>
          <w:tcPr>
            <w:tcW w:type="dxa" w:w="2466"/>
            <w:vAlign w:val="top"/>
          </w:tcPr>
          <w:p>
            <w:pPr>
              <w:spacing w:after="0"/>
            </w:pPr>
            <w:r>
              <w:rPr>
                <w:sz w:val="17"/>
              </w:rPr>
              <w:t>54.276%</w:t>
            </w:r>
          </w:p>
        </w:tc>
        <w:tc>
          <w:tcPr>
            <w:tcW w:type="dxa" w:w="2466"/>
            <w:vAlign w:val="top"/>
          </w:tcPr>
          <w:p>
            <w:pPr>
              <w:spacing w:after="0"/>
            </w:pPr>
            <w:r>
              <w:rPr>
                <w:sz w:val="17"/>
              </w:rPr>
              <w:t>45.724%</w:t>
            </w:r>
          </w:p>
        </w:tc>
        <w:tc>
          <w:tcPr>
            <w:tcW w:type="dxa" w:w="2466"/>
            <w:vAlign w:val="top"/>
          </w:tcPr>
          <w:p>
            <w:pPr>
              <w:spacing w:after="0"/>
            </w:pPr>
            <w:r>
              <w:rPr>
                <w:sz w:val="17"/>
              </w:rPr>
              <w:t>-0.722222 mg</w:t>
            </w:r>
          </w:p>
        </w:tc>
      </w:tr>
      <w:tr>
        <w:trPr>
          <w:cantSplit/>
        </w:trPr>
        <w:tc>
          <w:tcPr>
            <w:tcW w:type="dxa" w:w="2466"/>
            <w:vAlign w:val="top"/>
          </w:tcPr>
          <w:p>
            <w:pPr>
              <w:spacing w:after="0"/>
            </w:pPr>
            <w:r>
              <w:rPr>
                <w:sz w:val="17"/>
              </w:rPr>
              <w:t>20 s</w:t>
            </w:r>
          </w:p>
        </w:tc>
        <w:tc>
          <w:tcPr>
            <w:tcW w:type="dxa" w:w="2466"/>
            <w:vAlign w:val="top"/>
          </w:tcPr>
          <w:p>
            <w:pPr>
              <w:spacing w:after="0"/>
            </w:pPr>
            <w:r>
              <w:rPr>
                <w:sz w:val="17"/>
              </w:rPr>
              <w:t>50.000%</w:t>
            </w:r>
          </w:p>
        </w:tc>
        <w:tc>
          <w:tcPr>
            <w:tcW w:type="dxa" w:w="2466"/>
            <w:vAlign w:val="top"/>
          </w:tcPr>
          <w:p>
            <w:pPr>
              <w:spacing w:after="0"/>
            </w:pPr>
            <w:r>
              <w:rPr>
                <w:sz w:val="17"/>
              </w:rPr>
              <w:t>50.000%</w:t>
            </w:r>
          </w:p>
        </w:tc>
        <w:tc>
          <w:tcPr>
            <w:tcW w:type="dxa" w:w="2466"/>
            <w:vAlign w:val="top"/>
          </w:tcPr>
          <w:p>
            <w:pPr>
              <w:spacing w:after="0"/>
            </w:pPr>
            <w:r>
              <w:rPr>
                <w:sz w:val="17"/>
              </w:rPr>
              <w:t>+0.000000 mg</w:t>
            </w:r>
          </w:p>
        </w:tc>
      </w:tr>
    </w:tbl>
    <w:p>
      <w:r>
        <w:t>The analytic +1, -1, -1, +1 sequence conserves total water inventory, gives equal and opposite chamber changes, and returns both chambers to the initial state at 20 s. The gas-only pressure diagnostic reaches 406.9 Pa at an extremum. Pressure management remains open pending verification against the 5.0 Pa target.</w:t>
      </w:r>
    </w:p>
    <w:p>
      <w:pPr>
        <w:pStyle w:val="Heading1"/>
        <w:keepNext/>
      </w:pPr>
      <w:r>
        <w:t>Engineering register for fabrication release</w:t>
      </w:r>
    </w:p>
    <w:p>
      <w:r>
        <w:t>Fabrication release ready: false. Every required register item must be closed with cited evidence before this may be set to true. The gates explicitly cover walls and divider, ports and feedthroughs, fan, baffles, fixture mounting, fasteners, datums, tolerances, gap uniformity, pressure management, mixing response and net-volume calibration.</w:t>
      </w:r>
    </w:p>
    <w:tbl>
      <w:tblPr>
        <w:tblStyle w:val="LightShading-Accent1"/>
        <w:tblW w:type="auto" w:w="0"/>
        <w:tblLayout w:type="fixed"/>
        <w:tblLook w:firstColumn="1" w:firstRow="1" w:lastColumn="0" w:lastRow="0" w:noHBand="0" w:noVBand="1" w:val="04A0"/>
      </w:tblPr>
      <w:tblGrid>
        <w:gridCol w:w="3289"/>
        <w:gridCol w:w="3289"/>
        <w:gridCol w:w="3289"/>
      </w:tblGrid>
      <w:tr>
        <w:trPr>
          <w:cantSplit/>
          <w:tblHeader/>
        </w:trPr>
        <w:tc>
          <w:tcPr>
            <w:tcW w:type="dxa" w:w="3061"/>
            <w:vAlign w:val="top"/>
          </w:tcPr>
          <w:p>
            <w:pPr>
              <w:spacing w:after="0"/>
            </w:pPr>
            <w:r>
              <w:rPr>
                <w:sz w:val="14"/>
              </w:rPr>
              <w:t>Item</w:t>
            </w:r>
          </w:p>
        </w:tc>
        <w:tc>
          <w:tcPr>
            <w:tcW w:type="dxa" w:w="1020"/>
            <w:vAlign w:val="top"/>
          </w:tcPr>
          <w:p>
            <w:pPr>
              <w:spacing w:after="0"/>
            </w:pPr>
            <w:r>
              <w:rPr>
                <w:sz w:val="14"/>
              </w:rPr>
              <w:t>Status</w:t>
            </w:r>
          </w:p>
        </w:tc>
        <w:tc>
          <w:tcPr>
            <w:tcW w:type="dxa" w:w="5443"/>
            <w:vAlign w:val="top"/>
          </w:tcPr>
          <w:p>
            <w:pPr>
              <w:spacing w:after="0"/>
            </w:pPr>
            <w:r>
              <w:rPr>
                <w:sz w:val="14"/>
              </w:rPr>
              <w:t>Closure evidence</w:t>
            </w:r>
          </w:p>
        </w:tc>
      </w:tr>
      <w:tr>
        <w:trPr>
          <w:cantSplit/>
        </w:trPr>
        <w:tc>
          <w:tcPr>
            <w:tcW w:type="dxa" w:w="3061"/>
            <w:vAlign w:val="top"/>
          </w:tcPr>
          <w:p>
            <w:pPr>
              <w:spacing w:after="0"/>
            </w:pPr>
            <w:r>
              <w:rPr>
                <w:sz w:val="14"/>
              </w:rPr>
              <w:t>Net Free Gas Volume Target</w:t>
            </w:r>
          </w:p>
        </w:tc>
        <w:tc>
          <w:tcPr>
            <w:tcW w:type="dxa" w:w="1020"/>
            <w:vAlign w:val="top"/>
          </w:tcPr>
          <w:p>
            <w:pPr>
              <w:spacing w:after="0"/>
            </w:pPr>
            <w:r>
              <w:rPr>
                <w:sz w:val="14"/>
              </w:rPr>
              <w:t>Defined</w:t>
            </w:r>
          </w:p>
        </w:tc>
        <w:tc>
          <w:tcPr>
            <w:tcW w:type="dxa" w:w="5443"/>
            <w:vAlign w:val="top"/>
          </w:tcPr>
          <w:p>
            <w:pPr>
              <w:spacing w:after="0"/>
            </w:pPr>
            <w:r>
              <w:rPr>
                <w:sz w:val="14"/>
              </w:rPr>
              <w:t>Configuration-controlled 500.0 +/- 5.0 mL net free-gas acceptance target per assembled side</w:t>
            </w:r>
          </w:p>
        </w:tc>
      </w:tr>
      <w:tr>
        <w:trPr>
          <w:cantSplit/>
        </w:trPr>
        <w:tc>
          <w:tcPr>
            <w:tcW w:type="dxa" w:w="3061"/>
            <w:vAlign w:val="top"/>
          </w:tcPr>
          <w:p>
            <w:pPr>
              <w:spacing w:after="0"/>
            </w:pPr>
            <w:r>
              <w:rPr>
                <w:sz w:val="14"/>
              </w:rPr>
              <w:t>Gross Empty Cavity Volume And Depth</w:t>
            </w:r>
          </w:p>
        </w:tc>
        <w:tc>
          <w:tcPr>
            <w:tcW w:type="dxa" w:w="1020"/>
            <w:vAlign w:val="top"/>
          </w:tcPr>
          <w:p>
            <w:pPr>
              <w:spacing w:after="0"/>
            </w:pPr>
            <w:r>
              <w:rPr>
                <w:sz w:val="14"/>
              </w:rPr>
              <w:t>Open</w:t>
            </w:r>
          </w:p>
        </w:tc>
        <w:tc>
          <w:tcPr>
            <w:tcW w:type="dxa" w:w="5443"/>
            <w:vAlign w:val="top"/>
          </w:tcPr>
          <w:p>
            <w:pPr>
              <w:spacing w:after="0"/>
            </w:pPr>
            <w:r>
              <w:rPr>
                <w:sz w:val="14"/>
              </w:rPr>
              <w:t>Released cavity geometry and dimensional inspection</w:t>
            </w:r>
          </w:p>
        </w:tc>
      </w:tr>
      <w:tr>
        <w:trPr>
          <w:cantSplit/>
        </w:trPr>
        <w:tc>
          <w:tcPr>
            <w:tcW w:type="dxa" w:w="3061"/>
            <w:vAlign w:val="top"/>
          </w:tcPr>
          <w:p>
            <w:pPr>
              <w:spacing w:after="0"/>
            </w:pPr>
            <w:r>
              <w:rPr>
                <w:sz w:val="14"/>
              </w:rPr>
              <w:t>Installed Component Displacement</w:t>
            </w:r>
          </w:p>
        </w:tc>
        <w:tc>
          <w:tcPr>
            <w:tcW w:type="dxa" w:w="1020"/>
            <w:vAlign w:val="top"/>
          </w:tcPr>
          <w:p>
            <w:pPr>
              <w:spacing w:after="0"/>
            </w:pPr>
            <w:r>
              <w:rPr>
                <w:sz w:val="14"/>
              </w:rPr>
              <w:t>Open</w:t>
            </w:r>
          </w:p>
        </w:tc>
        <w:tc>
          <w:tcPr>
            <w:tcW w:type="dxa" w:w="5443"/>
            <w:vAlign w:val="top"/>
          </w:tcPr>
          <w:p>
            <w:pPr>
              <w:spacing w:after="0"/>
            </w:pPr>
            <w:r>
              <w:rPr>
                <w:sz w:val="14"/>
              </w:rPr>
              <w:t>Displacement inventory for fan, probes, baffles and ports</w:t>
            </w:r>
          </w:p>
        </w:tc>
      </w:tr>
      <w:tr>
        <w:trPr>
          <w:cantSplit/>
        </w:trPr>
        <w:tc>
          <w:tcPr>
            <w:tcW w:type="dxa" w:w="3061"/>
            <w:vAlign w:val="top"/>
          </w:tcPr>
          <w:p>
            <w:pPr>
              <w:spacing w:after="0"/>
            </w:pPr>
            <w:r>
              <w:rPr>
                <w:sz w:val="14"/>
              </w:rPr>
              <w:t>End Wall And Central Divider Structural Sizing</w:t>
            </w:r>
          </w:p>
        </w:tc>
        <w:tc>
          <w:tcPr>
            <w:tcW w:type="dxa" w:w="1020"/>
            <w:vAlign w:val="top"/>
          </w:tcPr>
          <w:p>
            <w:pPr>
              <w:spacing w:after="0"/>
            </w:pPr>
            <w:r>
              <w:rPr>
                <w:sz w:val="14"/>
              </w:rPr>
              <w:t>Open</w:t>
            </w:r>
          </w:p>
        </w:tc>
        <w:tc>
          <w:tcPr>
            <w:tcW w:type="dxa" w:w="5443"/>
            <w:vAlign w:val="top"/>
          </w:tcPr>
          <w:p>
            <w:pPr>
              <w:spacing w:after="0"/>
            </w:pPr>
            <w:r>
              <w:rPr>
                <w:sz w:val="14"/>
              </w:rPr>
              <w:t>Selected materials and thicknesses supported by structural calculation and loaded-deflection inspection</w:t>
            </w:r>
          </w:p>
        </w:tc>
      </w:tr>
      <w:tr>
        <w:trPr>
          <w:cantSplit/>
        </w:trPr>
        <w:tc>
          <w:tcPr>
            <w:tcW w:type="dxa" w:w="3061"/>
            <w:vAlign w:val="top"/>
          </w:tcPr>
          <w:p>
            <w:pPr>
              <w:spacing w:after="0"/>
            </w:pPr>
            <w:r>
              <w:rPr>
                <w:sz w:val="14"/>
              </w:rPr>
              <w:t>Fluidic And Electrical Port Interfaces</w:t>
            </w:r>
          </w:p>
        </w:tc>
        <w:tc>
          <w:tcPr>
            <w:tcW w:type="dxa" w:w="1020"/>
            <w:vAlign w:val="top"/>
          </w:tcPr>
          <w:p>
            <w:pPr>
              <w:spacing w:after="0"/>
            </w:pPr>
            <w:r>
              <w:rPr>
                <w:sz w:val="14"/>
              </w:rPr>
              <w:t>Open</w:t>
            </w:r>
          </w:p>
        </w:tc>
        <w:tc>
          <w:tcPr>
            <w:tcW w:type="dxa" w:w="5443"/>
            <w:vAlign w:val="top"/>
          </w:tcPr>
          <w:p>
            <w:pPr>
              <w:spacing w:after="0"/>
            </w:pPr>
            <w:r>
              <w:rPr>
                <w:sz w:val="14"/>
              </w:rPr>
              <w:t>Released interface specification covering threads, seals and feedthroughs plus an assembled leak test</w:t>
            </w:r>
          </w:p>
        </w:tc>
      </w:tr>
      <w:tr>
        <w:trPr>
          <w:cantSplit/>
        </w:trPr>
        <w:tc>
          <w:tcPr>
            <w:tcW w:type="dxa" w:w="3061"/>
            <w:vAlign w:val="top"/>
          </w:tcPr>
          <w:p>
            <w:pPr>
              <w:spacing w:after="0"/>
            </w:pPr>
            <w:r>
              <w:rPr>
                <w:sz w:val="14"/>
              </w:rPr>
              <w:t>Internal Fan Selection And Mounting</w:t>
            </w:r>
          </w:p>
        </w:tc>
        <w:tc>
          <w:tcPr>
            <w:tcW w:type="dxa" w:w="1020"/>
            <w:vAlign w:val="top"/>
          </w:tcPr>
          <w:p>
            <w:pPr>
              <w:spacing w:after="0"/>
            </w:pPr>
            <w:r>
              <w:rPr>
                <w:sz w:val="14"/>
              </w:rPr>
              <w:t>Open</w:t>
            </w:r>
          </w:p>
        </w:tc>
        <w:tc>
          <w:tcPr>
            <w:tcW w:type="dxa" w:w="5443"/>
            <w:vAlign w:val="top"/>
          </w:tcPr>
          <w:p>
            <w:pPr>
              <w:spacing w:after="0"/>
            </w:pPr>
            <w:r>
              <w:rPr>
                <w:sz w:val="14"/>
              </w:rPr>
              <w:t>Selected fan, envelope and mount with measured heat load and chamber displacement</w:t>
            </w:r>
          </w:p>
        </w:tc>
      </w:tr>
      <w:tr>
        <w:trPr>
          <w:cantSplit/>
        </w:trPr>
        <w:tc>
          <w:tcPr>
            <w:tcW w:type="dxa" w:w="3061"/>
            <w:vAlign w:val="top"/>
          </w:tcPr>
          <w:p>
            <w:pPr>
              <w:spacing w:after="0"/>
            </w:pPr>
            <w:r>
              <w:rPr>
                <w:sz w:val="14"/>
              </w:rPr>
              <w:t>Baffle Geometry And Mounting</w:t>
            </w:r>
          </w:p>
        </w:tc>
        <w:tc>
          <w:tcPr>
            <w:tcW w:type="dxa" w:w="1020"/>
            <w:vAlign w:val="top"/>
          </w:tcPr>
          <w:p>
            <w:pPr>
              <w:spacing w:after="0"/>
            </w:pPr>
            <w:r>
              <w:rPr>
                <w:sz w:val="14"/>
              </w:rPr>
              <w:t>Open</w:t>
            </w:r>
          </w:p>
        </w:tc>
        <w:tc>
          <w:tcPr>
            <w:tcW w:type="dxa" w:w="5443"/>
            <w:vAlign w:val="top"/>
          </w:tcPr>
          <w:p>
            <w:pPr>
              <w:spacing w:after="0"/>
            </w:pPr>
            <w:r>
              <w:rPr>
                <w:sz w:val="14"/>
              </w:rPr>
              <w:t>Released baffle CAD and mounting details supported by the chamber mixing test</w:t>
            </w:r>
          </w:p>
        </w:tc>
      </w:tr>
      <w:tr>
        <w:trPr>
          <w:cantSplit/>
        </w:trPr>
        <w:tc>
          <w:tcPr>
            <w:tcW w:type="dxa" w:w="3061"/>
            <w:vAlign w:val="top"/>
          </w:tcPr>
          <w:p>
            <w:pPr>
              <w:spacing w:after="0"/>
            </w:pPr>
            <w:r>
              <w:rPr>
                <w:sz w:val="14"/>
              </w:rPr>
              <w:t>Differential Pressure Management</w:t>
            </w:r>
          </w:p>
        </w:tc>
        <w:tc>
          <w:tcPr>
            <w:tcW w:type="dxa" w:w="1020"/>
            <w:vAlign w:val="top"/>
          </w:tcPr>
          <w:p>
            <w:pPr>
              <w:spacing w:after="0"/>
            </w:pPr>
            <w:r>
              <w:rPr>
                <w:sz w:val="14"/>
              </w:rPr>
              <w:t>Open</w:t>
            </w:r>
          </w:p>
        </w:tc>
        <w:tc>
          <w:tcPr>
            <w:tcW w:type="dxa" w:w="5443"/>
            <w:vAlign w:val="top"/>
          </w:tcPr>
          <w:p>
            <w:pPr>
              <w:spacing w:after="0"/>
            </w:pPr>
            <w:r>
              <w:rPr>
                <w:sz w:val="14"/>
              </w:rPr>
              <w:t>Transient pressure test across the full polarity sequence</w:t>
            </w:r>
          </w:p>
        </w:tc>
      </w:tr>
      <w:tr>
        <w:trPr>
          <w:cantSplit/>
        </w:trPr>
        <w:tc>
          <w:tcPr>
            <w:tcW w:type="dxa" w:w="3061"/>
            <w:vAlign w:val="top"/>
          </w:tcPr>
          <w:p>
            <w:pPr>
              <w:spacing w:after="0"/>
            </w:pPr>
            <w:r>
              <w:rPr>
                <w:sz w:val="14"/>
              </w:rPr>
              <w:t>Fixture Mounting Fastener Pattern And Preload</w:t>
            </w:r>
          </w:p>
        </w:tc>
        <w:tc>
          <w:tcPr>
            <w:tcW w:type="dxa" w:w="1020"/>
            <w:vAlign w:val="top"/>
          </w:tcPr>
          <w:p>
            <w:pPr>
              <w:spacing w:after="0"/>
            </w:pPr>
            <w:r>
              <w:rPr>
                <w:sz w:val="14"/>
              </w:rPr>
              <w:t>Open</w:t>
            </w:r>
          </w:p>
        </w:tc>
        <w:tc>
          <w:tcPr>
            <w:tcW w:type="dxa" w:w="5443"/>
            <w:vAlign w:val="top"/>
          </w:tcPr>
          <w:p>
            <w:pPr>
              <w:spacing w:after="0"/>
            </w:pPr>
            <w:r>
              <w:rPr>
                <w:sz w:val="14"/>
              </w:rPr>
              <w:t>Released external mounting interface, bolt-load calculation and torque map</w:t>
            </w:r>
          </w:p>
        </w:tc>
      </w:tr>
      <w:tr>
        <w:trPr>
          <w:cantSplit/>
        </w:trPr>
        <w:tc>
          <w:tcPr>
            <w:tcW w:type="dxa" w:w="3061"/>
            <w:vAlign w:val="top"/>
          </w:tcPr>
          <w:p>
            <w:pPr>
              <w:spacing w:after="0"/>
            </w:pPr>
            <w:r>
              <w:rPr>
                <w:sz w:val="14"/>
              </w:rPr>
              <w:t>Seal Geometry And Compression</w:t>
            </w:r>
          </w:p>
        </w:tc>
        <w:tc>
          <w:tcPr>
            <w:tcW w:type="dxa" w:w="1020"/>
            <w:vAlign w:val="top"/>
          </w:tcPr>
          <w:p>
            <w:pPr>
              <w:spacing w:after="0"/>
            </w:pPr>
            <w:r>
              <w:rPr>
                <w:sz w:val="14"/>
              </w:rPr>
              <w:t>Open</w:t>
            </w:r>
          </w:p>
        </w:tc>
        <w:tc>
          <w:tcPr>
            <w:tcW w:type="dxa" w:w="5443"/>
            <w:vAlign w:val="top"/>
          </w:tcPr>
          <w:p>
            <w:pPr>
              <w:spacing w:after="0"/>
            </w:pPr>
            <w:r>
              <w:rPr>
                <w:sz w:val="14"/>
              </w:rPr>
              <w:t>Seal supplier limits and compression inspection</w:t>
            </w:r>
          </w:p>
        </w:tc>
      </w:tr>
      <w:tr>
        <w:trPr>
          <w:cantSplit/>
        </w:trPr>
        <w:tc>
          <w:tcPr>
            <w:tcW w:type="dxa" w:w="3061"/>
            <w:vAlign w:val="top"/>
          </w:tcPr>
          <w:p>
            <w:pPr>
              <w:spacing w:after="0"/>
            </w:pPr>
            <w:r>
              <w:rPr>
                <w:sz w:val="14"/>
              </w:rPr>
              <w:t>Drawing Datums And Dimensional Tolerances</w:t>
            </w:r>
          </w:p>
        </w:tc>
        <w:tc>
          <w:tcPr>
            <w:tcW w:type="dxa" w:w="1020"/>
            <w:vAlign w:val="top"/>
          </w:tcPr>
          <w:p>
            <w:pPr>
              <w:spacing w:after="0"/>
            </w:pPr>
            <w:r>
              <w:rPr>
                <w:sz w:val="14"/>
              </w:rPr>
              <w:t>Open</w:t>
            </w:r>
          </w:p>
        </w:tc>
        <w:tc>
          <w:tcPr>
            <w:tcW w:type="dxa" w:w="5443"/>
            <w:vAlign w:val="top"/>
          </w:tcPr>
          <w:p>
            <w:pPr>
              <w:spacing w:after="0"/>
            </w:pPr>
            <w:r>
              <w:rPr>
                <w:sz w:val="14"/>
              </w:rPr>
              <w:t>Released datum and tolerance scheme with completed dimensional inspection</w:t>
            </w:r>
          </w:p>
        </w:tc>
      </w:tr>
      <w:tr>
        <w:trPr>
          <w:cantSplit/>
        </w:trPr>
        <w:tc>
          <w:tcPr>
            <w:tcW w:type="dxa" w:w="3061"/>
            <w:vAlign w:val="top"/>
          </w:tcPr>
          <w:p>
            <w:pPr>
              <w:spacing w:after="0"/>
            </w:pPr>
            <w:r>
              <w:rPr>
                <w:sz w:val="14"/>
              </w:rPr>
              <w:t>Loaded Flatness And Gap Uniformity</w:t>
            </w:r>
          </w:p>
        </w:tc>
        <w:tc>
          <w:tcPr>
            <w:tcW w:type="dxa" w:w="1020"/>
            <w:vAlign w:val="top"/>
          </w:tcPr>
          <w:p>
            <w:pPr>
              <w:spacing w:after="0"/>
            </w:pPr>
            <w:r>
              <w:rPr>
                <w:sz w:val="14"/>
              </w:rPr>
              <w:t>Open</w:t>
            </w:r>
          </w:p>
        </w:tc>
        <w:tc>
          <w:tcPr>
            <w:tcW w:type="dxa" w:w="5443"/>
            <w:vAlign w:val="top"/>
          </w:tcPr>
          <w:p>
            <w:pPr>
              <w:spacing w:after="0"/>
            </w:pPr>
            <w:r>
              <w:rPr>
                <w:sz w:val="14"/>
              </w:rPr>
              <w:t>Mapped 1, 2 and 4 mm gaps under operating preload</w:t>
            </w:r>
          </w:p>
        </w:tc>
      </w:tr>
      <w:tr>
        <w:trPr>
          <w:cantSplit/>
        </w:trPr>
        <w:tc>
          <w:tcPr>
            <w:tcW w:type="dxa" w:w="3061"/>
            <w:vAlign w:val="top"/>
          </w:tcPr>
          <w:p>
            <w:pPr>
              <w:spacing w:after="0"/>
            </w:pPr>
            <w:r>
              <w:rPr>
                <w:sz w:val="14"/>
              </w:rPr>
              <w:t>Internal Mixing Time</w:t>
            </w:r>
          </w:p>
        </w:tc>
        <w:tc>
          <w:tcPr>
            <w:tcW w:type="dxa" w:w="1020"/>
            <w:vAlign w:val="top"/>
          </w:tcPr>
          <w:p>
            <w:pPr>
              <w:spacing w:after="0"/>
            </w:pPr>
            <w:r>
              <w:rPr>
                <w:sz w:val="14"/>
              </w:rPr>
              <w:t>Open</w:t>
            </w:r>
          </w:p>
        </w:tc>
        <w:tc>
          <w:tcPr>
            <w:tcW w:type="dxa" w:w="5443"/>
            <w:vAlign w:val="top"/>
          </w:tcPr>
          <w:p>
            <w:pPr>
              <w:spacing w:after="0"/>
            </w:pPr>
            <w:r>
              <w:rPr>
                <w:sz w:val="14"/>
              </w:rPr>
              <w:t>Humidity step-response test in each chamber</w:t>
            </w:r>
          </w:p>
        </w:tc>
      </w:tr>
      <w:tr>
        <w:trPr>
          <w:cantSplit/>
        </w:trPr>
        <w:tc>
          <w:tcPr>
            <w:tcW w:type="dxa" w:w="3061"/>
            <w:vAlign w:val="top"/>
          </w:tcPr>
          <w:p>
            <w:pPr>
              <w:spacing w:after="0"/>
            </w:pPr>
            <w:r>
              <w:rPr>
                <w:sz w:val="14"/>
              </w:rPr>
              <w:t>Net Volume Calibration</w:t>
            </w:r>
          </w:p>
        </w:tc>
        <w:tc>
          <w:tcPr>
            <w:tcW w:type="dxa" w:w="1020"/>
            <w:vAlign w:val="top"/>
          </w:tcPr>
          <w:p>
            <w:pPr>
              <w:spacing w:after="0"/>
            </w:pPr>
            <w:r>
              <w:rPr>
                <w:sz w:val="14"/>
              </w:rPr>
              <w:t>Open</w:t>
            </w:r>
          </w:p>
        </w:tc>
        <w:tc>
          <w:tcPr>
            <w:tcW w:type="dxa" w:w="5443"/>
            <w:vAlign w:val="top"/>
          </w:tcPr>
          <w:p>
            <w:pPr>
              <w:spacing w:after="0"/>
            </w:pPr>
            <w:r>
              <w:rPr>
                <w:sz w:val="14"/>
              </w:rPr>
              <w:t>Traceable measured 500.0 +/- 5.0 mL free-gas volume calibration for each assembled side</w:t>
            </w:r>
          </w:p>
        </w:tc>
      </w:tr>
    </w:tbl>
    <w:p>
      <w:pPr>
        <w:pStyle w:val="Heading1"/>
        <w:keepNext/>
      </w:pPr>
      <w:r>
        <w:t>Reproduction and verification</w:t>
      </w:r>
    </w:p>
    <w:p>
      <w:r>
        <w:t>Run scripts/design_eo_vapor_test_cell.py to regenerate the volume basis, 0.1 s transient, engineering register, audit and source manifest. Run pytest -q tests/test_eo_vapor_test_cell_design.py for the formula, conservation, symmetry and packaged-output checks.</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Sealed EO Vapour Test Cell — Dimensioning Basis</dc:title>
  <dc:subject>0.500 L-per-side engineering concept and transient inventory basis</dc:subject>
  <dc:creator>HeiQ XMembrane Study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