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04B"/>
          <w:sz w:val="42"/>
        </w:rPr>
        <w:t>EO Vapour Test Cell</w:t>
      </w:r>
    </w:p>
    <w:p>
      <w:pPr>
        <w:jc w:val="center"/>
      </w:pPr>
      <w:r>
        <w:rPr>
          <w:color w:val="176B87"/>
          <w:sz w:val="24"/>
        </w:rPr>
        <w:t>Selected design basis for net-transient measurement</w:t>
      </w:r>
    </w:p>
    <w:p>
      <w:pPr>
        <w:jc w:val="center"/>
      </w:pPr>
      <w:r>
        <w:rPr>
          <w:i/>
          <w:color w:val="475569"/>
        </w:rPr>
        <w:t>Engineering working basis · calculation-backed concept · not released for fabrication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17304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ACTIVE MEMBRANE</w:t>
            </w:r>
          </w:p>
        </w:tc>
        <w:tc>
          <w:tcPr>
            <w:tcW w:type="dxa" w:w="3326"/>
            <w:shd w:fill="17304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NET VOLUME / SIDE</w:t>
            </w:r>
          </w:p>
        </w:tc>
        <w:tc>
          <w:tcPr>
            <w:tcW w:type="dxa" w:w="3326"/>
            <w:shd w:fill="17304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WORKING SEGMENT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50 x 50 mm (25 cm²)</w:t>
            </w:r>
          </w:p>
        </w:tc>
        <w:tc>
          <w:tcPr>
            <w:tcW w:type="dxa" w:w="33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500 ± 5 mL</w:t>
            </w:r>
          </w:p>
        </w:tc>
        <w:tc>
          <w:tcPr>
            <w:tcW w:type="dxa" w:w="33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12 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0000" cy="3454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_vapour_test_cell_engineering_bluepri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54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Figure 1. Two-dimensional functional blueprint of the complete test setup. Values and dimensions are kept in the calculation basis; this is not released fabrication CAD.</w:t>
      </w:r>
    </w:p>
    <w:p>
      <w:pPr>
        <w:sectPr>
          <w:pgSz w:w="11906" w:h="16838"/>
          <w:pgMar w:top="794" w:right="964" w:bottom="794" w:left="964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rPr>
          <w:color w:val="14304B"/>
        </w:rPr>
        <w:t>Selected values and reasons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17304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3326"/>
            <w:shd w:fill="17304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Selected value</w:t>
            </w:r>
          </w:p>
        </w:tc>
        <w:tc>
          <w:tcPr>
            <w:tcW w:type="dxa" w:w="3326"/>
            <w:shd w:fill="17304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Why it was selected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Active membrane</w:t>
            </w:r>
          </w:p>
        </w:tc>
        <w:tc>
          <w:tcPr>
            <w:tcW w:type="dxa" w:w="33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50 x 50 mm = 25 cm²</w:t>
            </w:r>
          </w:p>
        </w:tc>
        <w:tc>
          <w:tcPr>
            <w:tcW w:type="dxa" w:w="33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Largest existing aperture; strong signal and lower edge-to-area ratio.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Membrane coupon</w:t>
            </w:r>
          </w:p>
        </w:tc>
        <w:tc>
          <w:tcPr>
            <w:tcW w:type="dxa" w:w="33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80 x 80 mm</w:t>
            </w:r>
          </w:p>
        </w:tc>
        <w:tc>
          <w:tcPr>
            <w:tcW w:type="dxa" w:w="33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Provides land for double seals, guard groove and clamping.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Local gas gap</w:t>
            </w:r>
          </w:p>
        </w:tc>
        <w:tc>
          <w:tcPr>
            <w:tcW w:type="dxa" w:w="33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 mm per side</w:t>
            </w:r>
          </w:p>
        </w:tc>
        <w:tc>
          <w:tcPr>
            <w:tcW w:type="dxa" w:w="33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Matches the local transport model; active-gap volume is only 5.0 mL per side.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Calibrated net gas volume</w:t>
            </w:r>
          </w:p>
        </w:tc>
        <w:tc>
          <w:tcPr>
            <w:tcW w:type="dxa" w:w="33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500 ± 5 mL per side</w:t>
            </w:r>
          </w:p>
        </w:tc>
        <w:tc>
          <w:tcPr>
            <w:tcW w:type="dxa" w:w="33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Retains the illustrated 0.50 L cell and slows the transient for the present instrumentation.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Bulk plenum</w:t>
            </w:r>
          </w:p>
        </w:tc>
        <w:tc>
          <w:tcPr>
            <w:tcW w:type="dxa" w:w="33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165 x 165 x 20 mm</w:t>
            </w:r>
          </w:p>
        </w:tc>
        <w:tc>
          <w:tcPr>
            <w:tcW w:type="dxa" w:w="33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Provides gross volume without changing the 25 cm² active membrane.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Polarity sequence</w:t>
            </w:r>
          </w:p>
        </w:tc>
        <w:tc>
          <w:tcPr>
            <w:tcW w:type="dxa" w:w="33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12 s each; +I, −I, −I, +I</w:t>
            </w:r>
          </w:p>
        </w:tc>
        <w:tc>
          <w:tcPr>
            <w:tcW w:type="dxa" w:w="33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Measures net transfer by polarity while suppressing fixed and linear drift.</w:t>
            </w:r>
          </w:p>
        </w:tc>
      </w:tr>
    </w:tbl>
    <w:p>
      <w:pPr>
        <w:pStyle w:val="Heading1"/>
        <w:keepNext/>
      </w:pPr>
      <w:r>
        <w:rPr>
          <w:color w:val="14304B"/>
        </w:rPr>
        <w:t>Calculation basis</w:t>
      </w:r>
    </w:p>
    <w:p>
      <w:r>
        <w:t>The calculation is conditional on 208 g m⁻² h⁻¹ at 32 °C, 101.325 kPa and 50% initial RH. The flux is a test-sizing target, not a measured material property.</w:t>
      </w:r>
    </w:p>
    <w:p>
      <w:pPr>
        <w:spacing w:before="60" w:after="60"/>
        <w:jc w:val="center"/>
      </w:pPr>
      <w:r>
        <w:rPr>
          <w:rFonts w:ascii="Cambria Math" w:hAnsi="Cambria Math"/>
          <w:color w:val="176B87"/>
          <w:sz w:val="20"/>
        </w:rPr>
        <w:t>ṁ = J A = 208 × 0.0025 = 520 mg/h = 0.144444 mg/s</w:t>
      </w:r>
    </w:p>
    <w:p>
      <w:pPr>
        <w:spacing w:before="60" w:after="60"/>
        <w:jc w:val="center"/>
      </w:pPr>
      <w:r>
        <w:rPr>
          <w:rFonts w:ascii="Cambria Math" w:hAnsi="Cambria Math"/>
          <w:color w:val="176B87"/>
          <w:sz w:val="20"/>
        </w:rPr>
        <w:t>Δm = ṁ Δt = 0.144444 × 12 = 1.733333 mg</w:t>
      </w:r>
    </w:p>
    <w:p>
      <w:pPr>
        <w:spacing w:before="60" w:after="60"/>
        <w:jc w:val="center"/>
      </w:pPr>
      <w:r>
        <w:rPr>
          <w:rFonts w:ascii="Cambria Math" w:hAnsi="Cambria Math"/>
          <w:color w:val="176B87"/>
          <w:sz w:val="20"/>
        </w:rPr>
        <w:t>ΔRH = Δm / (ρsat Vnet) = 10.261 percentage points per chamber</w:t>
      </w:r>
    </w:p>
    <w:p>
      <w:r>
        <w:t>After the first positive segment, the ideal well-mixed endpoints are 39.739% and 60.261% RH. The differential RH signal is 20.523 percentage points.</w:t>
      </w:r>
    </w:p>
    <w:p>
      <w:pPr>
        <w:pStyle w:val="Heading1"/>
        <w:keepNext/>
      </w:pPr>
      <w:r>
        <w:rPr>
          <w:color w:val="14304B"/>
        </w:rPr>
        <w:t>Volume closure</w:t>
      </w:r>
    </w:p>
    <w:p>
      <w:pPr>
        <w:spacing w:before="60" w:after="60"/>
        <w:jc w:val="center"/>
      </w:pPr>
      <w:r>
        <w:rPr>
          <w:rFonts w:ascii="Cambria Math" w:hAnsi="Cambria Math"/>
          <w:color w:val="176B87"/>
          <w:sz w:val="20"/>
        </w:rPr>
        <w:t>544.5 mL gross − 22.6 mL components − 21.9 mL trim = 500.0 mL net</w:t>
      </w:r>
    </w:p>
    <w:p>
      <w:r>
        <w:t>The gross 165 x 165 x 20 mm plenum is 544.5 mL. After the conservative 22.6 mL component bound, 521.9 mL remains. Removable inserts must cover 21.9–44.5 mL until actual solid displacement is measured.</w:t>
      </w:r>
    </w:p>
    <w:p>
      <w:pPr>
        <w:pStyle w:val="Heading1"/>
        <w:keepNext/>
      </w:pPr>
      <w:r>
        <w:rPr>
          <w:color w:val="14304B"/>
        </w:rPr>
        <w:t>Instrument and pressure implications</w:t>
      </w:r>
    </w:p>
    <w:p>
      <w:r>
        <w:t>The SHT45 step-response fraction over 12 s is 95.0%. This does not mean exact ramp tracking: a simple first-order model indicates only 68.3% of a linear endpoint change. Use a faster calibrated reference if the transient shape is required. The rigid-cell pressure diagnostic is 976 Pa, compared with the 5 Pa target. The ideal pressure-management screen therefore requires about ±2.40 mL travel per side and 4.79 mL full stroke.</w:t>
      </w:r>
    </w:p>
    <w:p>
      <w:pPr>
        <w:pStyle w:val="Heading1"/>
        <w:keepNext/>
      </w:pPr>
      <w:r>
        <w:rPr>
          <w:color w:val="14304B"/>
        </w:rPr>
        <w:t>Interpretation boundary</w:t>
      </w:r>
    </w:p>
    <w:p>
      <w:r>
        <w:rPr>
          <w:b/>
        </w:rPr>
        <w:t xml:space="preserve">Report: </w:t>
      </w:r>
      <w:r>
        <w:t xml:space="preserve">integrated net water moved through the membrane during each segment under evolving RH conditions. </w:t>
      </w:r>
      <w:r>
        <w:rPr>
          <w:b/>
        </w:rPr>
        <w:t xml:space="preserve">Do not claim: </w:t>
      </w:r>
      <w:r>
        <w:t>constant-boundary intrinsic EO flux or sustained dehumidification from the closed symmetric sequence alone. One four-segment block lasts 48 s and returns the ideal inventory to its initial state.</w:t>
      </w:r>
    </w:p>
    <w:p>
      <w:r>
        <w:rPr>
          <w:b/>
          <w:color w:val="D97706"/>
        </w:rPr>
        <w:t>Fabrication remains conditional on measured mixing, leakage, fan thermal bias, differential pressure, component displacement, seal performance and assembled net volume.</w:t>
      </w:r>
    </w:p>
    <w:p>
      <w:pPr>
        <w:sectPr>
          <w:pgSz w:w="11906" w:h="16838"/>
          <w:pgMar w:top="794" w:right="964" w:bottom="794" w:left="964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rPr>
          <w:color w:val="14304B"/>
        </w:rPr>
        <w:t>Error-controlled construction</w:t>
      </w:r>
    </w:p>
    <w:p>
      <w:r>
        <w:t>The cell geometry is now tied to an explicit error budget. Calculation is used for stiffness and inventory scaling; physical blanks and scaling tests control effects that cannot be credibly removed by geometry alone.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shd w:fill="17304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989"/>
            <w:shd w:fill="17304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Selected design / acceptance criterion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Structural wall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12 mm EN AW-6082-T6 aluminium; 1.33 µm pressure-only proof deflection.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Insulating plate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 mm Unfilled PEEK; 4.51 µm pressure-only proof deflection.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Loaded local gap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2.00 ± 0.02 mm with hard stops and a loaded gap map.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Wetted surfaces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Smooth removable non-porous metal liners; exposed PEEK restricted to the insulating cartridge land.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Edge effect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Primary 50 mm aperture plus 30/40/50 mm area–perimeter regression. A 1 mm band is already 7.84% of active area.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Wall-storage blank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≤ 0.01733 mg per segment, equivalent to 0.256 nm reversible water film.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Sensors / mixing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 T/RH locations per chamber; relative calibration ≤ 0.10 RH point and spatial disagreement ≤ 0.15 RH point.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State / leakage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Chamber ΔT ≤ 0.05 K; volume uncertainty ≤ 1.0 mL; cross-leak screen ≤ 6.25 mL/min at peak RH difference.</w:t>
            </w:r>
          </w:p>
        </w:tc>
      </w:tr>
    </w:tbl>
    <w:p>
      <w:pPr>
        <w:pStyle w:val="Heading1"/>
        <w:keepNext/>
      </w:pPr>
      <w:r>
        <w:rPr>
          <w:color w:val="14304B"/>
        </w:rPr>
        <w:t>Acceptance logic</w:t>
      </w:r>
    </w:p>
    <w:p>
      <w:r>
        <w:t>The planning root-sum-square allocation is 3.36% of the corrected segment signal. This is not demonstrated accuracy. Accept data only after individual volume calibration, pressure-decay and guard-leak testing, an impermeable-coupon wall/thermal blank, a zero-current diffusion blank, three-aperture edge regression, spatial mixing verification and post-run drift checks.</w:t>
      </w:r>
    </w:p>
    <w:p>
      <w:r>
        <w:rPr>
          <w:b/>
          <w:color w:val="D97706"/>
        </w:rPr>
        <w:t>Wall thickness cannot eliminate membrane-edge transport or reversible water storage. These are controlled by the liner, guard, blanks and aperture regression.</w:t>
      </w:r>
    </w:p>
    <w:sectPr w:rsidR="00FC693F" w:rsidRPr="0006063C" w:rsidSect="00034616">
      <w:pgSz w:w="11906" w:h="16838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EO Vapour Test Cell — Selected Design Basis</dc:title>
  <dc:subject>Selected values and calculations for the net-transient two-chamber cell</dc:subject>
  <dc:creator>HeiQ XMembrane Study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