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 xml:space="preserve">Ver </w:t>
      </w:r>
      <w:r>
        <w:rPr>
          <w:rFonts w:hint="eastAsia"/>
          <w:b/>
          <w:lang w:val="en-US" w:eastAsia="zh-CN"/>
        </w:rPr>
        <w:t>0.03</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29</w:t>
      </w:r>
    </w:p>
    <w:p>
      <w:pPr>
        <w:rPr>
          <w:rFonts w:hint="eastAsia"/>
          <w:b/>
          <w:lang w:val="en-US" w:eastAsia="zh-CN"/>
        </w:rPr>
      </w:pPr>
    </w:p>
    <w:p>
      <w:pPr>
        <w:jc w:val="center"/>
        <w:rPr>
          <w:b/>
          <w:sz w:val="44"/>
          <w:szCs w:val="44"/>
        </w:rPr>
      </w:pPr>
      <w:r>
        <w:rPr>
          <w:rFonts w:hint="eastAsia"/>
          <w:b/>
          <w:sz w:val="44"/>
          <w:szCs w:val="44"/>
        </w:rPr>
        <w:t>跟踪记录</w:t>
      </w:r>
    </w:p>
    <w:p>
      <w:pPr>
        <w:jc w:val="center"/>
        <w:rPr>
          <w:b/>
          <w:sz w:val="44"/>
          <w:szCs w:val="44"/>
        </w:rPr>
      </w:pPr>
    </w:p>
    <w:tbl>
      <w:tblPr>
        <w:tblStyle w:val="16"/>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2017-10-</w:t>
            </w:r>
            <w:r>
              <w:rPr>
                <w:rFonts w:hint="eastAsia"/>
                <w:kern w:val="0"/>
                <w:sz w:val="22"/>
                <w:lang w:val="en-US" w:eastAsia="zh-CN" w:bidi="en-US"/>
              </w:rPr>
              <w:t>15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项目计划说明书</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2017-10-22</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pStyle w:val="3"/>
      </w:pPr>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lang w:val="en-US" w:eastAsia="zh-CN"/>
        </w:rPr>
        <w:t>30.97</w:t>
      </w:r>
      <w:r>
        <w:rPr>
          <w:rFonts w:hint="eastAsia" w:ascii="宋体" w:hAnsi="宋体" w:eastAsia="宋体" w:cs="宋体"/>
          <w:kern w:val="0"/>
          <w:sz w:val="24"/>
        </w:rPr>
        <w:t>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spacing w:line="360" w:lineRule="auto"/>
        <w:rPr>
          <w:rFonts w:hint="eastAsia" w:ascii="宋体" w:hAnsi="宋体"/>
          <w:sz w:val="24"/>
          <w:szCs w:val="24"/>
        </w:rPr>
      </w:pPr>
      <w:r>
        <w:rPr>
          <w:rFonts w:hint="eastAsia" w:ascii="宋体" w:hAnsi="宋体"/>
          <w:sz w:val="24"/>
          <w:szCs w:val="24"/>
        </w:rPr>
        <w:t>358*30.97=11087.26</w:t>
      </w:r>
      <w:bookmarkStart w:id="61" w:name="_GoBack"/>
      <w:bookmarkEnd w:id="61"/>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注：因为小组成员都是学生，因此此预算不用作实际用途。</w:t>
      </w: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96362402"/>
      <w:bookmarkStart w:id="35" w:name="_Toc466776774"/>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66776778"/>
      <w:bookmarkStart w:id="51" w:name="_Toc496362405"/>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13E6CF8"/>
    <w:rsid w:val="26474FEF"/>
    <w:rsid w:val="2D100AAC"/>
    <w:rsid w:val="33A37FA3"/>
    <w:rsid w:val="35647199"/>
    <w:rsid w:val="3B8B080B"/>
    <w:rsid w:val="496E31B6"/>
    <w:rsid w:val="4F4453F6"/>
    <w:rsid w:val="5EA8103C"/>
    <w:rsid w:val="66717366"/>
    <w:rsid w:val="735B4858"/>
    <w:rsid w:val="7C69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qFormat/>
    <w:uiPriority w:val="99"/>
    <w:rPr>
      <w:sz w:val="18"/>
      <w:szCs w:val="18"/>
    </w:rPr>
  </w:style>
  <w:style w:type="character" w:customStyle="1" w:styleId="18">
    <w:name w:val="页脚 Char"/>
    <w:basedOn w:val="13"/>
    <w:link w:val="8"/>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批注框文本 Char"/>
    <w:basedOn w:val="13"/>
    <w:link w:val="7"/>
    <w:semiHidden/>
    <w:qFormat/>
    <w:uiPriority w:val="99"/>
    <w:rPr>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character" w:customStyle="1" w:styleId="24">
    <w:name w:val="标题 4 Char"/>
    <w:basedOn w:val="13"/>
    <w:link w:val="5"/>
    <w:semiHidden/>
    <w:qFormat/>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2017-11-05T11:59:46Z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