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需求1/20-2/15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设计2/19-3/8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编码3/10-4/10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部署4/11-5/1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Teambuilding   1/5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甘特图WBS/OBS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项目计划初稿  1/12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项目章程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QA计划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1/15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项目可行性分析 1/15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开会是周五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1/13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Vision&amp;scope 2/1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客户答疑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用户群分类2/1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Vision&amp;scope1.0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需求工程计划2/5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需求规格说明书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内部评审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2/19</w:t>
      </w: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预算</w:t>
      </w:r>
      <w:r>
        <w:rPr>
          <w:rFonts w:hint="eastAsia"/>
          <w:lang w:val="en-US" w:eastAsia="zh-CN"/>
        </w:rPr>
        <w:t>：4个月4个人的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继电器模拟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问题：对于【A09】基于AI智慧人脸门禁系统【虹软集团】我想问下发包方说系统平台要求客户端与服务端相结合，那后台管理端也是要做成客户端这种C/S模式的吗，还是说可以做成可以浏览器查看这种B/S模式。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回答：管理端可以做成B/S模式。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91B4E"/>
    <w:rsid w:val="2A191B4E"/>
    <w:rsid w:val="4DE466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2018-01-13T07:19:00Z</dcterms:created>
  <dc:creator>tory xu</dc:creator>
  <cp:lastModifiedBy>tory xu</cp:lastModifiedBy>
  <dcterms:modified xsi:type="dcterms:W3CDTF">2018-01-19T05:39:55Z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