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40"/>
          <w:szCs w:val="40"/>
        </w:rPr>
        <w:t xml:space="preserve">CUSTOMER CHURN ANALYSIS &amp; PREDICTION</w:t>
      </w:r>
    </w:p>
    <w:p>
      <w:pPr>
        <w:spacing w:after="200" w:before="0"/>
        <w:jc w:val="center"/>
      </w:pPr>
      <w:r>
        <w:rPr>
          <w:rFonts w:ascii="Arial" w:cs="Arial" w:eastAsia="Arial" w:hAnsi="Arial"/>
          <w:color w:val="2E75B6"/>
          <w:sz w:val="28"/>
          <w:szCs w:val="28"/>
        </w:rPr>
        <w:t xml:space="preserve">A Step-by-Step Pipeline Breakdown</w:t>
      </w:r>
    </w:p>
    <w:p>
      <w:pPr>
        <w:pBdr>
          <w:bottom w:val="single" w:color="2E75B6" w:sz="6" w:space="1"/>
        </w:pBdr>
        <w:spacing w:after="160" w:before="0"/>
      </w:pPr>
    </w:p>
    <w:p>
      <w:pPr>
        <w:spacing w:after="100" w:before="160"/>
        <w:jc w:val="center"/>
      </w:pPr>
      <w:r>
        <w:rPr>
          <w:rFonts w:ascii="Arial" w:cs="Arial" w:eastAsia="Arial" w:hAnsi="Arial"/>
          <w:color w:val="555555"/>
          <w:sz w:val="22"/>
          <w:szCs w:val="22"/>
        </w:rPr>
        <w:t xml:space="preserve">SaiKet Systems — Data Science Internship</w:t>
      </w:r>
    </w:p>
    <w:p>
      <w:pPr>
        <w:spacing w:after="100" w:before="0"/>
        <w:jc w:val="center"/>
      </w:pPr>
      <w:r>
        <w:rPr>
          <w:rFonts w:ascii="Arial" w:cs="Arial" w:eastAsia="Arial" w:hAnsi="Arial"/>
          <w:color w:val="555555"/>
          <w:sz w:val="20"/>
          <w:szCs w:val="20"/>
        </w:rPr>
        <w:t xml:space="preserve">Intern: Omokhoa Oshose Tosayoname  |  ID: SKS/A2/C115874</w:t>
      </w:r>
    </w:p>
    <w:p>
      <w:pPr>
        <w:spacing w:after="600" w:before="0"/>
        <w:jc w:val="center"/>
      </w:pPr>
      <w:r>
        <w:rPr>
          <w:rFonts w:ascii="Arial" w:cs="Arial" w:eastAsia="Arial" w:hAnsi="Arial"/>
          <w:color w:val="555555"/>
          <w:sz w:val="20"/>
          <w:szCs w:val="20"/>
        </w:rPr>
        <w:t xml:space="preserve">April 2026</w:t>
      </w:r>
    </w:p>
    <w:p>
      <w:pPr>
        <w:spacing w:after="120" w:before="400"/>
      </w:pPr>
    </w:p>
    <w:p>
      <w:pPr>
        <w:pStyle w:val="Heading1"/>
        <w:spacing w:after="160" w:before="360"/>
      </w:pPr>
      <w:r>
        <w:rPr>
          <w:rFonts w:ascii="Arial" w:cs="Arial" w:eastAsia="Arial" w:hAnsi="Arial"/>
          <w:b/>
          <w:bCs/>
          <w:color w:val="1F3864"/>
          <w:sz w:val="32"/>
          <w:szCs w:val="32"/>
        </w:rPr>
        <w:t xml:space="preserve">About This Document</w:t>
      </w:r>
    </w:p>
    <w:p>
      <w:pPr>
        <w:pBdr>
          <w:bottom w:val="single" w:color="2E75B6" w:sz="6" w:space="1"/>
        </w:pBdr>
        <w:spacing w:after="160" w:before="0"/>
      </w:pPr>
    </w:p>
    <w:p>
      <w:pPr>
        <w:spacing w:after="100" w:before="0"/>
      </w:pPr>
      <w:r>
        <w:rPr>
          <w:rFonts w:ascii="Arial" w:cs="Arial" w:eastAsia="Arial" w:hAnsi="Arial"/>
          <w:color w:val="1A1A1A"/>
          <w:sz w:val="21"/>
          <w:szCs w:val="21"/>
        </w:rPr>
        <w:t xml:space="preserve">This document walks you through the complete data science pipeline built for the Customer Churn Analysis and Prediction project at SaiKet Systems. It is written for readers with little or no prior data science experience — every concept is explained plainly, every step is numbered, and every code block is shown with context.</w:t>
      </w:r>
    </w:p>
    <w:p>
      <w:pPr>
        <w:spacing w:after="120" w:before="80"/>
      </w:pPr>
    </w:p>
    <w:p>
      <w:pPr>
        <w:spacing w:after="100" w:before="0"/>
      </w:pPr>
      <w:r>
        <w:rPr>
          <w:rFonts w:ascii="Arial" w:cs="Arial" w:eastAsia="Arial" w:hAnsi="Arial"/>
          <w:color w:val="1A1A1A"/>
          <w:sz w:val="21"/>
          <w:szCs w:val="21"/>
        </w:rPr>
        <w:t xml:space="preserve">By the end of this guide, you should be able to fully understand what was done and why, and recreate the pipeline from scratch on your own machine.</w:t>
      </w:r>
    </w:p>
    <w:p>
      <w:pPr>
        <w:spacing w:after="120" w:before="80"/>
      </w:pPr>
    </w:p>
    <w:p>
      <w:pPr>
        <w:spacing w:after="100" w:before="80"/>
        <w:ind w:left="360"/>
      </w:pPr>
      <w:r>
        <w:rPr>
          <w:rFonts w:ascii="Arial" w:cs="Arial" w:eastAsia="Arial" w:hAnsi="Arial"/>
          <w:b/>
          <w:bCs/>
          <w:color w:val="2E75B6"/>
          <w:sz w:val="20"/>
          <w:szCs w:val="20"/>
        </w:rPr>
        <w:t xml:space="preserve">💡 Note: </w:t>
      </w:r>
      <w:r>
        <w:rPr>
          <w:rFonts w:ascii="Arial" w:cs="Arial" w:eastAsia="Arial" w:hAnsi="Arial"/>
          <w:color w:val="444444"/>
          <w:sz w:val="20"/>
          <w:szCs w:val="20"/>
        </w:rPr>
        <w:t xml:space="preserve">Four tasks were completed out of a possible six: Task 1 (Data Preparation), Task 2 (Exploratory Data Analysis), Task 4 (Churn Prediction Model), and Task 5 (Model Evaluation &amp; Interpretation). Each maps to one Jupyter notebook in the repository.</w:t>
      </w:r>
    </w:p>
    <w:p>
      <w:pPr>
        <w:spacing w:after="120" w:before="200"/>
      </w:pPr>
    </w:p>
    <w:p>
      <w:pPr>
        <w:pStyle w:val="Heading1"/>
        <w:spacing w:after="160" w:before="360"/>
      </w:pPr>
      <w:r>
        <w:rPr>
          <w:rFonts w:ascii="Arial" w:cs="Arial" w:eastAsia="Arial" w:hAnsi="Arial"/>
          <w:b/>
          <w:bCs/>
          <w:color w:val="1F3864"/>
          <w:sz w:val="32"/>
          <w:szCs w:val="32"/>
        </w:rPr>
        <w:t xml:space="preserve">What is Customer Churn?</w:t>
      </w:r>
    </w:p>
    <w:p>
      <w:pPr>
        <w:pBdr>
          <w:bottom w:val="single" w:color="2E75B6" w:sz="6" w:space="1"/>
        </w:pBdr>
        <w:spacing w:after="160" w:before="0"/>
      </w:pPr>
    </w:p>
    <w:p>
      <w:pPr>
        <w:spacing w:after="100" w:before="0"/>
      </w:pPr>
      <w:r>
        <w:rPr>
          <w:rFonts w:ascii="Arial" w:cs="Arial" w:eastAsia="Arial" w:hAnsi="Arial"/>
          <w:color w:val="1A1A1A"/>
          <w:sz w:val="21"/>
          <w:szCs w:val="21"/>
        </w:rPr>
        <w:t xml:space="preserve">Customer churn means a customer has stopped using a company's product or service. In the telecom industry, a churned customer is one who has cancelled their subscription.</w:t>
      </w:r>
    </w:p>
    <w:p>
      <w:pPr>
        <w:spacing w:after="120" w:before="80"/>
      </w:pPr>
    </w:p>
    <w:p>
      <w:pPr>
        <w:spacing w:after="100" w:before="0"/>
      </w:pPr>
      <w:r>
        <w:rPr>
          <w:rFonts w:ascii="Arial" w:cs="Arial" w:eastAsia="Arial" w:hAnsi="Arial"/>
          <w:color w:val="1A1A1A"/>
          <w:sz w:val="21"/>
          <w:szCs w:val="21"/>
        </w:rPr>
        <w:t xml:space="preserve">Churn is expensive. Research consistently shows that acquiring a new customer costs five to seven times more than retaining an existing one. If a telecom company can predict which customers are about to leave, it can intervene early — with a discount, a better plan, or a personal call — before it is too late.</w:t>
      </w:r>
    </w:p>
    <w:p>
      <w:pPr>
        <w:spacing w:after="120" w:before="80"/>
      </w:pPr>
    </w:p>
    <w:p>
      <w:pPr>
        <w:spacing w:after="100" w:before="0"/>
      </w:pPr>
      <w:r>
        <w:rPr>
          <w:rFonts w:ascii="Arial" w:cs="Arial" w:eastAsia="Arial" w:hAnsi="Arial"/>
          <w:color w:val="1A1A1A"/>
          <w:sz w:val="21"/>
          <w:szCs w:val="21"/>
        </w:rPr>
        <w:t xml:space="preserve">This project builds a machine learning model that learns from historical customer data and flags at-risk customers automatically.</w:t>
      </w:r>
    </w:p>
    <w:p>
      <w:pPr>
        <w:spacing w:after="120" w:before="200"/>
      </w:pPr>
    </w:p>
    <w:p>
      <w:pPr>
        <w:pStyle w:val="Heading1"/>
        <w:spacing w:after="160" w:before="360"/>
      </w:pPr>
      <w:r>
        <w:rPr>
          <w:rFonts w:ascii="Arial" w:cs="Arial" w:eastAsia="Arial" w:hAnsi="Arial"/>
          <w:b/>
          <w:bCs/>
          <w:color w:val="1F3864"/>
          <w:sz w:val="32"/>
          <w:szCs w:val="32"/>
        </w:rPr>
        <w:t xml:space="preserve">The Dataset</w:t>
      </w:r>
    </w:p>
    <w:p>
      <w:pPr>
        <w:pBdr>
          <w:bottom w:val="single" w:color="2E75B6" w:sz="6" w:space="1"/>
        </w:pBdr>
        <w:spacing w:after="160" w:before="0"/>
      </w:pPr>
    </w:p>
    <w:p>
      <w:pPr>
        <w:spacing w:after="100" w:before="0"/>
      </w:pPr>
      <w:r>
        <w:rPr>
          <w:rFonts w:ascii="Arial" w:cs="Arial" w:eastAsia="Arial" w:hAnsi="Arial"/>
          <w:color w:val="1A1A1A"/>
          <w:sz w:val="21"/>
          <w:szCs w:val="21"/>
        </w:rPr>
        <w:t xml:space="preserve">The dataset used is the IBM Telco Customer Churn dataset — a widely used, publicly available dataset containing information about 7,043 telecom customers and whether each one eventually churned.</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customerID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 (ID)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Unique identifier — not used in modelling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gender</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Categorical</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Male or Female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SeniorCitizen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Binary (0/1)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Whether the customer is 65 or older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Partner</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Whether the customer has a partner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Dependents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Whether the customer has dependents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tenure</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Months the customer has been with the company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Contract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Categorical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Month-to-month, One year, or Two year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PaymentMethod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Categorical</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How the customer pays their bill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MonthlyCharges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 charged each month (USD)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TotalCharges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Total amount charged over their tenure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Churn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Yes/No (TARGET)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Whether the customer left — this is what we predict</w:t>
            </w:r>
          </w:p>
        </w:tc>
      </w:tr>
    </w:tbl>
    <w:p>
      <w:pPr>
        <w:spacing w:after="120" w:before="120"/>
      </w:pPr>
    </w:p>
    <w:p>
      <w:pPr>
        <w:spacing w:after="100" w:before="80"/>
        <w:ind w:left="360"/>
      </w:pPr>
      <w:r>
        <w:rPr>
          <w:rFonts w:ascii="Arial" w:cs="Arial" w:eastAsia="Arial" w:hAnsi="Arial"/>
          <w:b/>
          <w:bCs/>
          <w:color w:val="2E75B6"/>
          <w:sz w:val="20"/>
          <w:szCs w:val="20"/>
        </w:rPr>
        <w:t xml:space="preserve">💡 Note: </w:t>
      </w:r>
      <w:r>
        <w:rPr>
          <w:rFonts w:ascii="Arial" w:cs="Arial" w:eastAsia="Arial" w:hAnsi="Arial"/>
          <w:color w:val="444444"/>
          <w:sz w:val="20"/>
          <w:szCs w:val="20"/>
        </w:rPr>
        <w:t xml:space="preserve">There are 21 columns in total. The table above shows the most important ones. The rest cover add-on services such as internet type, streaming TV, tech support, and online backup.</w:t>
      </w:r>
    </w:p>
    <w:p>
      <w:pPr>
        <w:spacing w:after="120" w:before="200"/>
      </w:pPr>
    </w:p>
    <w:p>
      <w:r>
        <w:br w:type="page"/>
      </w:r>
    </w:p>
    <w:p>
      <w:pPr>
        <w:pStyle w:val="Heading1"/>
        <w:spacing w:after="160" w:before="360"/>
      </w:pPr>
      <w:r>
        <w:rPr>
          <w:rFonts w:ascii="Arial" w:cs="Arial" w:eastAsia="Arial" w:hAnsi="Arial"/>
          <w:b/>
          <w:bCs/>
          <w:color w:val="1F3864"/>
          <w:sz w:val="32"/>
          <w:szCs w:val="32"/>
        </w:rPr>
        <w:t xml:space="preserve">Pipeline Overview</w:t>
      </w:r>
    </w:p>
    <w:p>
      <w:pPr>
        <w:pBdr>
          <w:bottom w:val="single" w:color="2E75B6" w:sz="6" w:space="1"/>
        </w:pBdr>
        <w:spacing w:after="160" w:before="0"/>
      </w:pPr>
    </w:p>
    <w:p>
      <w:pPr>
        <w:spacing w:after="100" w:before="0"/>
      </w:pPr>
      <w:r>
        <w:rPr>
          <w:rFonts w:ascii="Arial" w:cs="Arial" w:eastAsia="Arial" w:hAnsi="Arial"/>
          <w:color w:val="1A1A1A"/>
          <w:sz w:val="21"/>
          <w:szCs w:val="21"/>
        </w:rPr>
        <w:t xml:space="preserve">The full project pipeline has four stages, each corresponding to one Jupyter notebook. Here is the big picture before we go into detail:</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160"/>
        <w:gridCol w:w="39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Notebook</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Task1_Data_Preparation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Preparation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 clean, encode, and split the dataset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Task2_Exploratory_Data_Analysis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EDA</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Visualise patterns and understand who churns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Task4_Churn_Prediction_Model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ML Modelling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Train, tune, and select the best classifier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Task5_Model_Evaluation_Interpretation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Evaluation</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Measure performance, interpret features, ROC-AUC</w:t>
            </w:r>
          </w:p>
        </w:tc>
      </w:tr>
    </w:tbl>
    <w:p>
      <w:pPr>
        <w:spacing w:after="120" w:before="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STAGE 1</w:t>
            </w:r>
          </w:p>
        </w:tc>
        <w:tc>
          <w:tcPr>
            <w:tcW w:type="dxa" w:w="864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vAlign w:val="center"/>
          </w:tcPr>
          <w:p>
            <w:r>
              <w:rPr>
                <w:rFonts w:ascii="Arial" w:cs="Arial" w:eastAsia="Arial" w:hAnsi="Arial"/>
                <w:b/>
                <w:bCs/>
                <w:color w:val="1F3864"/>
                <w:sz w:val="24"/>
                <w:szCs w:val="24"/>
              </w:rPr>
              <w:t xml:space="preserve">Data Preparation  —  Task1_Data_Preparation.ipynb</w:t>
            </w:r>
          </w:p>
        </w:tc>
      </w:tr>
    </w:tbl>
    <w:p>
      <w:pPr>
        <w:spacing w:after="120" w:before="160"/>
      </w:pPr>
    </w:p>
    <w:p>
      <w:pPr>
        <w:spacing w:after="100" w:before="0"/>
      </w:pPr>
      <w:r>
        <w:rPr>
          <w:rFonts w:ascii="Arial" w:cs="Arial" w:eastAsia="Arial" w:hAnsi="Arial"/>
          <w:color w:val="1A1A1A"/>
          <w:sz w:val="21"/>
          <w:szCs w:val="21"/>
        </w:rPr>
        <w:t xml:space="preserve">Before any analysis or modelling can happen, the raw data needs to be cleaned and converted into a form that machine learning algorithms can understand. This stage handles all of that.</w:t>
      </w:r>
    </w:p>
    <w:p>
      <w:pPr>
        <w:spacing w:after="120" w:before="120"/>
      </w:pPr>
    </w:p>
    <w:p>
      <w:pPr>
        <w:pStyle w:val="Heading2"/>
        <w:spacing w:after="120" w:before="280"/>
      </w:pPr>
      <w:r>
        <w:rPr>
          <w:rFonts w:ascii="Arial" w:cs="Arial" w:eastAsia="Arial" w:hAnsi="Arial"/>
          <w:b/>
          <w:bCs/>
          <w:color w:val="2E75B6"/>
          <w:sz w:val="26"/>
          <w:szCs w:val="26"/>
        </w:rPr>
        <w:t xml:space="preserve">Step 1 — Load the Dataset</w:t>
      </w:r>
    </w:p>
    <w:p>
      <w:pPr>
        <w:spacing w:after="100" w:before="0"/>
      </w:pPr>
      <w:r>
        <w:rPr>
          <w:rFonts w:ascii="Arial" w:cs="Arial" w:eastAsia="Arial" w:hAnsi="Arial"/>
          <w:color w:val="1A1A1A"/>
          <w:sz w:val="21"/>
          <w:szCs w:val="21"/>
        </w:rPr>
        <w:t xml:space="preserve">We read the CSV file into a Pandas DataFrame, which is Python's version of a spreadsheet — rows are customers, columns are their attributes.</w:t>
      </w:r>
    </w:p>
    <w:p>
      <w:pPr>
        <w:spacing w:after="120" w:before="60"/>
      </w:pP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df = pd.read_csv('telco_churn.csv')</w:t>
      </w:r>
    </w:p>
    <w:p>
      <w:pPr>
        <w:spacing w:after="120" w:before="60"/>
      </w:pPr>
    </w:p>
    <w:p>
      <w:pPr>
        <w:spacing w:after="100" w:before="0"/>
      </w:pPr>
      <w:r>
        <w:rPr>
          <w:rFonts w:ascii="Arial" w:cs="Arial" w:eastAsia="Arial" w:hAnsi="Arial"/>
          <w:color w:val="1A1A1A"/>
          <w:sz w:val="21"/>
          <w:szCs w:val="21"/>
        </w:rPr>
        <w:t xml:space="preserve">After loading, we run a quick inspection: how many rows and columns are there? What do the first few rows look like? What data types does each column have?</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print(df.shape)    # (7043, 21)</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df.info()          # shows column types and non-null counts</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df.describe()      # summary statistics for numeric columns</w:t>
      </w:r>
    </w:p>
    <w:p>
      <w:pPr>
        <w:spacing w:after="120" w:before="120"/>
      </w:pPr>
    </w:p>
    <w:p>
      <w:pPr>
        <w:pStyle w:val="Heading2"/>
        <w:spacing w:after="120" w:before="280"/>
      </w:pPr>
      <w:r>
        <w:rPr>
          <w:rFonts w:ascii="Arial" w:cs="Arial" w:eastAsia="Arial" w:hAnsi="Arial"/>
          <w:b/>
          <w:bCs/>
          <w:color w:val="2E75B6"/>
          <w:sz w:val="26"/>
          <w:szCs w:val="26"/>
        </w:rPr>
        <w:t xml:space="preserve">Step 2 — Find and Fix Missing Values</w:t>
      </w:r>
    </w:p>
    <w:p>
      <w:pPr>
        <w:spacing w:after="100" w:before="0"/>
      </w:pPr>
      <w:r>
        <w:rPr>
          <w:rFonts w:ascii="Arial" w:cs="Arial" w:eastAsia="Arial" w:hAnsi="Arial"/>
          <w:color w:val="1A1A1A"/>
          <w:sz w:val="21"/>
          <w:szCs w:val="21"/>
        </w:rPr>
        <w:t xml:space="preserve">Most real-world datasets have gaps. This one has a subtle one: the TotalCharges column looks like it should contain numbers, but was accidentally imported as text. When we convert it to a proper number format, 11 blank entries become NaN (Not a Number).</w:t>
      </w:r>
    </w:p>
    <w:p>
      <w:pPr>
        <w:spacing w:after="120" w:before="60"/>
      </w:pP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df['TotalCharges'] = pd.to_numeric(df['TotalCharges'], errors='coerce')</w:t>
      </w:r>
    </w:p>
    <w:p>
      <w:pPr>
        <w:spacing w:after="120" w:before="60"/>
      </w:pPr>
    </w:p>
    <w:p>
      <w:pPr>
        <w:spacing w:after="100" w:before="0"/>
      </w:pPr>
      <w:r>
        <w:rPr>
          <w:rFonts w:ascii="Arial" w:cs="Arial" w:eastAsia="Arial" w:hAnsi="Arial"/>
          <w:color w:val="1A1A1A"/>
          <w:sz w:val="21"/>
          <w:szCs w:val="21"/>
        </w:rPr>
        <w:t xml:space="preserve">Investigating those 11 rows reveals that all of them have a tenure of 0 — they are brand new customers who have not yet been charged anything. We fill in their TotalCharges with their MonthlyCharges (the most logical value for someone in their first month).</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df['TotalCharges'] = df['TotalCharges'].fillna(df['MonthlyCharges'])</w:t>
      </w:r>
    </w:p>
    <w:p>
      <w:pPr>
        <w:spacing w:after="120" w:before="60"/>
      </w:pPr>
    </w:p>
    <w:p>
      <w:pPr>
        <w:spacing w:after="100" w:before="80"/>
        <w:ind w:left="360"/>
      </w:pPr>
      <w:r>
        <w:rPr>
          <w:rFonts w:ascii="Arial" w:cs="Arial" w:eastAsia="Arial" w:hAnsi="Arial"/>
          <w:b/>
          <w:bCs/>
          <w:color w:val="2E75B6"/>
          <w:sz w:val="20"/>
          <w:szCs w:val="20"/>
        </w:rPr>
        <w:t xml:space="preserve">💡 Note: </w:t>
      </w:r>
      <w:r>
        <w:rPr>
          <w:rFonts w:ascii="Arial" w:cs="Arial" w:eastAsia="Arial" w:hAnsi="Arial"/>
          <w:color w:val="444444"/>
          <w:sz w:val="20"/>
          <w:szCs w:val="20"/>
        </w:rPr>
        <w:t xml:space="preserve">We never fill missing values with the average of all customers — that would be misleading here, because the reason for the missing value is specific and known.</w:t>
      </w:r>
    </w:p>
    <w:p>
      <w:pPr>
        <w:spacing w:after="120" w:before="120"/>
      </w:pPr>
    </w:p>
    <w:p>
      <w:pPr>
        <w:pStyle w:val="Heading2"/>
        <w:spacing w:after="120" w:before="280"/>
      </w:pPr>
      <w:r>
        <w:rPr>
          <w:rFonts w:ascii="Arial" w:cs="Arial" w:eastAsia="Arial" w:hAnsi="Arial"/>
          <w:b/>
          <w:bCs/>
          <w:color w:val="2E75B6"/>
          <w:sz w:val="26"/>
          <w:szCs w:val="26"/>
        </w:rPr>
        <w:t xml:space="preserve">Step 3 — Remove the Customer ID Column</w:t>
      </w:r>
    </w:p>
    <w:p>
      <w:pPr>
        <w:spacing w:after="100" w:before="0"/>
      </w:pPr>
      <w:r>
        <w:rPr>
          <w:rFonts w:ascii="Arial" w:cs="Arial" w:eastAsia="Arial" w:hAnsi="Arial"/>
          <w:color w:val="1A1A1A"/>
          <w:sz w:val="21"/>
          <w:szCs w:val="21"/>
        </w:rPr>
        <w:t xml:space="preserve">The customerID column is just a label — it carries no information that helps predict churn. Including it in a model would add noise without adding signal, so we drop it.</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df.drop(columns=['customerID'], inplace=True)</w:t>
      </w:r>
    </w:p>
    <w:p>
      <w:pPr>
        <w:spacing w:after="120" w:before="120"/>
      </w:pPr>
    </w:p>
    <w:p>
      <w:pPr>
        <w:pStyle w:val="Heading2"/>
        <w:spacing w:after="120" w:before="280"/>
      </w:pPr>
      <w:r>
        <w:rPr>
          <w:rFonts w:ascii="Arial" w:cs="Arial" w:eastAsia="Arial" w:hAnsi="Arial"/>
          <w:b/>
          <w:bCs/>
          <w:color w:val="2E75B6"/>
          <w:sz w:val="26"/>
          <w:szCs w:val="26"/>
        </w:rPr>
        <w:t xml:space="preserve">Step 4 — Encode Categorical Variables</w:t>
      </w:r>
    </w:p>
    <w:p>
      <w:pPr>
        <w:spacing w:after="100" w:before="0"/>
      </w:pPr>
      <w:r>
        <w:rPr>
          <w:rFonts w:ascii="Arial" w:cs="Arial" w:eastAsia="Arial" w:hAnsi="Arial"/>
          <w:color w:val="1A1A1A"/>
          <w:sz w:val="21"/>
          <w:szCs w:val="21"/>
        </w:rPr>
        <w:t xml:space="preserve">Machine learning models work with numbers, not words. Columns like gender (Male/Female) or Contract (Month-to-month/One year/Two year) need to be converted into numbers. We use two strategies:</w:t>
      </w:r>
    </w:p>
    <w:p>
      <w:pPr>
        <w:spacing w:after="120" w:before="80"/>
      </w:pPr>
    </w:p>
    <w:p>
      <w:pPr>
        <w:pStyle w:val="ListParagraph"/>
        <w:numPr>
          <w:ilvl w:val="0"/>
          <w:numId w:val="2"/>
        </w:numPr>
        <w:spacing w:after="60" w:before="40"/>
      </w:pPr>
      <w:r>
        <w:rPr>
          <w:rFonts w:ascii="Arial" w:cs="Arial" w:eastAsia="Arial" w:hAnsi="Arial"/>
          <w:b/>
          <w:bCs/>
          <w:color w:val="1A1A1A"/>
          <w:sz w:val="21"/>
          <w:szCs w:val="21"/>
        </w:rPr>
        <w:t xml:space="preserve">Binary columns: </w:t>
      </w:r>
      <w:r>
        <w:rPr>
          <w:rFonts w:ascii="Arial" w:cs="Arial" w:eastAsia="Arial" w:hAnsi="Arial"/>
          <w:color w:val="1A1A1A"/>
          <w:sz w:val="21"/>
          <w:szCs w:val="21"/>
        </w:rPr>
        <w:t xml:space="preserve">Label Encoding for binary columns (only two options):</w:t>
      </w:r>
    </w:p>
    <w:p>
      <w:pPr>
        <w:pStyle w:val="ListParagraph"/>
        <w:numPr>
          <w:ilvl w:val="0"/>
          <w:numId w:val="3"/>
        </w:numPr>
        <w:spacing w:after="40" w:before="40"/>
      </w:pPr>
      <w:r>
        <w:rPr>
          <w:rFonts w:ascii="Arial" w:cs="Arial" w:eastAsia="Arial" w:hAnsi="Arial"/>
          <w:color w:val="1A1A1A"/>
          <w:sz w:val="21"/>
          <w:szCs w:val="21"/>
        </w:rPr>
        <w:t xml:space="preserve">gender becomes 0 (Female) and 1 (Male)</w:t>
      </w:r>
    </w:p>
    <w:p>
      <w:pPr>
        <w:pStyle w:val="ListParagraph"/>
        <w:numPr>
          <w:ilvl w:val="0"/>
          <w:numId w:val="3"/>
        </w:numPr>
        <w:spacing w:after="80" w:before="40"/>
      </w:pPr>
      <w:r>
        <w:rPr>
          <w:rFonts w:ascii="Arial" w:cs="Arial" w:eastAsia="Arial" w:hAnsi="Arial"/>
          <w:color w:val="1A1A1A"/>
          <w:sz w:val="21"/>
          <w:szCs w:val="21"/>
        </w:rPr>
        <w:t xml:space="preserve">Churn becomes 0 (No) and 1 (Yes)</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le = LabelEncoder()</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for col in binary_cols:</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    df[col] = le.fit_transform(df[col])</w:t>
      </w:r>
    </w:p>
    <w:p>
      <w:pPr>
        <w:spacing w:after="120" w:before="80"/>
      </w:pPr>
    </w:p>
    <w:p>
      <w:pPr>
        <w:pStyle w:val="ListParagraph"/>
        <w:numPr>
          <w:ilvl w:val="0"/>
          <w:numId w:val="2"/>
        </w:numPr>
        <w:spacing w:after="60" w:before="40"/>
      </w:pPr>
      <w:r>
        <w:rPr>
          <w:rFonts w:ascii="Arial" w:cs="Arial" w:eastAsia="Arial" w:hAnsi="Arial"/>
          <w:b/>
          <w:bCs/>
          <w:color w:val="1A1A1A"/>
          <w:sz w:val="21"/>
          <w:szCs w:val="21"/>
        </w:rPr>
        <w:t xml:space="preserve">Multi-class columns: </w:t>
      </w:r>
      <w:r>
        <w:rPr>
          <w:rFonts w:ascii="Arial" w:cs="Arial" w:eastAsia="Arial" w:hAnsi="Arial"/>
          <w:color w:val="1A1A1A"/>
          <w:sz w:val="21"/>
          <w:szCs w:val="21"/>
        </w:rPr>
        <w:t xml:space="preserve">One-Hot Encoding for multi-class columns (three or more options):</w:t>
      </w:r>
    </w:p>
    <w:p>
      <w:pPr>
        <w:spacing w:after="100" w:before="0"/>
      </w:pPr>
      <w:r>
        <w:rPr>
          <w:rFonts w:ascii="Arial" w:cs="Arial" w:eastAsia="Arial" w:hAnsi="Arial"/>
          <w:color w:val="1A1A1A"/>
          <w:sz w:val="21"/>
          <w:szCs w:val="21"/>
        </w:rPr>
        <w:t xml:space="preserve">This creates a separate column for each option. For example, Contract becomes Contract_One year and Contract_Two year (month-to-month is the reference, captured when both are 0).</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df = pd.get_dummies(df, columns=multi_class_cols, drop_first=True)</w:t>
      </w:r>
    </w:p>
    <w:p>
      <w:pPr>
        <w:spacing w:after="120" w:before="60"/>
      </w:pPr>
    </w:p>
    <w:p>
      <w:pPr>
        <w:spacing w:after="100" w:before="80"/>
        <w:ind w:left="360"/>
      </w:pPr>
      <w:r>
        <w:rPr>
          <w:rFonts w:ascii="Arial" w:cs="Arial" w:eastAsia="Arial" w:hAnsi="Arial"/>
          <w:b/>
          <w:bCs/>
          <w:color w:val="2E75B6"/>
          <w:sz w:val="20"/>
          <w:szCs w:val="20"/>
        </w:rPr>
        <w:t xml:space="preserve">💡 Note: </w:t>
      </w:r>
      <w:r>
        <w:rPr>
          <w:rFonts w:ascii="Arial" w:cs="Arial" w:eastAsia="Arial" w:hAnsi="Arial"/>
          <w:color w:val="444444"/>
          <w:sz w:val="20"/>
          <w:szCs w:val="20"/>
        </w:rPr>
        <w:t xml:space="preserve">After encoding, the dataset expands from 21 columns to 31 columns. All of them are now numeric.</w:t>
      </w:r>
    </w:p>
    <w:p>
      <w:pPr>
        <w:spacing w:after="120" w:before="120"/>
      </w:pPr>
    </w:p>
    <w:p>
      <w:pPr>
        <w:pStyle w:val="Heading2"/>
        <w:spacing w:after="120" w:before="280"/>
      </w:pPr>
      <w:r>
        <w:rPr>
          <w:rFonts w:ascii="Arial" w:cs="Arial" w:eastAsia="Arial" w:hAnsi="Arial"/>
          <w:b/>
          <w:bCs/>
          <w:color w:val="2E75B6"/>
          <w:sz w:val="26"/>
          <w:szCs w:val="26"/>
        </w:rPr>
        <w:t xml:space="preserve">Step 5 — Split into Training and Testing Sets</w:t>
      </w:r>
    </w:p>
    <w:p>
      <w:pPr>
        <w:spacing w:after="100" w:before="0"/>
      </w:pPr>
      <w:r>
        <w:rPr>
          <w:rFonts w:ascii="Arial" w:cs="Arial" w:eastAsia="Arial" w:hAnsi="Arial"/>
          <w:color w:val="1A1A1A"/>
          <w:sz w:val="21"/>
          <w:szCs w:val="21"/>
        </w:rPr>
        <w:t xml:space="preserve">We divide the dataset into two parts: a training set (80%) that the model learns from, and a testing set (20%) that the model has never seen, used to measure real-world performance.</w:t>
      </w:r>
    </w:p>
    <w:p>
      <w:pPr>
        <w:spacing w:after="120" w:before="60"/>
      </w:pPr>
    </w:p>
    <w:p>
      <w:pPr>
        <w:spacing w:after="100" w:before="0"/>
      </w:pPr>
      <w:r>
        <w:rPr>
          <w:rFonts w:ascii="Arial" w:cs="Arial" w:eastAsia="Arial" w:hAnsi="Arial"/>
          <w:color w:val="1A1A1A"/>
          <w:sz w:val="21"/>
          <w:szCs w:val="21"/>
        </w:rPr>
        <w:t xml:space="preserve">We use stratified splitting, which ensures the churn rate (26.5%) is preserved in both sets — so neither set is accidentally loaded with churners or non-churners.</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X_train, X_test, y_train, y_test = train_test_split(</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    X, y, test_size=0.2, random_state=42, stratify=y)</w:t>
      </w:r>
    </w:p>
    <w:p>
      <w:pPr>
        <w:spacing w:after="120" w:before="60"/>
      </w:pPr>
    </w:p>
    <w:p>
      <w:pPr>
        <w:spacing w:after="100" w:before="0"/>
      </w:pPr>
      <w:r>
        <w:rPr>
          <w:rFonts w:ascii="Arial" w:cs="Arial" w:eastAsia="Arial" w:hAnsi="Arial"/>
          <w:color w:val="1A1A1A"/>
          <w:sz w:val="21"/>
          <w:szCs w:val="21"/>
        </w:rPr>
        <w:t xml:space="preserve">Result: 5,634 training samples and 1,409 test samples, both with a consistent 26.5% churn rate.</w:t>
      </w:r>
    </w:p>
    <w:p>
      <w:pPr>
        <w:spacing w:after="120" w:before="80"/>
      </w:pPr>
    </w:p>
    <w:p>
      <w:pPr>
        <w:spacing w:after="100" w:before="0"/>
      </w:pPr>
      <w:r>
        <w:rPr>
          <w:rFonts w:ascii="Arial" w:cs="Arial" w:eastAsia="Arial" w:hAnsi="Arial"/>
          <w:color w:val="1A1A1A"/>
          <w:sz w:val="21"/>
          <w:szCs w:val="21"/>
        </w:rPr>
        <w:t xml:space="preserve">The five output files from this stage — telco_churn_processed.csv, X_train.csv, X_test.csv, y_train.csv, y_test.csv — are saved and loaded by every subsequent stage.</w:t>
      </w:r>
    </w:p>
    <w:p>
      <w:pPr>
        <w:spacing w:after="120" w:before="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STAGE 2</w:t>
            </w:r>
          </w:p>
        </w:tc>
        <w:tc>
          <w:tcPr>
            <w:tcW w:type="dxa" w:w="864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vAlign w:val="center"/>
          </w:tcPr>
          <w:p>
            <w:r>
              <w:rPr>
                <w:rFonts w:ascii="Arial" w:cs="Arial" w:eastAsia="Arial" w:hAnsi="Arial"/>
                <w:b/>
                <w:bCs/>
                <w:color w:val="1F3864"/>
                <w:sz w:val="24"/>
                <w:szCs w:val="24"/>
              </w:rPr>
              <w:t xml:space="preserve">Exploratory Data Analysis  —  Task2_Exploratory_Data_Analysis.ipynb</w:t>
            </w:r>
          </w:p>
        </w:tc>
      </w:tr>
    </w:tbl>
    <w:p>
      <w:pPr>
        <w:spacing w:after="120" w:before="160"/>
      </w:pPr>
    </w:p>
    <w:p>
      <w:pPr>
        <w:spacing w:after="100" w:before="0"/>
      </w:pPr>
      <w:r>
        <w:rPr>
          <w:rFonts w:ascii="Arial" w:cs="Arial" w:eastAsia="Arial" w:hAnsi="Arial"/>
          <w:color w:val="1A1A1A"/>
          <w:sz w:val="21"/>
          <w:szCs w:val="21"/>
        </w:rPr>
        <w:t xml:space="preserve">EDA means looking carefully at the data before building any models. The goal is to understand which types of customers are most likely to churn, and why. Every chart produced here will later guide how we interpret the model.</w:t>
      </w:r>
    </w:p>
    <w:p>
      <w:pPr>
        <w:spacing w:after="120" w:before="120"/>
      </w:pPr>
    </w:p>
    <w:p>
      <w:pPr>
        <w:pStyle w:val="Heading2"/>
        <w:spacing w:after="120" w:before="280"/>
      </w:pPr>
      <w:r>
        <w:rPr>
          <w:rFonts w:ascii="Arial" w:cs="Arial" w:eastAsia="Arial" w:hAnsi="Arial"/>
          <w:b/>
          <w:bCs/>
          <w:color w:val="2E75B6"/>
          <w:sz w:val="26"/>
          <w:szCs w:val="26"/>
        </w:rPr>
        <w:t xml:space="preserve">Step 1 — Calculate the Overall Churn Rate</w:t>
      </w:r>
    </w:p>
    <w:p>
      <w:pPr>
        <w:spacing w:after="100" w:before="0"/>
      </w:pPr>
      <w:r>
        <w:rPr>
          <w:rFonts w:ascii="Arial" w:cs="Arial" w:eastAsia="Arial" w:hAnsi="Arial"/>
          <w:color w:val="1A1A1A"/>
          <w:sz w:val="21"/>
          <w:szCs w:val="21"/>
        </w:rPr>
        <w:t xml:space="preserve">The first question is simply: how many customers actually churned?</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churn_rate = (df['Churn'].value_counts()['Yes'] / len(df)) * 100</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 Result: 26.54%</w:t>
      </w:r>
    </w:p>
    <w:p>
      <w:pPr>
        <w:spacing w:after="120" w:before="60"/>
      </w:pPr>
    </w:p>
    <w:p>
      <w:pPr>
        <w:spacing w:after="100" w:before="0"/>
      </w:pPr>
      <w:r>
        <w:rPr>
          <w:rFonts w:ascii="Arial" w:cs="Arial" w:eastAsia="Arial" w:hAnsi="Arial"/>
          <w:color w:val="1A1A1A"/>
          <w:sz w:val="21"/>
          <w:szCs w:val="21"/>
        </w:rPr>
        <w:t xml:space="preserve">1,869 out of 7,043 customers churned — about 1 in 4. This is important to note: the dataset is imbalanced, meaning there are far more retained customers than churned ones. A naive model that always predicts 'not churned' would be 73.5% accurate — but completely useless. We must keep this in mind.</w:t>
      </w:r>
    </w:p>
    <w:p>
      <w:pPr>
        <w:spacing w:after="120" w:before="120"/>
      </w:pPr>
    </w:p>
    <w:p>
      <w:pPr>
        <w:pStyle w:val="Heading2"/>
        <w:spacing w:after="120" w:before="280"/>
      </w:pPr>
      <w:r>
        <w:rPr>
          <w:rFonts w:ascii="Arial" w:cs="Arial" w:eastAsia="Arial" w:hAnsi="Arial"/>
          <w:b/>
          <w:bCs/>
          <w:color w:val="2E75B6"/>
          <w:sz w:val="26"/>
          <w:szCs w:val="26"/>
        </w:rPr>
        <w:t xml:space="preserve">Step 2 — Demographics Analysis</w:t>
      </w:r>
    </w:p>
    <w:p>
      <w:pPr>
        <w:spacing w:after="100" w:before="0"/>
      </w:pPr>
      <w:r>
        <w:rPr>
          <w:rFonts w:ascii="Arial" w:cs="Arial" w:eastAsia="Arial" w:hAnsi="Arial"/>
          <w:color w:val="1A1A1A"/>
          <w:sz w:val="21"/>
          <w:szCs w:val="21"/>
        </w:rPr>
        <w:t xml:space="preserve">We compare churn rates across customer demographic groups to understand who is most at risk:</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Demographic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Churn Rate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Finding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~26% both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Gender has almost no effect on churn — not a useful predictor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Senior Citizen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~41% vs ~24%</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Senior customers churn significantly more — a high-risk segment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Has Partner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 vs ~33%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Customers without partners churn at higher rates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Has Dependents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~16% vs ~31%</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Customers without dependents are more likely to leave</w:t>
            </w:r>
          </w:p>
        </w:tc>
      </w:tr>
    </w:tbl>
    <w:p>
      <w:pPr>
        <w:spacing w:after="120" w:before="120"/>
      </w:pPr>
    </w:p>
    <w:p>
      <w:pPr>
        <w:pStyle w:val="Heading2"/>
        <w:spacing w:after="120" w:before="280"/>
      </w:pPr>
      <w:r>
        <w:rPr>
          <w:rFonts w:ascii="Arial" w:cs="Arial" w:eastAsia="Arial" w:hAnsi="Arial"/>
          <w:b/>
          <w:bCs/>
          <w:color w:val="2E75B6"/>
          <w:sz w:val="26"/>
          <w:szCs w:val="26"/>
        </w:rPr>
        <w:t xml:space="preserve">Step 3 — Tenure Analysis</w:t>
      </w:r>
    </w:p>
    <w:p>
      <w:pPr>
        <w:spacing w:after="100" w:before="0"/>
      </w:pPr>
      <w:r>
        <w:rPr>
          <w:rFonts w:ascii="Arial" w:cs="Arial" w:eastAsia="Arial" w:hAnsi="Arial"/>
          <w:color w:val="1A1A1A"/>
          <w:sz w:val="21"/>
          <w:szCs w:val="21"/>
        </w:rPr>
        <w:t xml:space="preserve">Tenure is the number of months a customer has been with the company. This turns out to be the single most predictive variable in the entire dataset.</w:t>
      </w:r>
    </w:p>
    <w:p>
      <w:pPr>
        <w:spacing w:after="120" w:before="60"/>
      </w:pPr>
    </w:p>
    <w:p>
      <w:pPr>
        <w:spacing w:after="100" w:before="0"/>
      </w:pPr>
      <w:r>
        <w:rPr>
          <w:rFonts w:ascii="Arial" w:cs="Arial" w:eastAsia="Arial" w:hAnsi="Arial"/>
          <w:color w:val="1A1A1A"/>
          <w:sz w:val="21"/>
          <w:szCs w:val="21"/>
        </w:rPr>
        <w:t xml:space="preserve">We group customers into four tenure bands and calculate the churn rate for each:</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Tenure Group</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Churn Rate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0–12 months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Nearly half of new customers leave in the first year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13–24 months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Churn risk drops, but remains high in year two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25–48 months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Customers stabilise significantly after two years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49–72 months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Long-tenured customers almost never leave</w:t>
            </w:r>
          </w:p>
        </w:tc>
      </w:tr>
    </w:tbl>
    <w:p>
      <w:pPr>
        <w:spacing w:after="120" w:before="80"/>
      </w:pPr>
    </w:p>
    <w:p>
      <w:pPr>
        <w:spacing w:after="100" w:before="80"/>
        <w:ind w:left="360"/>
      </w:pPr>
      <w:r>
        <w:rPr>
          <w:rFonts w:ascii="Arial" w:cs="Arial" w:eastAsia="Arial" w:hAnsi="Arial"/>
          <w:b/>
          <w:bCs/>
          <w:color w:val="2E75B6"/>
          <w:sz w:val="20"/>
          <w:szCs w:val="20"/>
        </w:rPr>
        <w:t xml:space="preserve">💡 Note: </w:t>
      </w:r>
      <w:r>
        <w:rPr>
          <w:rFonts w:ascii="Arial" w:cs="Arial" w:eastAsia="Arial" w:hAnsi="Arial"/>
          <w:color w:val="444444"/>
          <w:sz w:val="20"/>
          <w:szCs w:val="20"/>
        </w:rPr>
        <w:t xml:space="preserve">This tells us that the most important time to retain a customer is within their first 12 months. If the company can make it to year three with a customer, they are very unlikely to churn.</w:t>
      </w:r>
    </w:p>
    <w:p>
      <w:pPr>
        <w:spacing w:after="120" w:before="120"/>
      </w:pPr>
    </w:p>
    <w:p>
      <w:pPr>
        <w:pStyle w:val="Heading2"/>
        <w:spacing w:after="120" w:before="280"/>
      </w:pPr>
      <w:r>
        <w:rPr>
          <w:rFonts w:ascii="Arial" w:cs="Arial" w:eastAsia="Arial" w:hAnsi="Arial"/>
          <w:b/>
          <w:bCs/>
          <w:color w:val="2E75B6"/>
          <w:sz w:val="26"/>
          <w:szCs w:val="26"/>
        </w:rPr>
        <w:t xml:space="preserve">Step 4 — Contract Type and Payment Method</w:t>
      </w:r>
    </w:p>
    <w:p>
      <w:pPr>
        <w:spacing w:after="100" w:before="0"/>
      </w:pPr>
      <w:r>
        <w:rPr>
          <w:rFonts w:ascii="Arial" w:cs="Arial" w:eastAsia="Arial" w:hAnsi="Arial"/>
          <w:color w:val="1A1A1A"/>
          <w:sz w:val="21"/>
          <w:szCs w:val="21"/>
        </w:rPr>
        <w:t xml:space="preserve">Contract type is the single most powerful structural variable:</w:t>
      </w:r>
    </w:p>
    <w:p>
      <w:pPr>
        <w:spacing w:after="120" w:before="80"/>
      </w:pPr>
    </w:p>
    <w:p>
      <w:pPr>
        <w:pStyle w:val="ListParagraph"/>
        <w:numPr>
          <w:ilvl w:val="0"/>
          <w:numId w:val="2"/>
        </w:numPr>
        <w:spacing w:after="60" w:before="40"/>
      </w:pPr>
      <w:r>
        <w:rPr>
          <w:rFonts w:ascii="Arial" w:cs="Arial" w:eastAsia="Arial" w:hAnsi="Arial"/>
          <w:color w:val="1A1A1A"/>
          <w:sz w:val="21"/>
          <w:szCs w:val="21"/>
        </w:rPr>
        <w:t xml:space="preserve">Month-to-month customers churn at 43% — the highest risk group by far.</w:t>
      </w:r>
    </w:p>
    <w:p>
      <w:pPr>
        <w:pStyle w:val="ListParagraph"/>
        <w:numPr>
          <w:ilvl w:val="0"/>
          <w:numId w:val="2"/>
        </w:numPr>
        <w:spacing w:after="60" w:before="40"/>
      </w:pPr>
      <w:r>
        <w:rPr>
          <w:rFonts w:ascii="Arial" w:cs="Arial" w:eastAsia="Arial" w:hAnsi="Arial"/>
          <w:color w:val="1A1A1A"/>
          <w:sz w:val="21"/>
          <w:szCs w:val="21"/>
        </w:rPr>
        <w:t xml:space="preserve">One-year contract customers churn at about 11%.</w:t>
      </w:r>
    </w:p>
    <w:p>
      <w:pPr>
        <w:pStyle w:val="ListParagraph"/>
        <w:numPr>
          <w:ilvl w:val="0"/>
          <w:numId w:val="2"/>
        </w:numPr>
        <w:spacing w:after="60" w:before="40"/>
      </w:pPr>
      <w:r>
        <w:rPr>
          <w:rFonts w:ascii="Arial" w:cs="Arial" w:eastAsia="Arial" w:hAnsi="Arial"/>
          <w:color w:val="1A1A1A"/>
          <w:sz w:val="21"/>
          <w:szCs w:val="21"/>
        </w:rPr>
        <w:t xml:space="preserve">Two-year contract customers churn at only 3% — almost no attrition.</w:t>
      </w:r>
    </w:p>
    <w:p>
      <w:pPr>
        <w:spacing w:after="120" w:before="80"/>
      </w:pPr>
    </w:p>
    <w:p>
      <w:pPr>
        <w:spacing w:after="100" w:before="0"/>
      </w:pPr>
      <w:r>
        <w:rPr>
          <w:rFonts w:ascii="Arial" w:cs="Arial" w:eastAsia="Arial" w:hAnsi="Arial"/>
          <w:color w:val="1A1A1A"/>
          <w:sz w:val="21"/>
          <w:szCs w:val="21"/>
        </w:rPr>
        <w:t xml:space="preserve">For payment method:</w:t>
      </w:r>
    </w:p>
    <w:p>
      <w:pPr>
        <w:pStyle w:val="ListParagraph"/>
        <w:numPr>
          <w:ilvl w:val="0"/>
          <w:numId w:val="2"/>
        </w:numPr>
        <w:spacing w:after="60" w:before="40"/>
      </w:pPr>
      <w:r>
        <w:rPr>
          <w:rFonts w:ascii="Arial" w:cs="Arial" w:eastAsia="Arial" w:hAnsi="Arial"/>
          <w:color w:val="1A1A1A"/>
          <w:sz w:val="21"/>
          <w:szCs w:val="21"/>
        </w:rPr>
        <w:t xml:space="preserve">Electronic check users churn at ~45% — the highest of any payment type.</w:t>
      </w:r>
    </w:p>
    <w:p>
      <w:pPr>
        <w:pStyle w:val="ListParagraph"/>
        <w:numPr>
          <w:ilvl w:val="0"/>
          <w:numId w:val="2"/>
        </w:numPr>
        <w:spacing w:after="60" w:before="40"/>
      </w:pPr>
      <w:r>
        <w:rPr>
          <w:rFonts w:ascii="Arial" w:cs="Arial" w:eastAsia="Arial" w:hAnsi="Arial"/>
          <w:color w:val="1A1A1A"/>
          <w:sz w:val="21"/>
          <w:szCs w:val="21"/>
        </w:rPr>
        <w:t xml:space="preserve">Credit card (automatic), bank transfer (automatic), and mailed check users all churn at 15–19%.</w:t>
      </w:r>
    </w:p>
    <w:p>
      <w:pPr>
        <w:spacing w:after="120" w:before="60"/>
      </w:pPr>
    </w:p>
    <w:p>
      <w:pPr>
        <w:spacing w:after="100" w:before="80"/>
        <w:ind w:left="360"/>
      </w:pPr>
      <w:r>
        <w:rPr>
          <w:rFonts w:ascii="Arial" w:cs="Arial" w:eastAsia="Arial" w:hAnsi="Arial"/>
          <w:b/>
          <w:bCs/>
          <w:color w:val="2E75B6"/>
          <w:sz w:val="20"/>
          <w:szCs w:val="20"/>
        </w:rPr>
        <w:t xml:space="preserve">💡 Note: </w:t>
      </w:r>
      <w:r>
        <w:rPr>
          <w:rFonts w:ascii="Arial" w:cs="Arial" w:eastAsia="Arial" w:hAnsi="Arial"/>
          <w:color w:val="444444"/>
          <w:sz w:val="20"/>
          <w:szCs w:val="20"/>
        </w:rPr>
        <w:t xml:space="preserve">The pattern in payment methods suggests that customers who pay automatically (set-and-forget) are more stable than those who manually process each payment. Manual payment may reflect lower engagement or commitment.</w:t>
      </w:r>
    </w:p>
    <w:p>
      <w:pPr>
        <w:spacing w:after="120" w:before="120"/>
      </w:pPr>
    </w:p>
    <w:p>
      <w:pPr>
        <w:pStyle w:val="Heading2"/>
        <w:spacing w:after="120" w:before="280"/>
      </w:pPr>
      <w:r>
        <w:rPr>
          <w:rFonts w:ascii="Arial" w:cs="Arial" w:eastAsia="Arial" w:hAnsi="Arial"/>
          <w:b/>
          <w:bCs/>
          <w:color w:val="2E75B6"/>
          <w:sz w:val="26"/>
          <w:szCs w:val="26"/>
        </w:rPr>
        <w:t xml:space="preserve">Step 5 — Correlation Heatmap</w:t>
      </w:r>
    </w:p>
    <w:p>
      <w:pPr>
        <w:spacing w:after="100" w:before="0"/>
      </w:pPr>
      <w:r>
        <w:rPr>
          <w:rFonts w:ascii="Arial" w:cs="Arial" w:eastAsia="Arial" w:hAnsi="Arial"/>
          <w:color w:val="1A1A1A"/>
          <w:sz w:val="21"/>
          <w:szCs w:val="21"/>
        </w:rPr>
        <w:t xml:space="preserve">We compute Pearson correlation coefficients between all features and the Churn target to identify the strongest predictors numerically:</w:t>
      </w:r>
    </w:p>
    <w:p>
      <w:pPr>
        <w:spacing w:after="120" w:before="80"/>
      </w:pPr>
    </w:p>
    <w:p>
      <w:pPr>
        <w:pStyle w:val="ListParagraph"/>
        <w:numPr>
          <w:ilvl w:val="0"/>
          <w:numId w:val="2"/>
        </w:numPr>
        <w:spacing w:after="60" w:before="40"/>
      </w:pPr>
      <w:r>
        <w:rPr>
          <w:rFonts w:ascii="Arial" w:cs="Arial" w:eastAsia="Arial" w:hAnsi="Arial"/>
          <w:color w:val="1A1A1A"/>
          <w:sz w:val="21"/>
          <w:szCs w:val="21"/>
        </w:rPr>
        <w:t xml:space="preserve">Most positively correlated with churn (churn-inducing): MonthlyCharges, PaymentMethod_Electronic check, InternetService_Fiber optic</w:t>
      </w:r>
    </w:p>
    <w:p>
      <w:pPr>
        <w:pStyle w:val="ListParagraph"/>
        <w:numPr>
          <w:ilvl w:val="0"/>
          <w:numId w:val="2"/>
        </w:numPr>
        <w:spacing w:after="60" w:before="40"/>
      </w:pPr>
      <w:r>
        <w:rPr>
          <w:rFonts w:ascii="Arial" w:cs="Arial" w:eastAsia="Arial" w:hAnsi="Arial"/>
          <w:color w:val="1A1A1A"/>
          <w:sz w:val="21"/>
          <w:szCs w:val="21"/>
        </w:rPr>
        <w:t xml:space="preserve">Most negatively correlated with churn (retention-linked): Contract_Two year, tenure, TotalCharges</w:t>
      </w:r>
    </w:p>
    <w:p>
      <w:pPr>
        <w:spacing w:after="120" w:before="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STAGE 3</w:t>
            </w:r>
          </w:p>
        </w:tc>
        <w:tc>
          <w:tcPr>
            <w:tcW w:type="dxa" w:w="864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vAlign w:val="center"/>
          </w:tcPr>
          <w:p>
            <w:r>
              <w:rPr>
                <w:rFonts w:ascii="Arial" w:cs="Arial" w:eastAsia="Arial" w:hAnsi="Arial"/>
                <w:b/>
                <w:bCs/>
                <w:color w:val="1F3864"/>
                <w:sz w:val="24"/>
                <w:szCs w:val="24"/>
              </w:rPr>
              <w:t xml:space="preserve">Churn Prediction Model  —  Task4_Churn_Prediction_Model.ipynb</w:t>
            </w:r>
          </w:p>
        </w:tc>
      </w:tr>
    </w:tbl>
    <w:p>
      <w:pPr>
        <w:spacing w:after="120" w:before="160"/>
      </w:pPr>
    </w:p>
    <w:p>
      <w:pPr>
        <w:spacing w:after="100" w:before="0"/>
      </w:pPr>
      <w:r>
        <w:rPr>
          <w:rFonts w:ascii="Arial" w:cs="Arial" w:eastAsia="Arial" w:hAnsi="Arial"/>
          <w:color w:val="1A1A1A"/>
          <w:sz w:val="21"/>
          <w:szCs w:val="21"/>
        </w:rPr>
        <w:t xml:space="preserve">This is the core machine learning stage. We take the cleaned, encoded data from Stage 1 and build models that can predict, for any new customer, whether they are likely to churn.</w:t>
      </w:r>
    </w:p>
    <w:p>
      <w:pPr>
        <w:spacing w:after="120" w:before="120"/>
      </w:pPr>
    </w:p>
    <w:p>
      <w:pPr>
        <w:pStyle w:val="Heading2"/>
        <w:spacing w:after="120" w:before="280"/>
      </w:pPr>
      <w:r>
        <w:rPr>
          <w:rFonts w:ascii="Arial" w:cs="Arial" w:eastAsia="Arial" w:hAnsi="Arial"/>
          <w:b/>
          <w:bCs/>
          <w:color w:val="2E75B6"/>
          <w:sz w:val="26"/>
          <w:szCs w:val="26"/>
        </w:rPr>
        <w:t xml:space="preserve">Step 1 — Handle Class Imbalance with SMOTE</w:t>
      </w:r>
    </w:p>
    <w:p>
      <w:pPr>
        <w:spacing w:after="100" w:before="0"/>
      </w:pPr>
      <w:r>
        <w:rPr>
          <w:rFonts w:ascii="Arial" w:cs="Arial" w:eastAsia="Arial" w:hAnsi="Arial"/>
          <w:color w:val="1A1A1A"/>
          <w:sz w:val="21"/>
          <w:szCs w:val="21"/>
        </w:rPr>
        <w:t xml:space="preserve">Remember that 73.5% of customers did not churn and only 26.5% did. If we train a model on this imbalanced data, it will learn to almost always predict 'not churned' — because that is correct most of the time. It will miss the churners we actually care about.</w:t>
      </w:r>
    </w:p>
    <w:p>
      <w:pPr>
        <w:spacing w:after="120" w:before="60"/>
      </w:pPr>
    </w:p>
    <w:p>
      <w:pPr>
        <w:spacing w:after="100" w:before="0"/>
      </w:pPr>
      <w:r>
        <w:rPr>
          <w:rFonts w:ascii="Arial" w:cs="Arial" w:eastAsia="Arial" w:hAnsi="Arial"/>
          <w:color w:val="1A1A1A"/>
          <w:sz w:val="21"/>
          <w:szCs w:val="21"/>
        </w:rPr>
        <w:t xml:space="preserve">We fix this using SMOTE — Synthetic Minority Over-sampling Technique. SMOTE creates new synthetic (artificial but realistic) examples of churned customers to balance the classes to 50/50.</w:t>
      </w:r>
    </w:p>
    <w:p>
      <w:pPr>
        <w:spacing w:after="120" w:before="60"/>
      </w:pPr>
    </w:p>
    <w:p>
      <w:pPr>
        <w:spacing w:after="100" w:before="0"/>
      </w:pPr>
      <w:r>
        <w:rPr>
          <w:rFonts w:ascii="Arial" w:cs="Arial" w:eastAsia="Arial" w:hAnsi="Arial"/>
          <w:color w:val="1A1A1A"/>
          <w:sz w:val="21"/>
          <w:szCs w:val="21"/>
        </w:rPr>
        <w:t xml:space="preserve">Critically, SMOTE is applied only to the training set, never the test set. The test set must stay as the real-world distribution to give an honest performance measure.</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smote = SMOTE(random_state=42)</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X_train_bal, y_train_bal = smote.fit_resample(X_train, y_train)</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 Result: 4,139 churners and 4,139 non-churners in training set</w:t>
      </w:r>
    </w:p>
    <w:p>
      <w:pPr>
        <w:spacing w:after="120" w:before="120"/>
      </w:pPr>
    </w:p>
    <w:p>
      <w:pPr>
        <w:pStyle w:val="Heading2"/>
        <w:spacing w:after="120" w:before="280"/>
      </w:pPr>
      <w:r>
        <w:rPr>
          <w:rFonts w:ascii="Arial" w:cs="Arial" w:eastAsia="Arial" w:hAnsi="Arial"/>
          <w:b/>
          <w:bCs/>
          <w:color w:val="2E75B6"/>
          <w:sz w:val="26"/>
          <w:szCs w:val="26"/>
        </w:rPr>
        <w:t xml:space="preserve">Step 2 — Feature Scaling</w:t>
      </w:r>
    </w:p>
    <w:p>
      <w:pPr>
        <w:spacing w:after="100" w:before="0"/>
      </w:pPr>
      <w:r>
        <w:rPr>
          <w:rFonts w:ascii="Arial" w:cs="Arial" w:eastAsia="Arial" w:hAnsi="Arial"/>
          <w:color w:val="1A1A1A"/>
          <w:sz w:val="21"/>
          <w:szCs w:val="21"/>
        </w:rPr>
        <w:t xml:space="preserve">Some algorithms (especially Logistic Regression, SVM, and KNN) are sensitive to the scale of input numbers. A feature like TotalCharges (0–8,000) will dominate a feature like SeniorCitizen (0 or 1) unless we normalise them.</w:t>
      </w:r>
    </w:p>
    <w:p>
      <w:pPr>
        <w:spacing w:after="120" w:before="60"/>
      </w:pPr>
    </w:p>
    <w:p>
      <w:pPr>
        <w:spacing w:after="100" w:before="0"/>
      </w:pPr>
      <w:r>
        <w:rPr>
          <w:rFonts w:ascii="Arial" w:cs="Arial" w:eastAsia="Arial" w:hAnsi="Arial"/>
          <w:color w:val="1A1A1A"/>
          <w:sz w:val="21"/>
          <w:szCs w:val="21"/>
        </w:rPr>
        <w:t xml:space="preserve">StandardScaler transforms each feature so that it has a mean of 0 and a standard deviation of 1. It is fitted on the training set only, then applied to both train and test:</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scaler = StandardScaler()</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X_train_sc = scaler.fit_transform(X_train_bal)  # fit here</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X_test_sc  = scaler.transform(X_test)           # only transform here</w:t>
      </w:r>
    </w:p>
    <w:p>
      <w:pPr>
        <w:spacing w:after="120" w:before="60"/>
      </w:pPr>
    </w:p>
    <w:p>
      <w:pPr>
        <w:spacing w:after="100" w:before="80"/>
        <w:ind w:left="360"/>
      </w:pPr>
      <w:r>
        <w:rPr>
          <w:rFonts w:ascii="Arial" w:cs="Arial" w:eastAsia="Arial" w:hAnsi="Arial"/>
          <w:b/>
          <w:bCs/>
          <w:color w:val="2E75B6"/>
          <w:sz w:val="20"/>
          <w:szCs w:val="20"/>
        </w:rPr>
        <w:t xml:space="preserve">💡 Note: </w:t>
      </w:r>
      <w:r>
        <w:rPr>
          <w:rFonts w:ascii="Arial" w:cs="Arial" w:eastAsia="Arial" w:hAnsi="Arial"/>
          <w:color w:val="444444"/>
          <w:sz w:val="20"/>
          <w:szCs w:val="20"/>
        </w:rPr>
        <w:t xml:space="preserve">Fitting the scaler on the test set would be 'data leakage' — the model would have seen test data before evaluation. Always fit only on training data.</w:t>
      </w:r>
    </w:p>
    <w:p>
      <w:pPr>
        <w:spacing w:after="120" w:before="120"/>
      </w:pPr>
    </w:p>
    <w:p>
      <w:pPr>
        <w:pStyle w:val="Heading2"/>
        <w:spacing w:after="120" w:before="280"/>
      </w:pPr>
      <w:r>
        <w:rPr>
          <w:rFonts w:ascii="Arial" w:cs="Arial" w:eastAsia="Arial" w:hAnsi="Arial"/>
          <w:b/>
          <w:bCs/>
          <w:color w:val="2E75B6"/>
          <w:sz w:val="26"/>
          <w:szCs w:val="26"/>
        </w:rPr>
        <w:t xml:space="preserve">Step 3 — Baseline Model Comparison</w:t>
      </w:r>
    </w:p>
    <w:p>
      <w:pPr>
        <w:spacing w:after="100" w:before="0"/>
      </w:pPr>
      <w:r>
        <w:rPr>
          <w:rFonts w:ascii="Arial" w:cs="Arial" w:eastAsia="Arial" w:hAnsi="Arial"/>
          <w:color w:val="1A1A1A"/>
          <w:sz w:val="21"/>
          <w:szCs w:val="21"/>
        </w:rPr>
        <w:t xml:space="preserve">We train six different classifiers with their default settings and compare them. This gives us a benchmark before any tuning. The models tested are:</w:t>
      </w:r>
    </w:p>
    <w:p>
      <w:pPr>
        <w:spacing w:after="120" w:before="60"/>
      </w:pPr>
    </w:p>
    <w:p>
      <w:pPr>
        <w:pStyle w:val="ListParagraph"/>
        <w:numPr>
          <w:ilvl w:val="0"/>
          <w:numId w:val="4"/>
        </w:numPr>
        <w:spacing w:after="80" w:before="60"/>
      </w:pPr>
      <w:r>
        <w:rPr>
          <w:rFonts w:ascii="Arial" w:cs="Arial" w:eastAsia="Arial" w:hAnsi="Arial"/>
          <w:color w:val="1A1A1A"/>
          <w:sz w:val="21"/>
          <w:szCs w:val="21"/>
        </w:rPr>
        <w:t xml:space="preserve">Logistic Regression — finds a linear boundary that separates classes</w:t>
      </w:r>
    </w:p>
    <w:p>
      <w:pPr>
        <w:pStyle w:val="ListParagraph"/>
        <w:numPr>
          <w:ilvl w:val="0"/>
          <w:numId w:val="4"/>
        </w:numPr>
        <w:spacing w:after="80" w:before="60"/>
      </w:pPr>
      <w:r>
        <w:rPr>
          <w:rFonts w:ascii="Arial" w:cs="Arial" w:eastAsia="Arial" w:hAnsi="Arial"/>
          <w:color w:val="1A1A1A"/>
          <w:sz w:val="21"/>
          <w:szCs w:val="21"/>
        </w:rPr>
        <w:t xml:space="preserve">Decision Tree — learns a series of if/else rules from the data</w:t>
      </w:r>
    </w:p>
    <w:p>
      <w:pPr>
        <w:pStyle w:val="ListParagraph"/>
        <w:numPr>
          <w:ilvl w:val="0"/>
          <w:numId w:val="4"/>
        </w:numPr>
        <w:spacing w:after="80" w:before="60"/>
      </w:pPr>
      <w:r>
        <w:rPr>
          <w:rFonts w:ascii="Arial" w:cs="Arial" w:eastAsia="Arial" w:hAnsi="Arial"/>
          <w:color w:val="1A1A1A"/>
          <w:sz w:val="21"/>
          <w:szCs w:val="21"/>
        </w:rPr>
        <w:t xml:space="preserve">Random Forest — builds many decision trees and votes on the result</w:t>
      </w:r>
    </w:p>
    <w:p>
      <w:pPr>
        <w:pStyle w:val="ListParagraph"/>
        <w:numPr>
          <w:ilvl w:val="0"/>
          <w:numId w:val="4"/>
        </w:numPr>
        <w:spacing w:after="80" w:before="60"/>
      </w:pPr>
      <w:r>
        <w:rPr>
          <w:rFonts w:ascii="Arial" w:cs="Arial" w:eastAsia="Arial" w:hAnsi="Arial"/>
          <w:color w:val="1A1A1A"/>
          <w:sz w:val="21"/>
          <w:szCs w:val="21"/>
        </w:rPr>
        <w:t xml:space="preserve">Gradient Boosting — builds trees sequentially, each correcting the last</w:t>
      </w:r>
    </w:p>
    <w:p>
      <w:pPr>
        <w:pStyle w:val="ListParagraph"/>
        <w:numPr>
          <w:ilvl w:val="0"/>
          <w:numId w:val="4"/>
        </w:numPr>
        <w:spacing w:after="80" w:before="60"/>
      </w:pPr>
      <w:r>
        <w:rPr>
          <w:rFonts w:ascii="Arial" w:cs="Arial" w:eastAsia="Arial" w:hAnsi="Arial"/>
          <w:color w:val="1A1A1A"/>
          <w:sz w:val="21"/>
          <w:szCs w:val="21"/>
        </w:rPr>
        <w:t xml:space="preserve">Support Vector Machine (SVM) — finds the widest margin between classes</w:t>
      </w:r>
    </w:p>
    <w:p>
      <w:pPr>
        <w:pStyle w:val="ListParagraph"/>
        <w:numPr>
          <w:ilvl w:val="0"/>
          <w:numId w:val="4"/>
        </w:numPr>
        <w:spacing w:after="80" w:before="60"/>
      </w:pPr>
      <w:r>
        <w:rPr>
          <w:rFonts w:ascii="Arial" w:cs="Arial" w:eastAsia="Arial" w:hAnsi="Arial"/>
          <w:color w:val="1A1A1A"/>
          <w:sz w:val="21"/>
          <w:szCs w:val="21"/>
        </w:rPr>
        <w:t xml:space="preserve">K-Nearest Neighbours (KNN) — classifies by majority vote of nearest data points</w:t>
      </w:r>
    </w:p>
    <w:p>
      <w:pPr>
        <w:spacing w:after="120" w:before="80"/>
      </w:pPr>
    </w:p>
    <w:p>
      <w:pPr>
        <w:spacing w:after="100" w:before="0"/>
      </w:pPr>
      <w:r>
        <w:rPr>
          <w:rFonts w:ascii="Arial" w:cs="Arial" w:eastAsia="Arial" w:hAnsi="Arial"/>
          <w:color w:val="1A1A1A"/>
          <w:sz w:val="21"/>
          <w:szCs w:val="21"/>
        </w:rPr>
        <w:t xml:space="preserve">Each model is evaluated with 5-fold cross-validation (the training set is split into 5 parts; each is used once as a mini test set) and then on the held-out test set. We use F1-Score as the primary metric because it balances precision and recall.</w:t>
      </w:r>
    </w:p>
    <w:p>
      <w:pPr>
        <w:spacing w:after="120" w:before="120"/>
      </w:pPr>
    </w:p>
    <w:p>
      <w:pPr>
        <w:pStyle w:val="Heading2"/>
        <w:spacing w:after="120" w:before="280"/>
      </w:pPr>
      <w:r>
        <w:rPr>
          <w:rFonts w:ascii="Arial" w:cs="Arial" w:eastAsia="Arial" w:hAnsi="Arial"/>
          <w:b/>
          <w:bCs/>
          <w:color w:val="2E75B6"/>
          <w:sz w:val="26"/>
          <w:szCs w:val="26"/>
        </w:rPr>
        <w:t xml:space="preserve">Step 4 — Feature Selection</w:t>
      </w:r>
    </w:p>
    <w:p>
      <w:pPr>
        <w:spacing w:after="100" w:before="0"/>
      </w:pPr>
      <w:r>
        <w:rPr>
          <w:rFonts w:ascii="Arial" w:cs="Arial" w:eastAsia="Arial" w:hAnsi="Arial"/>
          <w:color w:val="1A1A1A"/>
          <w:sz w:val="21"/>
          <w:szCs w:val="21"/>
        </w:rPr>
        <w:t xml:space="preserve">Not all 30 features are equally useful. A Random Forest is trained and its feature importances are extracted. Only features above the average importance score are kept. This reduces the 30 features down to 7 key predictors: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Matters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tenure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Strongest predictor — longer customers churn far less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TotalCharges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Proxy for tenure × spend — reflects commitment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MonthlyCharges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Higher bills → greater price sensitivity → higher churn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Contract_Two year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Two-year customers almost never churn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PaymentMethod_Electronic check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This payment type flags a high-churn behaviour pattern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InternetService_Fiber optic</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Premium service customers face more competitive alternatives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Dependents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Having dependents signals stability and lower churn risk</w:t>
            </w:r>
          </w:p>
        </w:tc>
      </w:tr>
    </w:tbl>
    <w:p>
      <w:pPr>
        <w:spacing w:after="120" w:before="120"/>
      </w:pPr>
    </w:p>
    <w:p>
      <w:pPr>
        <w:pStyle w:val="Heading2"/>
        <w:spacing w:after="120" w:before="280"/>
      </w:pPr>
      <w:r>
        <w:rPr>
          <w:rFonts w:ascii="Arial" w:cs="Arial" w:eastAsia="Arial" w:hAnsi="Arial"/>
          <w:b/>
          <w:bCs/>
          <w:color w:val="2E75B6"/>
          <w:sz w:val="26"/>
          <w:szCs w:val="26"/>
        </w:rPr>
        <w:t xml:space="preserve">Step 5 — Hyperparameter Tuning</w:t>
      </w:r>
    </w:p>
    <w:p>
      <w:pPr>
        <w:spacing w:after="100" w:before="0"/>
      </w:pPr>
      <w:r>
        <w:rPr>
          <w:rFonts w:ascii="Arial" w:cs="Arial" w:eastAsia="Arial" w:hAnsi="Arial"/>
          <w:color w:val="1A1A1A"/>
          <w:sz w:val="21"/>
          <w:szCs w:val="21"/>
        </w:rPr>
        <w:t xml:space="preserve">Model hyperparameters are settings that control how a model learns — they are not learned from data but set by the data scientist. Choosing the right values can significantly improve performance.</w:t>
      </w:r>
    </w:p>
    <w:p>
      <w:pPr>
        <w:spacing w:after="120" w:before="60"/>
      </w:pPr>
    </w:p>
    <w:p>
      <w:pPr>
        <w:spacing w:after="100" w:before="0"/>
      </w:pPr>
      <w:r>
        <w:rPr>
          <w:rFonts w:ascii="Arial" w:cs="Arial" w:eastAsia="Arial" w:hAnsi="Arial"/>
          <w:color w:val="1A1A1A"/>
          <w:sz w:val="21"/>
          <w:szCs w:val="21"/>
        </w:rPr>
        <w:t xml:space="preserve">We use GridSearchCV, which systematically tries every combination of hyperparameter values in a defined search grid, evaluating each with 5-fold cross-validation. The three best baseline models are tuned:</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Hyperparameters Tuned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Values Found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Logistic Regression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 (regularisation strength), solver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C=1, solver=lbfgs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Random Forest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n_estimators, max_depth, min_samples_split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200 trees, depth=20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Gradient Boosting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learning_rate, max_depth, n_estimators, subsample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lr=0.1, depth=5, 200 trees, subsample=0.8</w:t>
            </w:r>
          </w:p>
        </w:tc>
      </w:tr>
    </w:tbl>
    <w:p>
      <w:pPr>
        <w:spacing w:after="120" w:before="80"/>
      </w:pPr>
    </w:p>
    <w:p>
      <w:pPr>
        <w:spacing w:after="100" w:before="0"/>
      </w:pPr>
      <w:r>
        <w:rPr>
          <w:rFonts w:ascii="Arial" w:cs="Arial" w:eastAsia="Arial" w:hAnsi="Arial"/>
          <w:color w:val="1A1A1A"/>
          <w:sz w:val="21"/>
          <w:szCs w:val="21"/>
        </w:rPr>
        <w:t xml:space="preserve">Winner: Gradient Boosting with the above settings — F1-Score of 0.5882 on the test set, correctly identifying 66.8% of churners (Recall = 0.668).</w:t>
      </w:r>
    </w:p>
    <w:p>
      <w:pPr>
        <w:spacing w:after="120" w:before="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4433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STAGE 4</w:t>
            </w:r>
          </w:p>
        </w:tc>
        <w:tc>
          <w:tcPr>
            <w:tcW w:type="dxa" w:w="864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vAlign w:val="center"/>
          </w:tcPr>
          <w:p>
            <w:r>
              <w:rPr>
                <w:rFonts w:ascii="Arial" w:cs="Arial" w:eastAsia="Arial" w:hAnsi="Arial"/>
                <w:b/>
                <w:bCs/>
                <w:color w:val="1F3864"/>
                <w:sz w:val="24"/>
                <w:szCs w:val="24"/>
              </w:rPr>
              <w:t xml:space="preserve">Model Evaluation &amp; Interpretation  —  Task5_Model_Evaluation_Interpretation.ipynb</w:t>
            </w:r>
          </w:p>
        </w:tc>
      </w:tr>
    </w:tbl>
    <w:p>
      <w:pPr>
        <w:spacing w:after="120" w:before="160"/>
      </w:pPr>
    </w:p>
    <w:p>
      <w:pPr>
        <w:spacing w:after="100" w:before="0"/>
      </w:pPr>
      <w:r>
        <w:rPr>
          <w:rFonts w:ascii="Arial" w:cs="Arial" w:eastAsia="Arial" w:hAnsi="Arial"/>
          <w:color w:val="1A1A1A"/>
          <w:sz w:val="21"/>
          <w:szCs w:val="21"/>
        </w:rPr>
        <w:t xml:space="preserve">A model is only as useful as our ability to understand it and trust its outputs. This stage performs a thorough evaluation of the best model using statistical and visual tools, then interprets what the model has learned.</w:t>
      </w:r>
    </w:p>
    <w:p>
      <w:pPr>
        <w:spacing w:after="120" w:before="120"/>
      </w:pPr>
    </w:p>
    <w:p>
      <w:pPr>
        <w:pStyle w:val="Heading2"/>
        <w:spacing w:after="120" w:before="280"/>
      </w:pPr>
      <w:r>
        <w:rPr>
          <w:rFonts w:ascii="Arial" w:cs="Arial" w:eastAsia="Arial" w:hAnsi="Arial"/>
          <w:b/>
          <w:bCs/>
          <w:color w:val="2E75B6"/>
          <w:sz w:val="26"/>
          <w:szCs w:val="26"/>
        </w:rPr>
        <w:t xml:space="preserve">Step 1 — Full Metric Evaluation</w:t>
      </w:r>
    </w:p>
    <w:p>
      <w:pPr>
        <w:spacing w:after="100" w:before="0"/>
      </w:pPr>
      <w:r>
        <w:rPr>
          <w:rFonts w:ascii="Arial" w:cs="Arial" w:eastAsia="Arial" w:hAnsi="Arial"/>
          <w:color w:val="1A1A1A"/>
          <w:sz w:val="21"/>
          <w:szCs w:val="21"/>
        </w:rPr>
        <w:t xml:space="preserve">We evaluate the tuned Gradient Boosting model on the test set across all standard metrics: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Tells 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Accuracy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75.2%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in 4 customers are correctly classified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Precision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52.5%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When the model predicts churn, it is right ~52% of the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66.8%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model catches ~67% of all actual churners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F1-Score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0.5882</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Balanced combination of Precision and Recall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ROC-AUC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0.8114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model correctly ranks a churner above a retained customer 81% of the time</w:t>
            </w:r>
          </w:p>
        </w:tc>
      </w:tr>
    </w:tbl>
    <w:p>
      <w:pPr>
        <w:spacing w:after="120" w:before="120"/>
      </w:pPr>
    </w:p>
    <w:p>
      <w:pPr>
        <w:pStyle w:val="Heading2"/>
        <w:spacing w:after="120" w:before="280"/>
      </w:pPr>
      <w:r>
        <w:rPr>
          <w:rFonts w:ascii="Arial" w:cs="Arial" w:eastAsia="Arial" w:hAnsi="Arial"/>
          <w:b/>
          <w:bCs/>
          <w:color w:val="2E75B6"/>
          <w:sz w:val="26"/>
          <w:szCs w:val="26"/>
        </w:rPr>
        <w:t xml:space="preserve">Step 2 — Confusion Matrix</w:t>
      </w:r>
    </w:p>
    <w:p>
      <w:pPr>
        <w:spacing w:after="100" w:before="0"/>
      </w:pPr>
      <w:r>
        <w:rPr>
          <w:rFonts w:ascii="Arial" w:cs="Arial" w:eastAsia="Arial" w:hAnsi="Arial"/>
          <w:color w:val="1A1A1A"/>
          <w:sz w:val="21"/>
          <w:szCs w:val="21"/>
        </w:rPr>
        <w:t xml:space="preserve">A confusion matrix breaks down the 1,409 test customers into four groups:</w:t>
      </w:r>
    </w:p>
    <w:p>
      <w:pPr>
        <w:spacing w:after="120" w:before="80"/>
      </w:pPr>
    </w:p>
    <w:p>
      <w:pPr>
        <w:pStyle w:val="ListParagraph"/>
        <w:numPr>
          <w:ilvl w:val="0"/>
          <w:numId w:val="2"/>
        </w:numPr>
        <w:spacing w:after="60" w:before="40"/>
      </w:pPr>
      <w:r>
        <w:rPr>
          <w:rFonts w:ascii="Arial" w:cs="Arial" w:eastAsia="Arial" w:hAnsi="Arial"/>
          <w:color w:val="1A1A1A"/>
          <w:sz w:val="21"/>
          <w:szCs w:val="21"/>
        </w:rPr>
        <w:t xml:space="preserve">True Positives (TP = 250): Churners correctly identified — the model's most valuable predictions</w:t>
      </w:r>
    </w:p>
    <w:p>
      <w:pPr>
        <w:pStyle w:val="ListParagraph"/>
        <w:numPr>
          <w:ilvl w:val="0"/>
          <w:numId w:val="2"/>
        </w:numPr>
        <w:spacing w:after="60" w:before="40"/>
      </w:pPr>
      <w:r>
        <w:rPr>
          <w:rFonts w:ascii="Arial" w:cs="Arial" w:eastAsia="Arial" w:hAnsi="Arial"/>
          <w:color w:val="1A1A1A"/>
          <w:sz w:val="21"/>
          <w:szCs w:val="21"/>
        </w:rPr>
        <w:t xml:space="preserve">True Negatives (TN = 811): Retained customers correctly classified — no action needed</w:t>
      </w:r>
    </w:p>
    <w:p>
      <w:pPr>
        <w:pStyle w:val="ListParagraph"/>
        <w:numPr>
          <w:ilvl w:val="0"/>
          <w:numId w:val="2"/>
        </w:numPr>
        <w:spacing w:after="60" w:before="40"/>
      </w:pPr>
      <w:r>
        <w:rPr>
          <w:rFonts w:ascii="Arial" w:cs="Arial" w:eastAsia="Arial" w:hAnsi="Arial"/>
          <w:color w:val="1A1A1A"/>
          <w:sz w:val="21"/>
          <w:szCs w:val="21"/>
        </w:rPr>
        <w:t xml:space="preserve">False Positives (FP = 224): Retained customers mistakenly flagged — unnecessary retention cost</w:t>
      </w:r>
    </w:p>
    <w:p>
      <w:pPr>
        <w:pStyle w:val="ListParagraph"/>
        <w:numPr>
          <w:ilvl w:val="0"/>
          <w:numId w:val="2"/>
        </w:numPr>
        <w:spacing w:after="60" w:before="40"/>
      </w:pPr>
      <w:r>
        <w:rPr>
          <w:rFonts w:ascii="Arial" w:cs="Arial" w:eastAsia="Arial" w:hAnsi="Arial"/>
          <w:color w:val="1A1A1A"/>
          <w:sz w:val="21"/>
          <w:szCs w:val="21"/>
        </w:rPr>
        <w:t xml:space="preserve">False Negatives (FN = 124): Churners the model MISSED — the most expensive error</w:t>
      </w:r>
    </w:p>
    <w:p>
      <w:pPr>
        <w:spacing w:after="120" w:before="60"/>
      </w:pPr>
    </w:p>
    <w:p>
      <w:pPr>
        <w:spacing w:after="100" w:before="80"/>
        <w:ind w:left="360"/>
      </w:pPr>
      <w:r>
        <w:rPr>
          <w:rFonts w:ascii="Arial" w:cs="Arial" w:eastAsia="Arial" w:hAnsi="Arial"/>
          <w:b/>
          <w:bCs/>
          <w:color w:val="2E75B6"/>
          <w:sz w:val="20"/>
          <w:szCs w:val="20"/>
        </w:rPr>
        <w:t xml:space="preserve">💡 Note: </w:t>
      </w:r>
      <w:r>
        <w:rPr>
          <w:rFonts w:ascii="Arial" w:cs="Arial" w:eastAsia="Arial" w:hAnsi="Arial"/>
          <w:color w:val="444444"/>
          <w:sz w:val="20"/>
          <w:szCs w:val="20"/>
        </w:rPr>
        <w:t xml:space="preserve">In churn prediction, False Negatives are the most costly mistake. Missing a churner means losing a customer entirely. False Positives just mean spending a little on a retention offer for someone who was going to stay anyway.</w:t>
      </w:r>
    </w:p>
    <w:p>
      <w:pPr>
        <w:spacing w:after="120" w:before="120"/>
      </w:pPr>
    </w:p>
    <w:p>
      <w:pPr>
        <w:pStyle w:val="Heading2"/>
        <w:spacing w:after="120" w:before="280"/>
      </w:pPr>
      <w:r>
        <w:rPr>
          <w:rFonts w:ascii="Arial" w:cs="Arial" w:eastAsia="Arial" w:hAnsi="Arial"/>
          <w:b/>
          <w:bCs/>
          <w:color w:val="2E75B6"/>
          <w:sz w:val="26"/>
          <w:szCs w:val="26"/>
        </w:rPr>
        <w:t xml:space="preserve">Step 3 — ROC Curve and AUC</w:t>
      </w:r>
    </w:p>
    <w:p>
      <w:pPr>
        <w:spacing w:after="100" w:before="0"/>
      </w:pPr>
      <w:r>
        <w:rPr>
          <w:rFonts w:ascii="Arial" w:cs="Arial" w:eastAsia="Arial" w:hAnsi="Arial"/>
          <w:color w:val="1A1A1A"/>
          <w:sz w:val="21"/>
          <w:szCs w:val="21"/>
        </w:rPr>
        <w:t xml:space="preserve">The ROC (Receiver Operating Characteristic) curve plots how well the model separates the two classes across all possible decision thresholds. The AUC (Area Under the Curve) summarises this in a single number between 0 and 1:</w:t>
      </w:r>
    </w:p>
    <w:p>
      <w:pPr>
        <w:spacing w:after="120" w:before="80"/>
      </w:pPr>
    </w:p>
    <w:p>
      <w:pPr>
        <w:pStyle w:val="ListParagraph"/>
        <w:numPr>
          <w:ilvl w:val="0"/>
          <w:numId w:val="2"/>
        </w:numPr>
        <w:spacing w:after="60" w:before="40"/>
      </w:pPr>
      <w:r>
        <w:rPr>
          <w:rFonts w:ascii="Arial" w:cs="Arial" w:eastAsia="Arial" w:hAnsi="Arial"/>
          <w:color w:val="1A1A1A"/>
          <w:sz w:val="21"/>
          <w:szCs w:val="21"/>
        </w:rPr>
        <w:t xml:space="preserve">AUC = 1.0  →  Perfect model (never makes a mistake)</w:t>
      </w:r>
    </w:p>
    <w:p>
      <w:pPr>
        <w:pStyle w:val="ListParagraph"/>
        <w:numPr>
          <w:ilvl w:val="0"/>
          <w:numId w:val="2"/>
        </w:numPr>
        <w:spacing w:after="60" w:before="40"/>
      </w:pPr>
      <w:r>
        <w:rPr>
          <w:rFonts w:ascii="Arial" w:cs="Arial" w:eastAsia="Arial" w:hAnsi="Arial"/>
          <w:color w:val="1A1A1A"/>
          <w:sz w:val="21"/>
          <w:szCs w:val="21"/>
        </w:rPr>
        <w:t xml:space="preserve">AUC = 0.5  →  Random guessing (useless)</w:t>
      </w:r>
    </w:p>
    <w:p>
      <w:pPr>
        <w:pStyle w:val="ListParagraph"/>
        <w:numPr>
          <w:ilvl w:val="0"/>
          <w:numId w:val="2"/>
        </w:numPr>
        <w:spacing w:after="60" w:before="40"/>
      </w:pPr>
      <w:r>
        <w:rPr>
          <w:rFonts w:ascii="Arial" w:cs="Arial" w:eastAsia="Arial" w:hAnsi="Arial"/>
          <w:color w:val="1A1A1A"/>
          <w:sz w:val="21"/>
          <w:szCs w:val="21"/>
        </w:rPr>
        <w:t xml:space="preserve">AUC = 0.81 →  Our model (strong performance for this dataset)</w:t>
      </w:r>
    </w:p>
    <w:p>
      <w:pPr>
        <w:spacing w:after="120" w:before="60"/>
      </w:pPr>
    </w:p>
    <w:p>
      <w:pPr>
        <w:spacing w:after="100" w:before="0"/>
      </w:pPr>
      <w:r>
        <w:rPr>
          <w:rFonts w:ascii="Arial" w:cs="Arial" w:eastAsia="Arial" w:hAnsi="Arial"/>
          <w:color w:val="1A1A1A"/>
          <w:sz w:val="21"/>
          <w:szCs w:val="21"/>
        </w:rPr>
        <w:t xml:space="preserve">All three tuned models were plotted on the same ROC chart. Gradient Boosting produced the highest AUC at 0.8114.</w:t>
      </w:r>
    </w:p>
    <w:p>
      <w:pPr>
        <w:spacing w:after="120" w:before="120"/>
      </w:pPr>
    </w:p>
    <w:p>
      <w:pPr>
        <w:pStyle w:val="Heading2"/>
        <w:spacing w:after="120" w:before="280"/>
      </w:pPr>
      <w:r>
        <w:rPr>
          <w:rFonts w:ascii="Arial" w:cs="Arial" w:eastAsia="Arial" w:hAnsi="Arial"/>
          <w:b/>
          <w:bCs/>
          <w:color w:val="2E75B6"/>
          <w:sz w:val="26"/>
          <w:szCs w:val="26"/>
        </w:rPr>
        <w:t xml:space="preserve">Step 4 — Precision-Recall Curve</w:t>
      </w:r>
    </w:p>
    <w:p>
      <w:pPr>
        <w:spacing w:after="100" w:before="0"/>
      </w:pPr>
      <w:r>
        <w:rPr>
          <w:rFonts w:ascii="Arial" w:cs="Arial" w:eastAsia="Arial" w:hAnsi="Arial"/>
          <w:color w:val="1A1A1A"/>
          <w:sz w:val="21"/>
          <w:szCs w:val="21"/>
        </w:rPr>
        <w:t xml:space="preserve">For imbalanced datasets, the Precision-Recall (PR) curve is more informative than the ROC curve. It focuses on the minority class (churners) rather than overall classification.</w:t>
      </w:r>
    </w:p>
    <w:p>
      <w:pPr>
        <w:spacing w:after="120" w:before="60"/>
      </w:pPr>
    </w:p>
    <w:p>
      <w:pPr>
        <w:spacing w:after="100" w:before="0"/>
      </w:pPr>
      <w:r>
        <w:rPr>
          <w:rFonts w:ascii="Arial" w:cs="Arial" w:eastAsia="Arial" w:hAnsi="Arial"/>
          <w:color w:val="1A1A1A"/>
          <w:sz w:val="21"/>
          <w:szCs w:val="21"/>
        </w:rPr>
        <w:t xml:space="preserve">The Average Precision (AP) score summarises the PR curve. A random model would score 0.265 (the base churn rate). Our Gradient Boosting model scores substantially higher, confirming genuine predictive ability.</w:t>
      </w:r>
    </w:p>
    <w:p>
      <w:pPr>
        <w:spacing w:after="120" w:before="120"/>
      </w:pPr>
    </w:p>
    <w:p>
      <w:pPr>
        <w:pStyle w:val="Heading2"/>
        <w:spacing w:after="120" w:before="280"/>
      </w:pPr>
      <w:r>
        <w:rPr>
          <w:rFonts w:ascii="Arial" w:cs="Arial" w:eastAsia="Arial" w:hAnsi="Arial"/>
          <w:b/>
          <w:bCs/>
          <w:color w:val="2E75B6"/>
          <w:sz w:val="26"/>
          <w:szCs w:val="26"/>
        </w:rPr>
        <w:t xml:space="preserve">Step 5 — Feature Importance Interpretation</w:t>
      </w:r>
    </w:p>
    <w:p>
      <w:pPr>
        <w:spacing w:after="100" w:before="0"/>
      </w:pPr>
      <w:r>
        <w:rPr>
          <w:rFonts w:ascii="Arial" w:cs="Arial" w:eastAsia="Arial" w:hAnsi="Arial"/>
          <w:color w:val="1A1A1A"/>
          <w:sz w:val="21"/>
          <w:szCs w:val="21"/>
        </w:rPr>
        <w:t xml:space="preserve">Gradient Boosting tracks how much each feature reduces prediction error during training. The results confirm the EDA findings exactly:</w:t>
      </w:r>
    </w:p>
    <w:p>
      <w:pPr>
        <w:spacing w:after="120" w:before="80"/>
      </w:pPr>
    </w:p>
    <w:p>
      <w:pPr>
        <w:pStyle w:val="ListParagraph"/>
        <w:numPr>
          <w:ilvl w:val="0"/>
          <w:numId w:val="4"/>
        </w:numPr>
        <w:spacing w:after="80" w:before="60"/>
      </w:pPr>
      <w:r>
        <w:rPr>
          <w:rFonts w:ascii="Arial" w:cs="Arial" w:eastAsia="Arial" w:hAnsi="Arial"/>
          <w:b/>
          <w:bCs/>
          <w:color w:val="1A1A1A"/>
          <w:sz w:val="21"/>
          <w:szCs w:val="21"/>
        </w:rPr>
        <w:t xml:space="preserve">1. </w:t>
      </w:r>
      <w:r>
        <w:rPr>
          <w:rFonts w:ascii="Arial" w:cs="Arial" w:eastAsia="Arial" w:hAnsi="Arial"/>
          <w:color w:val="1A1A1A"/>
          <w:sz w:val="21"/>
          <w:szCs w:val="21"/>
        </w:rPr>
        <w:t xml:space="preserve">tenure — dominant predictor; relationship length drives everything</w:t>
      </w:r>
    </w:p>
    <w:p>
      <w:pPr>
        <w:pStyle w:val="ListParagraph"/>
        <w:numPr>
          <w:ilvl w:val="0"/>
          <w:numId w:val="4"/>
        </w:numPr>
        <w:spacing w:after="80" w:before="60"/>
      </w:pPr>
      <w:r>
        <w:rPr>
          <w:rFonts w:ascii="Arial" w:cs="Arial" w:eastAsia="Arial" w:hAnsi="Arial"/>
          <w:b/>
          <w:bCs/>
          <w:color w:val="1A1A1A"/>
          <w:sz w:val="21"/>
          <w:szCs w:val="21"/>
        </w:rPr>
        <w:t xml:space="preserve">2. </w:t>
      </w:r>
      <w:r>
        <w:rPr>
          <w:rFonts w:ascii="Arial" w:cs="Arial" w:eastAsia="Arial" w:hAnsi="Arial"/>
          <w:color w:val="1A1A1A"/>
          <w:sz w:val="21"/>
          <w:szCs w:val="21"/>
        </w:rPr>
        <w:t xml:space="preserve">TotalCharges — closely linked to tenure; reflects cumulative value</w:t>
      </w:r>
    </w:p>
    <w:p>
      <w:pPr>
        <w:pStyle w:val="ListParagraph"/>
        <w:numPr>
          <w:ilvl w:val="0"/>
          <w:numId w:val="4"/>
        </w:numPr>
        <w:spacing w:after="80" w:before="60"/>
      </w:pPr>
      <w:r>
        <w:rPr>
          <w:rFonts w:ascii="Arial" w:cs="Arial" w:eastAsia="Arial" w:hAnsi="Arial"/>
          <w:b/>
          <w:bCs/>
          <w:color w:val="1A1A1A"/>
          <w:sz w:val="21"/>
          <w:szCs w:val="21"/>
        </w:rPr>
        <w:t xml:space="preserve">3. </w:t>
      </w:r>
      <w:r>
        <w:rPr>
          <w:rFonts w:ascii="Arial" w:cs="Arial" w:eastAsia="Arial" w:hAnsi="Arial"/>
          <w:color w:val="1A1A1A"/>
          <w:sz w:val="21"/>
          <w:szCs w:val="21"/>
        </w:rPr>
        <w:t xml:space="preserve">MonthlyCharges — price sensitivity drives churn at the higher end</w:t>
      </w:r>
    </w:p>
    <w:p>
      <w:pPr>
        <w:pStyle w:val="ListParagraph"/>
        <w:numPr>
          <w:ilvl w:val="0"/>
          <w:numId w:val="4"/>
        </w:numPr>
        <w:spacing w:after="80" w:before="60"/>
      </w:pPr>
      <w:r>
        <w:rPr>
          <w:rFonts w:ascii="Arial" w:cs="Arial" w:eastAsia="Arial" w:hAnsi="Arial"/>
          <w:b/>
          <w:bCs/>
          <w:color w:val="1A1A1A"/>
          <w:sz w:val="21"/>
          <w:szCs w:val="21"/>
        </w:rPr>
        <w:t xml:space="preserve">4. </w:t>
      </w:r>
      <w:r>
        <w:rPr>
          <w:rFonts w:ascii="Arial" w:cs="Arial" w:eastAsia="Arial" w:hAnsi="Arial"/>
          <w:color w:val="1A1A1A"/>
          <w:sz w:val="21"/>
          <w:szCs w:val="21"/>
        </w:rPr>
        <w:t xml:space="preserve">Contract_Two year — structural lock-in suppresses churn decisively</w:t>
      </w:r>
    </w:p>
    <w:p>
      <w:pPr>
        <w:pStyle w:val="ListParagraph"/>
        <w:numPr>
          <w:ilvl w:val="0"/>
          <w:numId w:val="4"/>
        </w:numPr>
        <w:spacing w:after="80" w:before="60"/>
      </w:pPr>
      <w:r>
        <w:rPr>
          <w:rFonts w:ascii="Arial" w:cs="Arial" w:eastAsia="Arial" w:hAnsi="Arial"/>
          <w:b/>
          <w:bCs/>
          <w:color w:val="1A1A1A"/>
          <w:sz w:val="21"/>
          <w:szCs w:val="21"/>
        </w:rPr>
        <w:t xml:space="preserve">5. </w:t>
      </w:r>
      <w:r>
        <w:rPr>
          <w:rFonts w:ascii="Arial" w:cs="Arial" w:eastAsia="Arial" w:hAnsi="Arial"/>
          <w:color w:val="1A1A1A"/>
          <w:sz w:val="21"/>
          <w:szCs w:val="21"/>
        </w:rPr>
        <w:t xml:space="preserve">PaymentMethod_Electronic check — behavioural risk flag</w:t>
      </w:r>
    </w:p>
    <w:p>
      <w:pPr>
        <w:pStyle w:val="ListParagraph"/>
        <w:numPr>
          <w:ilvl w:val="0"/>
          <w:numId w:val="4"/>
        </w:numPr>
        <w:spacing w:after="80" w:before="60"/>
      </w:pPr>
      <w:r>
        <w:rPr>
          <w:rFonts w:ascii="Arial" w:cs="Arial" w:eastAsia="Arial" w:hAnsi="Arial"/>
          <w:b/>
          <w:bCs/>
          <w:color w:val="1A1A1A"/>
          <w:sz w:val="21"/>
          <w:szCs w:val="21"/>
        </w:rPr>
        <w:t xml:space="preserve">6. </w:t>
      </w:r>
      <w:r>
        <w:rPr>
          <w:rFonts w:ascii="Arial" w:cs="Arial" w:eastAsia="Arial" w:hAnsi="Arial"/>
          <w:color w:val="1A1A1A"/>
          <w:sz w:val="21"/>
          <w:szCs w:val="21"/>
        </w:rPr>
        <w:t xml:space="preserve">InternetService_Fiber optic — premium tier, higher churn risk</w:t>
      </w:r>
    </w:p>
    <w:p>
      <w:pPr>
        <w:pStyle w:val="ListParagraph"/>
        <w:numPr>
          <w:ilvl w:val="0"/>
          <w:numId w:val="4"/>
        </w:numPr>
        <w:spacing w:after="80" w:before="60"/>
      </w:pPr>
      <w:r>
        <w:rPr>
          <w:rFonts w:ascii="Arial" w:cs="Arial" w:eastAsia="Arial" w:hAnsi="Arial"/>
          <w:b/>
          <w:bCs/>
          <w:color w:val="1A1A1A"/>
          <w:sz w:val="21"/>
          <w:szCs w:val="21"/>
        </w:rPr>
        <w:t xml:space="preserve">7. </w:t>
      </w:r>
      <w:r>
        <w:rPr>
          <w:rFonts w:ascii="Arial" w:cs="Arial" w:eastAsia="Arial" w:hAnsi="Arial"/>
          <w:color w:val="1A1A1A"/>
          <w:sz w:val="21"/>
          <w:szCs w:val="21"/>
        </w:rPr>
        <w:t xml:space="preserve">Dependents — stability signal; mild protective effect</w:t>
      </w:r>
    </w:p>
    <w:p>
      <w:pPr>
        <w:spacing w:after="120" w:before="120"/>
      </w:pPr>
    </w:p>
    <w:p>
      <w:pPr>
        <w:pStyle w:val="Heading2"/>
        <w:spacing w:after="120" w:before="280"/>
      </w:pPr>
      <w:r>
        <w:rPr>
          <w:rFonts w:ascii="Arial" w:cs="Arial" w:eastAsia="Arial" w:hAnsi="Arial"/>
          <w:b/>
          <w:bCs/>
          <w:color w:val="2E75B6"/>
          <w:sz w:val="26"/>
          <w:szCs w:val="26"/>
        </w:rPr>
        <w:t xml:space="preserve">Step 6 — Threshold Optimisation</w:t>
      </w:r>
    </w:p>
    <w:p>
      <w:pPr>
        <w:spacing w:after="100" w:before="0"/>
      </w:pPr>
      <w:r>
        <w:rPr>
          <w:rFonts w:ascii="Arial" w:cs="Arial" w:eastAsia="Arial" w:hAnsi="Arial"/>
          <w:color w:val="1A1A1A"/>
          <w:sz w:val="21"/>
          <w:szCs w:val="21"/>
        </w:rPr>
        <w:t xml:space="preserve">By default, models classify a customer as 'churned' if their predicted churn probability is above 0.5. But this threshold can be adjusted. Lowering it catches more churners (higher recall) at the cost of more false positives (lower precision).</w:t>
      </w:r>
    </w:p>
    <w:p>
      <w:pPr>
        <w:spacing w:after="120" w:before="60"/>
      </w:pPr>
    </w:p>
    <w:p>
      <w:pPr>
        <w:spacing w:after="100" w:before="0"/>
      </w:pPr>
      <w:r>
        <w:rPr>
          <w:rFonts w:ascii="Arial" w:cs="Arial" w:eastAsia="Arial" w:hAnsi="Arial"/>
          <w:color w:val="1A1A1A"/>
          <w:sz w:val="21"/>
          <w:szCs w:val="21"/>
        </w:rPr>
        <w:t xml:space="preserve">The threshold analysis shows that lowering the decision boundary from 0.5 to approximately 0.37 improves the F1-Score. For a real retention campaign, this is the recommended operating threshold — catching more at-risk customers is worth the extra outreach cost.</w:t>
      </w:r>
    </w:p>
    <w:p>
      <w:pPr>
        <w:spacing w:after="120" w:before="300"/>
      </w:pPr>
    </w:p>
    <w:p>
      <w:r>
        <w:br w:type="page"/>
      </w:r>
    </w:p>
    <w:p>
      <w:pPr>
        <w:pStyle w:val="Heading1"/>
        <w:spacing w:after="160" w:before="360"/>
      </w:pPr>
      <w:r>
        <w:rPr>
          <w:rFonts w:ascii="Arial" w:cs="Arial" w:eastAsia="Arial" w:hAnsi="Arial"/>
          <w:b/>
          <w:bCs/>
          <w:color w:val="1F3864"/>
          <w:sz w:val="32"/>
          <w:szCs w:val="32"/>
        </w:rPr>
        <w:t xml:space="preserve">How to Reproduce This Project</w:t>
      </w:r>
    </w:p>
    <w:p>
      <w:pPr>
        <w:pBdr>
          <w:bottom w:val="single" w:color="2E75B6" w:sz="6" w:space="1"/>
        </w:pBdr>
        <w:spacing w:after="160" w:before="0"/>
      </w:pPr>
    </w:p>
    <w:p>
      <w:pPr>
        <w:spacing w:after="100" w:before="0"/>
      </w:pPr>
      <w:r>
        <w:rPr>
          <w:rFonts w:ascii="Arial" w:cs="Arial" w:eastAsia="Arial" w:hAnsi="Arial"/>
          <w:color w:val="1A1A1A"/>
          <w:sz w:val="21"/>
          <w:szCs w:val="21"/>
        </w:rPr>
        <w:t xml:space="preserve">Follow these steps to set up your environment and run all four notebooks from scratch.</w:t>
      </w:r>
    </w:p>
    <w:p>
      <w:pPr>
        <w:spacing w:after="120" w:before="120"/>
      </w:pPr>
    </w:p>
    <w:p>
      <w:pPr>
        <w:pStyle w:val="Heading2"/>
        <w:spacing w:after="120" w:before="280"/>
      </w:pPr>
      <w:r>
        <w:rPr>
          <w:rFonts w:ascii="Arial" w:cs="Arial" w:eastAsia="Arial" w:hAnsi="Arial"/>
          <w:b/>
          <w:bCs/>
          <w:color w:val="2E75B6"/>
          <w:sz w:val="26"/>
          <w:szCs w:val="26"/>
        </w:rPr>
        <w:t xml:space="preserve">Prerequisites</w:t>
      </w:r>
    </w:p>
    <w:p>
      <w:pPr>
        <w:pStyle w:val="ListParagraph"/>
        <w:numPr>
          <w:ilvl w:val="0"/>
          <w:numId w:val="2"/>
        </w:numPr>
        <w:spacing w:after="60" w:before="40"/>
      </w:pPr>
      <w:r>
        <w:rPr>
          <w:rFonts w:ascii="Arial" w:cs="Arial" w:eastAsia="Arial" w:hAnsi="Arial"/>
          <w:color w:val="1A1A1A"/>
          <w:sz w:val="21"/>
          <w:szCs w:val="21"/>
        </w:rPr>
        <w:t xml:space="preserve">Python 3.8 or higher installed on your machine</w:t>
      </w:r>
    </w:p>
    <w:p>
      <w:pPr>
        <w:pStyle w:val="ListParagraph"/>
        <w:numPr>
          <w:ilvl w:val="0"/>
          <w:numId w:val="2"/>
        </w:numPr>
        <w:spacing w:after="60" w:before="40"/>
      </w:pPr>
      <w:r>
        <w:rPr>
          <w:rFonts w:ascii="Arial" w:cs="Arial" w:eastAsia="Arial" w:hAnsi="Arial"/>
          <w:color w:val="1A1A1A"/>
          <w:sz w:val="21"/>
          <w:szCs w:val="21"/>
        </w:rPr>
        <w:t xml:space="preserve">pip (Python package installer — comes with Python)</w:t>
      </w:r>
    </w:p>
    <w:p>
      <w:pPr>
        <w:pStyle w:val="ListParagraph"/>
        <w:numPr>
          <w:ilvl w:val="0"/>
          <w:numId w:val="2"/>
        </w:numPr>
        <w:spacing w:after="60" w:before="40"/>
      </w:pPr>
      <w:r>
        <w:rPr>
          <w:rFonts w:ascii="Arial" w:cs="Arial" w:eastAsia="Arial" w:hAnsi="Arial"/>
          <w:color w:val="1A1A1A"/>
          <w:sz w:val="21"/>
          <w:szCs w:val="21"/>
        </w:rPr>
        <w:t xml:space="preserve">Jupyter Notebook or JupyterLab</w:t>
      </w:r>
    </w:p>
    <w:p>
      <w:pPr>
        <w:pStyle w:val="ListParagraph"/>
        <w:numPr>
          <w:ilvl w:val="0"/>
          <w:numId w:val="2"/>
        </w:numPr>
        <w:spacing w:after="60" w:before="40"/>
      </w:pPr>
      <w:r>
        <w:rPr>
          <w:rFonts w:ascii="Arial" w:cs="Arial" w:eastAsia="Arial" w:hAnsi="Arial"/>
          <w:color w:val="1A1A1A"/>
          <w:sz w:val="21"/>
          <w:szCs w:val="21"/>
        </w:rPr>
        <w:t xml:space="preserve">The dataset file: Telco_Customer_Churn_Dataset.csv</w:t>
      </w:r>
    </w:p>
    <w:p>
      <w:pPr>
        <w:spacing w:after="120" w:before="120"/>
      </w:pPr>
    </w:p>
    <w:p>
      <w:pPr>
        <w:pStyle w:val="Heading2"/>
        <w:spacing w:after="120" w:before="280"/>
      </w:pPr>
      <w:r>
        <w:rPr>
          <w:rFonts w:ascii="Arial" w:cs="Arial" w:eastAsia="Arial" w:hAnsi="Arial"/>
          <w:b/>
          <w:bCs/>
          <w:color w:val="2E75B6"/>
          <w:sz w:val="26"/>
          <w:szCs w:val="26"/>
        </w:rPr>
        <w:t xml:space="preserve">1. Clone the Repository</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git clone https://github.com/Tosa9/saiket-data-science-internship.git</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cd saiket-data-science-internship</w:t>
      </w:r>
    </w:p>
    <w:p>
      <w:pPr>
        <w:spacing w:after="120" w:before="120"/>
      </w:pPr>
    </w:p>
    <w:p>
      <w:pPr>
        <w:pStyle w:val="Heading2"/>
        <w:spacing w:after="120" w:before="280"/>
      </w:pPr>
      <w:r>
        <w:rPr>
          <w:rFonts w:ascii="Arial" w:cs="Arial" w:eastAsia="Arial" w:hAnsi="Arial"/>
          <w:b/>
          <w:bCs/>
          <w:color w:val="2E75B6"/>
          <w:sz w:val="26"/>
          <w:szCs w:val="26"/>
        </w:rPr>
        <w:t xml:space="preserve">2. Install Required Libraries</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pip install pandas numpy matplotlib seaborn scikit-learn imbalanced-learn joblib</w:t>
      </w:r>
    </w:p>
    <w:p>
      <w:pPr>
        <w:spacing w:after="120" w:before="120"/>
      </w:pPr>
    </w:p>
    <w:p>
      <w:pPr>
        <w:pStyle w:val="Heading2"/>
        <w:spacing w:after="120" w:before="280"/>
      </w:pPr>
      <w:r>
        <w:rPr>
          <w:rFonts w:ascii="Arial" w:cs="Arial" w:eastAsia="Arial" w:hAnsi="Arial"/>
          <w:b/>
          <w:bCs/>
          <w:color w:val="2E75B6"/>
          <w:sz w:val="26"/>
          <w:szCs w:val="26"/>
        </w:rPr>
        <w:t xml:space="preserve">3. Place the Dataset</w:t>
      </w:r>
    </w:p>
    <w:p>
      <w:pPr>
        <w:spacing w:after="100" w:before="0"/>
      </w:pPr>
      <w:r>
        <w:rPr>
          <w:rFonts w:ascii="Arial" w:cs="Arial" w:eastAsia="Arial" w:hAnsi="Arial"/>
          <w:color w:val="1A1A1A"/>
          <w:sz w:val="21"/>
          <w:szCs w:val="21"/>
        </w:rPr>
        <w:t xml:space="preserve">Copy the CSV file into the root of the project folder. All notebooks expect the file to be named exactly:</w:t>
      </w:r>
    </w:p>
    <w:p>
      <w:pPr>
        <w:pBdr>
          <w:left w:val="single" w:color="2E75B6" w:sz="12" w:space="4"/>
        </w:pBdr>
        <w:shd w:fill="EFEFEF" w:val="clear"/>
        <w:spacing w:after="60" w:before="60"/>
        <w:ind w:left="360" w:right="360"/>
      </w:pPr>
      <w:r>
        <w:rPr>
          <w:rFonts w:ascii="Courier New" w:cs="Courier New" w:eastAsia="Courier New" w:hAnsi="Courier New"/>
          <w:color w:val="1A1A1A"/>
          <w:sz w:val="18"/>
          <w:szCs w:val="18"/>
        </w:rPr>
        <w:t xml:space="preserve">telco_churn.csv</w:t>
      </w:r>
    </w:p>
    <w:p>
      <w:pPr>
        <w:spacing w:after="120" w:before="120"/>
      </w:pPr>
    </w:p>
    <w:p>
      <w:pPr>
        <w:pStyle w:val="Heading2"/>
        <w:spacing w:after="120" w:before="280"/>
      </w:pPr>
      <w:r>
        <w:rPr>
          <w:rFonts w:ascii="Arial" w:cs="Arial" w:eastAsia="Arial" w:hAnsi="Arial"/>
          <w:b/>
          <w:bCs/>
          <w:color w:val="2E75B6"/>
          <w:sz w:val="26"/>
          <w:szCs w:val="26"/>
        </w:rPr>
        <w:t xml:space="preserve">4. Run the Notebooks in Order</w:t>
      </w:r>
    </w:p>
    <w:p>
      <w:pPr>
        <w:spacing w:after="100" w:before="0"/>
      </w:pPr>
      <w:r>
        <w:rPr>
          <w:rFonts w:ascii="Arial" w:cs="Arial" w:eastAsia="Arial" w:hAnsi="Arial"/>
          <w:color w:val="1A1A1A"/>
          <w:sz w:val="21"/>
          <w:szCs w:val="21"/>
        </w:rPr>
        <w:t xml:space="preserve">Open Jupyter and run the notebooks in this exact sequence — each stage produces files needed by the next:</w:t>
      </w:r>
    </w:p>
    <w:p>
      <w:pPr>
        <w:spacing w:after="120" w:before="60"/>
      </w:pPr>
    </w:p>
    <w:p>
      <w:pPr>
        <w:pStyle w:val="ListParagraph"/>
        <w:numPr>
          <w:ilvl w:val="0"/>
          <w:numId w:val="4"/>
        </w:numPr>
        <w:spacing w:after="80" w:before="60"/>
      </w:pPr>
      <w:r>
        <w:rPr>
          <w:rFonts w:ascii="Arial" w:cs="Arial" w:eastAsia="Arial" w:hAnsi="Arial"/>
          <w:color w:val="1A1A1A"/>
          <w:sz w:val="21"/>
          <w:szCs w:val="21"/>
        </w:rPr>
        <w:t xml:space="preserve">Task1_Data_Preparation.ipynb</w:t>
      </w:r>
    </w:p>
    <w:p>
      <w:pPr>
        <w:pStyle w:val="ListParagraph"/>
        <w:numPr>
          <w:ilvl w:val="0"/>
          <w:numId w:val="3"/>
        </w:numPr>
        <w:spacing w:after="60" w:before="30"/>
      </w:pPr>
      <w:r>
        <w:rPr>
          <w:rFonts w:ascii="Arial" w:cs="Arial" w:eastAsia="Arial" w:hAnsi="Arial"/>
          <w:color w:val="555555"/>
          <w:sz w:val="20"/>
          <w:szCs w:val="20"/>
        </w:rPr>
        <w:t xml:space="preserve">Produces: telco_churn_processed.csv, X_train.csv, X_test.csv, y_train.csv, y_test.csv</w:t>
      </w:r>
    </w:p>
    <w:p>
      <w:pPr>
        <w:pStyle w:val="ListParagraph"/>
        <w:numPr>
          <w:ilvl w:val="0"/>
          <w:numId w:val="4"/>
        </w:numPr>
        <w:spacing w:after="80" w:before="60"/>
      </w:pPr>
      <w:r>
        <w:rPr>
          <w:rFonts w:ascii="Arial" w:cs="Arial" w:eastAsia="Arial" w:hAnsi="Arial"/>
          <w:color w:val="1A1A1A"/>
          <w:sz w:val="21"/>
          <w:szCs w:val="21"/>
        </w:rPr>
        <w:t xml:space="preserve">Task2_Exploratory_Data_Analysis.ipynb</w:t>
      </w:r>
    </w:p>
    <w:p>
      <w:pPr>
        <w:pStyle w:val="ListParagraph"/>
        <w:numPr>
          <w:ilvl w:val="0"/>
          <w:numId w:val="3"/>
        </w:numPr>
        <w:spacing w:after="60" w:before="30"/>
      </w:pPr>
      <w:r>
        <w:rPr>
          <w:rFonts w:ascii="Arial" w:cs="Arial" w:eastAsia="Arial" w:hAnsi="Arial"/>
          <w:color w:val="555555"/>
          <w:sz w:val="20"/>
          <w:szCs w:val="20"/>
        </w:rPr>
        <w:t xml:space="preserve">Produces: 8 visualisation PNG files (eda_01 through eda_08)</w:t>
      </w:r>
    </w:p>
    <w:p>
      <w:pPr>
        <w:pStyle w:val="ListParagraph"/>
        <w:numPr>
          <w:ilvl w:val="0"/>
          <w:numId w:val="4"/>
        </w:numPr>
        <w:spacing w:after="80" w:before="60"/>
      </w:pPr>
      <w:r>
        <w:rPr>
          <w:rFonts w:ascii="Arial" w:cs="Arial" w:eastAsia="Arial" w:hAnsi="Arial"/>
          <w:color w:val="1A1A1A"/>
          <w:sz w:val="21"/>
          <w:szCs w:val="21"/>
        </w:rPr>
        <w:t xml:space="preserve">Task4_Churn_Prediction_Model.ipynb</w:t>
      </w:r>
    </w:p>
    <w:p>
      <w:pPr>
        <w:pStyle w:val="ListParagraph"/>
        <w:numPr>
          <w:ilvl w:val="0"/>
          <w:numId w:val="3"/>
        </w:numPr>
        <w:spacing w:after="60" w:before="30"/>
      </w:pPr>
      <w:r>
        <w:rPr>
          <w:rFonts w:ascii="Arial" w:cs="Arial" w:eastAsia="Arial" w:hAnsi="Arial"/>
          <w:color w:val="555555"/>
          <w:sz w:val="20"/>
          <w:szCs w:val="20"/>
        </w:rPr>
        <w:t xml:space="preserve">Produces: best_model.pkl, feature_selector.pkl, scaler.pkl — and 4 plots</w:t>
      </w:r>
    </w:p>
    <w:p>
      <w:pPr>
        <w:pStyle w:val="ListParagraph"/>
        <w:numPr>
          <w:ilvl w:val="0"/>
          <w:numId w:val="4"/>
        </w:numPr>
        <w:spacing w:after="80" w:before="60"/>
      </w:pPr>
      <w:r>
        <w:rPr>
          <w:rFonts w:ascii="Arial" w:cs="Arial" w:eastAsia="Arial" w:hAnsi="Arial"/>
          <w:color w:val="1A1A1A"/>
          <w:sz w:val="21"/>
          <w:szCs w:val="21"/>
        </w:rPr>
        <w:t xml:space="preserve">Task5_Model_Evaluation_Interpretation.ipynb</w:t>
      </w:r>
    </w:p>
    <w:p>
      <w:pPr>
        <w:pStyle w:val="ListParagraph"/>
        <w:numPr>
          <w:ilvl w:val="0"/>
          <w:numId w:val="3"/>
        </w:numPr>
        <w:spacing w:after="60" w:before="30"/>
      </w:pPr>
      <w:r>
        <w:rPr>
          <w:rFonts w:ascii="Arial" w:cs="Arial" w:eastAsia="Arial" w:hAnsi="Arial"/>
          <w:color w:val="555555"/>
          <w:sz w:val="20"/>
          <w:szCs w:val="20"/>
        </w:rPr>
        <w:t xml:space="preserve">Produces: 7 evaluation plots including the full performance dashboard</w:t>
      </w:r>
    </w:p>
    <w:p>
      <w:pPr>
        <w:spacing w:after="120" w:before="80"/>
      </w:pPr>
    </w:p>
    <w:p>
      <w:pPr>
        <w:spacing w:after="100" w:before="80"/>
        <w:ind w:left="360"/>
      </w:pPr>
      <w:r>
        <w:rPr>
          <w:rFonts w:ascii="Arial" w:cs="Arial" w:eastAsia="Arial" w:hAnsi="Arial"/>
          <w:b/>
          <w:bCs/>
          <w:color w:val="2E75B6"/>
          <w:sz w:val="20"/>
          <w:szCs w:val="20"/>
        </w:rPr>
        <w:t xml:space="preserve">💡 Note: </w:t>
      </w:r>
      <w:r>
        <w:rPr>
          <w:rFonts w:ascii="Arial" w:cs="Arial" w:eastAsia="Arial" w:hAnsi="Arial"/>
          <w:color w:val="444444"/>
          <w:sz w:val="20"/>
          <w:szCs w:val="20"/>
        </w:rPr>
        <w:t xml:space="preserve">Task 4 runs GridSearchCV which is computationally intensive. On a standard laptop, expect it to take 8–15 minutes. The notebook includes a commented-out block to skip the grid search and load pre-fitted models instead.</w:t>
      </w:r>
    </w:p>
    <w:p>
      <w:pPr>
        <w:spacing w:after="120" w:before="300"/>
      </w:pPr>
    </w:p>
    <w:p>
      <w:r>
        <w:br w:type="page"/>
      </w:r>
    </w:p>
    <w:p>
      <w:pPr>
        <w:pStyle w:val="Heading1"/>
        <w:spacing w:after="160" w:before="360"/>
      </w:pPr>
      <w:r>
        <w:rPr>
          <w:rFonts w:ascii="Arial" w:cs="Arial" w:eastAsia="Arial" w:hAnsi="Arial"/>
          <w:b/>
          <w:bCs/>
          <w:color w:val="1F3864"/>
          <w:sz w:val="32"/>
          <w:szCs w:val="32"/>
        </w:rPr>
        <w:t xml:space="preserve">Glossary</w:t>
      </w:r>
    </w:p>
    <w:p>
      <w:pPr>
        <w:pBdr>
          <w:bottom w:val="single" w:color="2E75B6" w:sz="6" w:space="1"/>
        </w:pBdr>
        <w:spacing w:after="160" w:before="0"/>
      </w:pPr>
    </w:p>
    <w:p>
      <w:pPr>
        <w:spacing w:after="100" w:before="0"/>
      </w:pPr>
      <w:r>
        <w:rPr>
          <w:rFonts w:ascii="Arial" w:cs="Arial" w:eastAsia="Arial" w:hAnsi="Arial"/>
          <w:color w:val="1A1A1A"/>
          <w:sz w:val="21"/>
          <w:szCs w:val="21"/>
        </w:rPr>
        <w:t xml:space="preserve">Key terms used throughout this project, explained in plain language.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Plain English Explanation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Churn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a customer stops using the service and leaves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Feature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column in the dataset used as input to the model (e.g. tenure, MonthlyCharges)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variable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column we are trying to predict — Churn (Yes or No)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Training set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portion of data the model learns from (80% of the dataset)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 set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unseen data used to measure real-world performance (20% of the dataset)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Label Encoding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Converting Yes/No or Male/Female into 0s and 1s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One-Hot Encoding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Creating a new binary column for each category option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SMOTE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technique to create synthetic minority class examples to fix class imbalance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StandardScaler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Normalises features to have mean=0 and std=1 so scale does not bias the model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Precision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Of all customers the model flagged as churners, what fraction actually churned?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Recall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 all customers who actually churned, what fraction did the model catch?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F1-Score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harmonic mean of Precision and Recall — a balanced single metric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AUC / ROC-AUC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How well the model ranks churners above non-churners across all thresholds (0.5 = random, 1.0 = perfect)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GridSearchCV</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 exhaustive search across hyperparameter combinations using cross-validation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Cross-validation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Splitting training data into k folds to evaluate model stability without touching the test set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Feature importance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score indicating how much each feature contributed to the model's predictions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Threshold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probability cutoff above which a customer is classified as 'churned' (default 0.5)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Gradient Boosting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 ensemble ML algorithm that builds decision trees sequentially, each fixing the errors of the last</w:t>
            </w:r>
          </w:p>
        </w:tc>
      </w:tr>
    </w:tbl>
    <w:p>
      <w:pPr>
        <w:spacing w:after="120" w:before="200"/>
      </w:pPr>
    </w:p>
    <w:p>
      <w:pPr>
        <w:pBdr>
          <w:bottom w:val="single" w:color="2E75B6" w:sz="6" w:space="1"/>
        </w:pBdr>
        <w:spacing w:after="160" w:before="0"/>
      </w:pPr>
    </w:p>
    <w:p>
      <w:pPr>
        <w:spacing w:after="60" w:before="120"/>
        <w:jc w:val="center"/>
      </w:pPr>
      <w:r>
        <w:rPr>
          <w:rFonts w:ascii="Arial" w:cs="Arial" w:eastAsia="Arial" w:hAnsi="Arial"/>
          <w:color w:val="888888"/>
          <w:sz w:val="18"/>
          <w:szCs w:val="18"/>
        </w:rPr>
        <w:t xml:space="preserve">SaiKet Systems Data Science Internship  |  Omokhoa Oshose Tosayoname  |  SKS/A2/C115874  |  April 2026</w:t>
      </w:r>
    </w:p>
    <w:p>
      <w:pPr>
        <w:spacing w:after="60" w:before="0"/>
        <w:jc w:val="center"/>
      </w:pPr>
      <w:r>
        <w:rPr>
          <w:rFonts w:ascii="Arial" w:cs="Arial" w:eastAsia="Arial" w:hAnsi="Arial"/>
          <w:b/>
          <w:bCs/>
          <w:color w:val="2E75B6"/>
          <w:sz w:val="18"/>
          <w:szCs w:val="18"/>
        </w:rPr>
        <w:t xml:space="preserve">github.com/Tosa9/saiket-data-science-internship</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2026-04-16T15:37:33.117Z</dcterms:created>
  <dcterms:modified xsi:type="dcterms:W3CDTF">2026-04-16T15:37:33.117Z</dcterms:modified>
</cp:coreProperties>
</file>

<file path=docProps/custom.xml><?xml version="1.0" encoding="utf-8"?>
<Properties xmlns="http://schemas.openxmlformats.org/officeDocument/2006/custom-properties" xmlns:vt="http://schemas.openxmlformats.org/officeDocument/2006/docPropsVTypes"/>
</file>