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FAA6C" w14:textId="12D49B94" w:rsidR="00E94B1B" w:rsidRPr="003B1AF1" w:rsidRDefault="00791EF2" w:rsidP="00E94B1B">
      <w:pPr>
        <w:pStyle w:val="MDPI12title"/>
      </w:pPr>
      <w:r w:rsidRPr="00791EF2">
        <w:t>Monitoring and Evaluation of Sediment Yield by IoT Technology in the upstream of the Reservoir Watershed</w:t>
      </w:r>
    </w:p>
    <w:p w14:paraId="4F19F123" w14:textId="66B2DA65" w:rsidR="00DD1AB8" w:rsidRPr="005830E7" w:rsidRDefault="005830E7" w:rsidP="00E94B1B">
      <w:pPr>
        <w:pStyle w:val="MDPI13authornames"/>
        <w:rPr>
          <w:rStyle w:val="notion-enable-hover"/>
        </w:rPr>
      </w:pPr>
      <w:r>
        <w:rPr>
          <w:sz w:val="22"/>
          <w:szCs w:val="24"/>
        </w:rPr>
        <w:t>Chin-Shou Lin</w:t>
      </w:r>
      <w:r w:rsidR="00E94B1B" w:rsidRPr="00E62163">
        <w:rPr>
          <w:sz w:val="22"/>
          <w:szCs w:val="24"/>
        </w:rPr>
        <w:t xml:space="preserve"> </w:t>
      </w:r>
      <w:r w:rsidR="00E94B1B" w:rsidRPr="00E62163">
        <w:rPr>
          <w:sz w:val="22"/>
          <w:szCs w:val="24"/>
          <w:vertAlign w:val="superscript"/>
        </w:rPr>
        <w:t>1</w:t>
      </w:r>
      <w:r w:rsidR="00E94B1B" w:rsidRPr="00E62163">
        <w:rPr>
          <w:sz w:val="22"/>
          <w:szCs w:val="24"/>
        </w:rPr>
        <w:t>,</w:t>
      </w:r>
      <w:r w:rsidRPr="005830E7">
        <w:t xml:space="preserve"> </w:t>
      </w:r>
      <w:proofErr w:type="spellStart"/>
      <w:r>
        <w:rPr>
          <w:rStyle w:val="notion-enable-hover"/>
        </w:rPr>
        <w:t>Bor-Shiun</w:t>
      </w:r>
      <w:proofErr w:type="spellEnd"/>
      <w:r>
        <w:rPr>
          <w:rStyle w:val="notion-enable-hover"/>
        </w:rPr>
        <w:t xml:space="preserve"> Lin</w:t>
      </w:r>
      <w:proofErr w:type="gramStart"/>
      <w:r w:rsidR="00E94B1B" w:rsidRPr="00E62163">
        <w:rPr>
          <w:sz w:val="22"/>
          <w:szCs w:val="24"/>
          <w:vertAlign w:val="superscript"/>
        </w:rPr>
        <w:t>2</w:t>
      </w:r>
      <w:r>
        <w:rPr>
          <w:sz w:val="22"/>
          <w:szCs w:val="24"/>
        </w:rPr>
        <w:t xml:space="preserve"> ,</w:t>
      </w:r>
      <w:proofErr w:type="gramEnd"/>
      <w:r w:rsidRPr="005830E7">
        <w:rPr>
          <w:rStyle w:val="notion-enable-hover"/>
        </w:rPr>
        <w:t xml:space="preserve"> Je-Yi </w:t>
      </w:r>
      <w:proofErr w:type="spellStart"/>
      <w:r w:rsidRPr="005830E7">
        <w:rPr>
          <w:rStyle w:val="notion-enable-hover"/>
        </w:rPr>
        <w:t>Jhang</w:t>
      </w:r>
      <w:proofErr w:type="spellEnd"/>
      <w:r w:rsidRPr="005830E7">
        <w:rPr>
          <w:rStyle w:val="notion-enable-hover"/>
        </w:rPr>
        <w:t>, and YI-DA JIAN</w:t>
      </w:r>
    </w:p>
    <w:p w14:paraId="3144A7F4" w14:textId="124B90C1" w:rsidR="00E94B1B" w:rsidRPr="00E62163" w:rsidRDefault="00DD1AB8" w:rsidP="00E62163">
      <w:pPr>
        <w:pStyle w:val="MDPI16affiliation"/>
        <w:ind w:leftChars="142" w:left="601" w:hangingChars="176" w:hanging="317"/>
        <w:rPr>
          <w:sz w:val="18"/>
          <w:szCs w:val="20"/>
        </w:rPr>
      </w:pPr>
      <w:r w:rsidRPr="00E62163">
        <w:rPr>
          <w:sz w:val="18"/>
          <w:szCs w:val="20"/>
          <w:vertAlign w:val="superscript"/>
        </w:rPr>
        <w:t>1</w:t>
      </w:r>
      <w:r w:rsidR="005830E7">
        <w:rPr>
          <w:sz w:val="18"/>
          <w:szCs w:val="20"/>
        </w:rPr>
        <w:tab/>
        <w:t>Affiliation 1; orin@sinotech.org.tw</w:t>
      </w:r>
    </w:p>
    <w:p w14:paraId="31EC061F" w14:textId="23E99D12" w:rsidR="00E94B1B" w:rsidRPr="00E62163" w:rsidRDefault="00E94B1B" w:rsidP="00E62163">
      <w:pPr>
        <w:pStyle w:val="MDPI16affiliation"/>
        <w:ind w:leftChars="142" w:left="601" w:hangingChars="176" w:hanging="317"/>
        <w:rPr>
          <w:sz w:val="18"/>
          <w:szCs w:val="20"/>
        </w:rPr>
      </w:pPr>
      <w:r w:rsidRPr="00E62163">
        <w:rPr>
          <w:sz w:val="18"/>
          <w:szCs w:val="20"/>
          <w:vertAlign w:val="superscript"/>
        </w:rPr>
        <w:t>2</w:t>
      </w:r>
      <w:r w:rsidRPr="00E62163">
        <w:rPr>
          <w:sz w:val="18"/>
          <w:szCs w:val="20"/>
        </w:rPr>
        <w:tab/>
        <w:t xml:space="preserve">Affiliation 2; </w:t>
      </w:r>
      <w:r w:rsidR="005830E7">
        <w:rPr>
          <w:sz w:val="18"/>
          <w:szCs w:val="20"/>
        </w:rPr>
        <w:t>bosch.lin@sinotech.org.tw</w:t>
      </w:r>
    </w:p>
    <w:p w14:paraId="736F6DDC" w14:textId="126FDD10" w:rsidR="00E94B1B" w:rsidRPr="00E62163" w:rsidRDefault="00E94B1B" w:rsidP="00E62163">
      <w:pPr>
        <w:pStyle w:val="MDPI18keywords"/>
        <w:ind w:leftChars="142" w:left="672" w:hangingChars="176" w:hanging="388"/>
        <w:rPr>
          <w:sz w:val="22"/>
        </w:rPr>
      </w:pPr>
      <w:r w:rsidRPr="00E62163">
        <w:rPr>
          <w:b/>
          <w:sz w:val="22"/>
        </w:rPr>
        <w:t xml:space="preserve">Keywords: </w:t>
      </w:r>
      <w:r w:rsidR="005830E7" w:rsidRPr="00465E23">
        <w:rPr>
          <w:szCs w:val="18"/>
        </w:rPr>
        <w:t>Reservoir watershed area</w:t>
      </w:r>
      <w:r w:rsidR="005830E7">
        <w:rPr>
          <w:szCs w:val="18"/>
        </w:rPr>
        <w:t>, IOT, sediment</w:t>
      </w:r>
    </w:p>
    <w:p w14:paraId="14D68570" w14:textId="7B33BEDC" w:rsidR="00E94B1B" w:rsidRDefault="00E94B1B" w:rsidP="00E62163">
      <w:pPr>
        <w:pStyle w:val="MDPI21heading1"/>
        <w:ind w:leftChars="142" w:left="672" w:hangingChars="176" w:hanging="388"/>
        <w:rPr>
          <w:sz w:val="22"/>
          <w:lang w:eastAsia="zh-CN"/>
        </w:rPr>
      </w:pPr>
      <w:r w:rsidRPr="00E62163">
        <w:rPr>
          <w:sz w:val="22"/>
          <w:lang w:eastAsia="zh-CN"/>
        </w:rPr>
        <w:t>1. Introduction</w:t>
      </w:r>
    </w:p>
    <w:p w14:paraId="5783A757" w14:textId="2F32E0D7" w:rsidR="00791EF2" w:rsidRPr="00791EF2" w:rsidRDefault="00791EF2" w:rsidP="00791EF2">
      <w:pPr>
        <w:pStyle w:val="MDPI31text"/>
        <w:ind w:leftChars="142" w:left="284" w:firstLine="0"/>
        <w:rPr>
          <w:sz w:val="22"/>
        </w:rPr>
      </w:pPr>
      <w:r w:rsidRPr="00791EF2">
        <w:rPr>
          <w:sz w:val="22"/>
        </w:rPr>
        <w:t xml:space="preserve">The loss of topsoil fines in the reservoir </w:t>
      </w:r>
      <w:r w:rsidR="005830E7">
        <w:rPr>
          <w:sz w:val="22"/>
        </w:rPr>
        <w:t>watershed</w:t>
      </w:r>
      <w:r w:rsidRPr="00791EF2">
        <w:rPr>
          <w:sz w:val="22"/>
        </w:rPr>
        <w:t xml:space="preserve"> area and the inflow into the reservoir is one of the key factors affecting the increase of water turbidity and the reduction of reservoir capacity. Therefore, if the supply of sediment sources in the upstream </w:t>
      </w:r>
      <w:r w:rsidR="005830E7">
        <w:rPr>
          <w:sz w:val="22"/>
        </w:rPr>
        <w:t>watershed</w:t>
      </w:r>
      <w:r w:rsidRPr="00791EF2">
        <w:rPr>
          <w:sz w:val="22"/>
        </w:rPr>
        <w:t xml:space="preserve"> can be effectively quantified, soil and water conservation strategies can be formulated to reduce the inflow</w:t>
      </w:r>
      <w:r w:rsidR="00204EAD">
        <w:rPr>
          <w:sz w:val="22"/>
        </w:rPr>
        <w:t xml:space="preserve"> of sediment into the reservoir</w:t>
      </w:r>
      <w:r w:rsidRPr="00791EF2">
        <w:rPr>
          <w:sz w:val="22"/>
        </w:rPr>
        <w:t xml:space="preserve">. </w:t>
      </w:r>
      <w:proofErr w:type="gramStart"/>
      <w:r w:rsidRPr="00791EF2">
        <w:rPr>
          <w:sz w:val="22"/>
        </w:rPr>
        <w:t>In order to</w:t>
      </w:r>
      <w:proofErr w:type="gramEnd"/>
      <w:r w:rsidRPr="00791EF2">
        <w:rPr>
          <w:sz w:val="22"/>
        </w:rPr>
        <w:t xml:space="preserve"> discuss the actual amount of sediment entering the reservoir capacity and the spatial distribution of sediment production, the real-time water level and </w:t>
      </w:r>
      <w:proofErr w:type="spellStart"/>
      <w:r w:rsidRPr="00791EF2">
        <w:rPr>
          <w:sz w:val="22"/>
        </w:rPr>
        <w:t>turbidty</w:t>
      </w:r>
      <w:proofErr w:type="spellEnd"/>
      <w:r w:rsidRPr="00791EF2">
        <w:rPr>
          <w:sz w:val="22"/>
        </w:rPr>
        <w:t xml:space="preserve"> monitoring data should be used to analyze the actual rainfall in the current year.</w:t>
      </w:r>
    </w:p>
    <w:p w14:paraId="3D7FC31B" w14:textId="66F2A6A0" w:rsidR="00791EF2" w:rsidRDefault="00791EF2" w:rsidP="00665FE9">
      <w:pPr>
        <w:pStyle w:val="MDPI31text"/>
        <w:ind w:leftChars="142" w:left="284" w:firstLine="0"/>
        <w:rPr>
          <w:sz w:val="22"/>
        </w:rPr>
      </w:pPr>
      <w:r w:rsidRPr="00791EF2">
        <w:rPr>
          <w:sz w:val="22"/>
        </w:rPr>
        <w:t xml:space="preserve">In this paper, IOT environmental monitoring equipment will be used in the </w:t>
      </w:r>
      <w:r w:rsidR="005830E7">
        <w:rPr>
          <w:sz w:val="22"/>
        </w:rPr>
        <w:t>watershed</w:t>
      </w:r>
      <w:r w:rsidRPr="00791EF2">
        <w:rPr>
          <w:sz w:val="22"/>
        </w:rPr>
        <w:t xml:space="preserve"> area of 4 reservoirs of De-Ji, Wu-She, </w:t>
      </w:r>
      <w:r w:rsidR="00156A35">
        <w:rPr>
          <w:sz w:val="22"/>
        </w:rPr>
        <w:t xml:space="preserve">and </w:t>
      </w:r>
      <w:r w:rsidRPr="00791EF2">
        <w:rPr>
          <w:sz w:val="22"/>
        </w:rPr>
        <w:t>Zeng Wen to monitor the changes of water level and turbidi</w:t>
      </w:r>
      <w:r w:rsidR="00204EAD">
        <w:rPr>
          <w:sz w:val="22"/>
        </w:rPr>
        <w:t>ty, to d</w:t>
      </w:r>
      <w:r w:rsidRPr="00791EF2">
        <w:rPr>
          <w:sz w:val="22"/>
        </w:rPr>
        <w:t>iscuss the relative relationship between the amount of sediment entering the reservoir and the amount of sediment produced in the upstream stream watershed area. The spatial distribution of monitoring points in the watershed area of each</w:t>
      </w:r>
      <w:r w:rsidR="00665FE9">
        <w:rPr>
          <w:sz w:val="22"/>
        </w:rPr>
        <w:t xml:space="preserve"> reservoir is shown in Figure 1.</w:t>
      </w:r>
    </w:p>
    <w:p w14:paraId="562E20B6" w14:textId="77777777" w:rsidR="00D227EB" w:rsidRPr="00204EAD" w:rsidRDefault="00D227EB" w:rsidP="00665FE9">
      <w:pPr>
        <w:pStyle w:val="MDPI31text"/>
        <w:ind w:leftChars="142" w:left="284" w:firstLine="0"/>
        <w:rPr>
          <w:sz w:val="22"/>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69"/>
        <w:gridCol w:w="2768"/>
        <w:gridCol w:w="2769"/>
      </w:tblGrid>
      <w:tr w:rsidR="00D227EB" w14:paraId="6C7FCCA0" w14:textId="431386CC" w:rsidTr="00FA44EF">
        <w:tc>
          <w:tcPr>
            <w:tcW w:w="1666" w:type="pct"/>
          </w:tcPr>
          <w:p w14:paraId="6609C365" w14:textId="06B83F2C" w:rsidR="001576EB" w:rsidRDefault="00DA22B5" w:rsidP="00791EF2">
            <w:pPr>
              <w:pStyle w:val="MDPI31text"/>
              <w:ind w:left="0" w:firstLine="0"/>
              <w:rPr>
                <w:sz w:val="22"/>
              </w:rPr>
            </w:pPr>
            <w:r w:rsidRPr="00DA22B5">
              <w:rPr>
                <w:sz w:val="22"/>
              </w:rPr>
              <w:drawing>
                <wp:inline distT="0" distB="0" distL="0" distR="0" wp14:anchorId="655C350D" wp14:editId="1D6C2B29">
                  <wp:extent cx="1621155" cy="154622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21155" cy="1546225"/>
                          </a:xfrm>
                          <a:prstGeom prst="rect">
                            <a:avLst/>
                          </a:prstGeom>
                        </pic:spPr>
                      </pic:pic>
                    </a:graphicData>
                  </a:graphic>
                </wp:inline>
              </w:drawing>
            </w:r>
          </w:p>
        </w:tc>
        <w:tc>
          <w:tcPr>
            <w:tcW w:w="1666" w:type="pct"/>
          </w:tcPr>
          <w:p w14:paraId="1F99DB53" w14:textId="788EE052" w:rsidR="001576EB" w:rsidRDefault="00DA22B5" w:rsidP="00791EF2">
            <w:pPr>
              <w:pStyle w:val="MDPI31text"/>
              <w:ind w:left="0" w:firstLine="0"/>
              <w:rPr>
                <w:sz w:val="22"/>
              </w:rPr>
            </w:pPr>
            <w:r w:rsidRPr="00DA22B5">
              <w:rPr>
                <w:sz w:val="22"/>
              </w:rPr>
              <w:drawing>
                <wp:inline distT="0" distB="0" distL="0" distR="0" wp14:anchorId="1C40B17D" wp14:editId="78E5BA16">
                  <wp:extent cx="1620520" cy="1553845"/>
                  <wp:effectExtent l="0" t="0" r="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20520" cy="1553845"/>
                          </a:xfrm>
                          <a:prstGeom prst="rect">
                            <a:avLst/>
                          </a:prstGeom>
                        </pic:spPr>
                      </pic:pic>
                    </a:graphicData>
                  </a:graphic>
                </wp:inline>
              </w:drawing>
            </w:r>
          </w:p>
        </w:tc>
        <w:tc>
          <w:tcPr>
            <w:tcW w:w="1667" w:type="pct"/>
          </w:tcPr>
          <w:p w14:paraId="5F271CB8" w14:textId="5BEA2742" w:rsidR="001576EB" w:rsidRPr="00283C37" w:rsidRDefault="00DA22B5" w:rsidP="00791EF2">
            <w:pPr>
              <w:pStyle w:val="MDPI31text"/>
              <w:ind w:left="0" w:firstLine="0"/>
              <w:rPr>
                <w:noProof/>
              </w:rPr>
            </w:pPr>
            <w:r w:rsidRPr="00DA22B5">
              <w:rPr>
                <w:noProof/>
              </w:rPr>
              <w:drawing>
                <wp:inline distT="0" distB="0" distL="0" distR="0" wp14:anchorId="40F10763" wp14:editId="79B536D4">
                  <wp:extent cx="1621155" cy="1539875"/>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1155" cy="1539875"/>
                          </a:xfrm>
                          <a:prstGeom prst="rect">
                            <a:avLst/>
                          </a:prstGeom>
                        </pic:spPr>
                      </pic:pic>
                    </a:graphicData>
                  </a:graphic>
                </wp:inline>
              </w:drawing>
            </w:r>
          </w:p>
        </w:tc>
        <w:bookmarkStart w:id="0" w:name="_GoBack"/>
        <w:bookmarkEnd w:id="0"/>
      </w:tr>
      <w:tr w:rsidR="00D227EB" w14:paraId="7760170C" w14:textId="7A85AC29" w:rsidTr="00FA44EF">
        <w:tc>
          <w:tcPr>
            <w:tcW w:w="1666" w:type="pct"/>
          </w:tcPr>
          <w:p w14:paraId="7DDA0F48" w14:textId="37633A6C" w:rsidR="001576EB" w:rsidRPr="00791EF2" w:rsidRDefault="00D227EB" w:rsidP="00DA22B5">
            <w:pPr>
              <w:pStyle w:val="MDPI42tablebody"/>
              <w:spacing w:line="240" w:lineRule="auto"/>
              <w:jc w:val="both"/>
              <w:rPr>
                <w:sz w:val="22"/>
                <w:szCs w:val="22"/>
              </w:rPr>
            </w:pPr>
            <w:r>
              <w:rPr>
                <w:sz w:val="22"/>
                <w:szCs w:val="22"/>
              </w:rPr>
              <w:t xml:space="preserve">(a) </w:t>
            </w:r>
            <w:r w:rsidR="001576EB" w:rsidRPr="00791EF2">
              <w:rPr>
                <w:sz w:val="22"/>
                <w:szCs w:val="22"/>
              </w:rPr>
              <w:t xml:space="preserve">De-Ji </w:t>
            </w:r>
            <w:r w:rsidR="00156A35" w:rsidRPr="00D227EB">
              <w:rPr>
                <w:sz w:val="22"/>
                <w:szCs w:val="22"/>
              </w:rPr>
              <w:t>Reservoir</w:t>
            </w:r>
          </w:p>
        </w:tc>
        <w:tc>
          <w:tcPr>
            <w:tcW w:w="1666" w:type="pct"/>
          </w:tcPr>
          <w:p w14:paraId="3189326C" w14:textId="6755A756" w:rsidR="001576EB" w:rsidRPr="00791EF2" w:rsidRDefault="00D227EB" w:rsidP="00DA22B5">
            <w:pPr>
              <w:pStyle w:val="MDPI42tablebody"/>
              <w:spacing w:line="240" w:lineRule="auto"/>
              <w:jc w:val="both"/>
              <w:rPr>
                <w:sz w:val="22"/>
                <w:szCs w:val="22"/>
              </w:rPr>
            </w:pPr>
            <w:r>
              <w:rPr>
                <w:sz w:val="22"/>
                <w:szCs w:val="22"/>
              </w:rPr>
              <w:t xml:space="preserve">(b) </w:t>
            </w:r>
            <w:r w:rsidR="001576EB" w:rsidRPr="00791EF2">
              <w:rPr>
                <w:sz w:val="22"/>
                <w:szCs w:val="22"/>
              </w:rPr>
              <w:t xml:space="preserve">Wu-She </w:t>
            </w:r>
            <w:r w:rsidR="00156A35" w:rsidRPr="00D227EB">
              <w:rPr>
                <w:sz w:val="22"/>
                <w:szCs w:val="22"/>
              </w:rPr>
              <w:t>Reservoir</w:t>
            </w:r>
          </w:p>
        </w:tc>
        <w:tc>
          <w:tcPr>
            <w:tcW w:w="1667" w:type="pct"/>
          </w:tcPr>
          <w:p w14:paraId="752AA19E" w14:textId="17D0DB18" w:rsidR="001576EB" w:rsidRPr="00791EF2" w:rsidRDefault="00D227EB" w:rsidP="00DA22B5">
            <w:pPr>
              <w:pStyle w:val="MDPI42tablebody"/>
              <w:spacing w:line="240" w:lineRule="auto"/>
              <w:jc w:val="both"/>
              <w:rPr>
                <w:sz w:val="22"/>
                <w:szCs w:val="22"/>
              </w:rPr>
            </w:pPr>
            <w:r w:rsidRPr="00D227EB">
              <w:rPr>
                <w:sz w:val="22"/>
                <w:szCs w:val="22"/>
              </w:rPr>
              <w:t xml:space="preserve">(c) </w:t>
            </w:r>
            <w:r w:rsidR="00156A35" w:rsidRPr="00D227EB">
              <w:rPr>
                <w:sz w:val="22"/>
                <w:szCs w:val="22"/>
              </w:rPr>
              <w:t>Zeng-Wen Reservoir</w:t>
            </w:r>
          </w:p>
        </w:tc>
      </w:tr>
    </w:tbl>
    <w:p w14:paraId="2BD932F8" w14:textId="1138F52D" w:rsidR="001576EB" w:rsidRPr="00204EAD" w:rsidRDefault="001576EB" w:rsidP="001576EB">
      <w:pPr>
        <w:pStyle w:val="MDPI51figurecaption"/>
        <w:ind w:left="284"/>
        <w:jc w:val="center"/>
        <w:rPr>
          <w:b/>
          <w:sz w:val="22"/>
          <w:szCs w:val="22"/>
        </w:rPr>
      </w:pPr>
      <w:r w:rsidRPr="00204EAD">
        <w:rPr>
          <w:b/>
          <w:sz w:val="22"/>
          <w:szCs w:val="22"/>
        </w:rPr>
        <w:t xml:space="preserve">Figure </w:t>
      </w:r>
      <w:r w:rsidR="00D227EB">
        <w:rPr>
          <w:b/>
          <w:sz w:val="22"/>
          <w:szCs w:val="22"/>
        </w:rPr>
        <w:t>1</w:t>
      </w:r>
      <w:r w:rsidRPr="00204EAD">
        <w:rPr>
          <w:b/>
          <w:sz w:val="22"/>
          <w:szCs w:val="22"/>
        </w:rPr>
        <w:t xml:space="preserve"> </w:t>
      </w:r>
      <w:r w:rsidR="00D227EB" w:rsidRPr="00D227EB">
        <w:rPr>
          <w:b/>
          <w:sz w:val="22"/>
          <w:szCs w:val="22"/>
        </w:rPr>
        <w:t>The spatial distribution of monitorin</w:t>
      </w:r>
      <w:r w:rsidR="00D227EB">
        <w:rPr>
          <w:b/>
          <w:sz w:val="22"/>
          <w:szCs w:val="22"/>
        </w:rPr>
        <w:t>g points in the watershed area</w:t>
      </w:r>
      <w:r w:rsidRPr="00204EAD">
        <w:rPr>
          <w:b/>
          <w:sz w:val="22"/>
          <w:szCs w:val="22"/>
        </w:rPr>
        <w:t xml:space="preserve">  </w:t>
      </w:r>
    </w:p>
    <w:p w14:paraId="4F6B77ED" w14:textId="55D5CA65" w:rsidR="00E94B1B" w:rsidRDefault="00E94B1B" w:rsidP="00E70DB6">
      <w:pPr>
        <w:pStyle w:val="MDPI21heading1"/>
        <w:ind w:leftChars="142" w:left="672" w:hangingChars="176" w:hanging="388"/>
        <w:rPr>
          <w:sz w:val="22"/>
          <w:lang w:eastAsia="zh-CN"/>
        </w:rPr>
      </w:pPr>
      <w:r w:rsidRPr="00E62163">
        <w:rPr>
          <w:sz w:val="22"/>
          <w:lang w:eastAsia="zh-CN"/>
        </w:rPr>
        <w:t>2. Materials and Methods</w:t>
      </w:r>
    </w:p>
    <w:p w14:paraId="6D4388A6" w14:textId="27EF3670" w:rsidR="00791EF2" w:rsidRPr="00D227EB" w:rsidRDefault="00791EF2" w:rsidP="00D227EB">
      <w:pPr>
        <w:pStyle w:val="MDPI31text"/>
        <w:ind w:leftChars="142" w:left="284" w:firstLine="0"/>
        <w:rPr>
          <w:sz w:val="22"/>
        </w:rPr>
      </w:pPr>
      <w:r w:rsidRPr="00D227EB">
        <w:rPr>
          <w:sz w:val="22"/>
        </w:rPr>
        <w:t xml:space="preserve">This paper develops a water level and turbidity monitoring module through a Micro-electromechanical system (MEMS) sensor and an open source microcontroller (Micro Control Unit, MCU), and uses the Internet of Things technology to transmit data. Combined with the flow calculation formula, we can estimate the flow of </w:t>
      </w:r>
      <w:r w:rsidRPr="00D227EB">
        <w:rPr>
          <w:rFonts w:hint="eastAsia"/>
          <w:sz w:val="22"/>
        </w:rPr>
        <w:t>stream</w:t>
      </w:r>
      <w:r w:rsidRPr="00D227EB">
        <w:rPr>
          <w:sz w:val="22"/>
        </w:rPr>
        <w:t xml:space="preserve"> and the amount of suspended sediment, and then evaluate the production </w:t>
      </w:r>
      <w:r w:rsidRPr="00D227EB">
        <w:rPr>
          <w:sz w:val="22"/>
        </w:rPr>
        <w:lastRenderedPageBreak/>
        <w:t xml:space="preserve">and supply of sediment in important treatment areas, as well as the supply and migration of sediment under specific rainfall events. The formulas for calculating the cross-section flow and sediment transport volume are as follows. Referring to </w:t>
      </w:r>
      <w:r w:rsidR="00C73A7D" w:rsidRPr="00C73A7D">
        <w:rPr>
          <w:sz w:val="22"/>
        </w:rPr>
        <w:t>Hsu</w:t>
      </w:r>
      <w:r w:rsidR="00C73A7D">
        <w:rPr>
          <w:sz w:val="22"/>
        </w:rPr>
        <w:t>, Y.S.</w:t>
      </w:r>
      <w:r w:rsidR="00C73A7D" w:rsidRPr="00C73A7D">
        <w:rPr>
          <w:i/>
          <w:sz w:val="22"/>
        </w:rPr>
        <w:t xml:space="preserve"> et</w:t>
      </w:r>
      <w:r w:rsidR="00C73A7D">
        <w:rPr>
          <w:i/>
          <w:sz w:val="22"/>
        </w:rPr>
        <w:t xml:space="preserve"> </w:t>
      </w:r>
      <w:r w:rsidR="00C73A7D" w:rsidRPr="00C73A7D">
        <w:rPr>
          <w:i/>
          <w:sz w:val="22"/>
        </w:rPr>
        <w:t>al</w:t>
      </w:r>
      <w:r w:rsidR="00C73A7D">
        <w:rPr>
          <w:i/>
          <w:sz w:val="22"/>
        </w:rPr>
        <w:t>.</w:t>
      </w:r>
      <w:r w:rsidRPr="00D227EB">
        <w:rPr>
          <w:sz w:val="22"/>
        </w:rPr>
        <w:t xml:space="preserve"> (2007), the research results of the relationship between suspended </w:t>
      </w:r>
      <w:r w:rsidRPr="00D227EB">
        <w:rPr>
          <w:rFonts w:hint="eastAsia"/>
          <w:sz w:val="22"/>
        </w:rPr>
        <w:t>load</w:t>
      </w:r>
      <w:r w:rsidRPr="00D227EB">
        <w:rPr>
          <w:sz w:val="22"/>
        </w:rPr>
        <w:t xml:space="preserve"> turbidity(ntu) and concentration(ppm) ratio (as shown in Figure </w:t>
      </w:r>
      <w:r w:rsidR="00C73A7D">
        <w:rPr>
          <w:sz w:val="22"/>
        </w:rPr>
        <w:t>2.b</w:t>
      </w:r>
      <w:r w:rsidRPr="00D227EB">
        <w:rPr>
          <w:sz w:val="22"/>
        </w:rPr>
        <w:t>) are used to convert ntu into ppm. Then calculate the suspended load transport volume Qs of the stream</w:t>
      </w:r>
      <w:r w:rsidR="005830E7">
        <w:rPr>
          <w:sz w:val="22"/>
        </w:rPr>
        <w:t>,</w:t>
      </w:r>
      <w:r w:rsidRPr="00D227EB">
        <w:rPr>
          <w:sz w:val="22"/>
        </w:rPr>
        <w:t xml:space="preserve"> then estimate the total sediment transport volume </w:t>
      </w:r>
      <w:r w:rsidR="005830E7">
        <w:rPr>
          <w:sz w:val="22"/>
        </w:rPr>
        <w:t>through formula (3-1</w:t>
      </w:r>
      <w:r w:rsidR="005830E7" w:rsidRPr="00D227EB">
        <w:rPr>
          <w:sz w:val="22"/>
        </w:rPr>
        <w:t>)</w:t>
      </w:r>
      <w:r w:rsidR="005830E7">
        <w:rPr>
          <w:sz w:val="22"/>
        </w:rPr>
        <w:t xml:space="preserve"> </w:t>
      </w:r>
      <w:r w:rsidRPr="00D227EB">
        <w:rPr>
          <w:sz w:val="22"/>
        </w:rPr>
        <w:t>with the α of general rivers at 0.25.</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3541"/>
      </w:tblGrid>
      <w:tr w:rsidR="00E5429B" w14:paraId="5811E165" w14:textId="77777777" w:rsidTr="00FA44EF">
        <w:tc>
          <w:tcPr>
            <w:tcW w:w="3020" w:type="pct"/>
          </w:tcPr>
          <w:p w14:paraId="3ECC1848" w14:textId="4D42D7ED" w:rsidR="00204EAD" w:rsidRDefault="00E5429B" w:rsidP="00791EF2">
            <w:pPr>
              <w:rPr>
                <w:snapToGrid w:val="0"/>
                <w:szCs w:val="28"/>
              </w:rPr>
            </w:pPr>
            <w:r w:rsidRPr="00E5429B">
              <w:rPr>
                <w:snapToGrid w:val="0"/>
                <w:szCs w:val="28"/>
              </w:rPr>
              <w:drawing>
                <wp:inline distT="0" distB="0" distL="0" distR="0" wp14:anchorId="18626DDA" wp14:editId="4E249A35">
                  <wp:extent cx="3023938" cy="1638300"/>
                  <wp:effectExtent l="0" t="0" r="508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4548" cy="1644048"/>
                          </a:xfrm>
                          <a:prstGeom prst="rect">
                            <a:avLst/>
                          </a:prstGeom>
                        </pic:spPr>
                      </pic:pic>
                    </a:graphicData>
                  </a:graphic>
                </wp:inline>
              </w:drawing>
            </w:r>
          </w:p>
        </w:tc>
        <w:tc>
          <w:tcPr>
            <w:tcW w:w="1980" w:type="pct"/>
          </w:tcPr>
          <w:p w14:paraId="36CC5627" w14:textId="2A0FB349" w:rsidR="00204EAD" w:rsidRDefault="00E5429B" w:rsidP="00791EF2">
            <w:pPr>
              <w:rPr>
                <w:snapToGrid w:val="0"/>
                <w:szCs w:val="28"/>
              </w:rPr>
            </w:pPr>
            <w:r w:rsidRPr="00E5429B">
              <w:rPr>
                <w:snapToGrid w:val="0"/>
                <w:szCs w:val="28"/>
              </w:rPr>
              <w:drawing>
                <wp:inline distT="0" distB="0" distL="0" distR="0" wp14:anchorId="375DB2CA" wp14:editId="433198A8">
                  <wp:extent cx="2213719" cy="18897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0022" cy="1903677"/>
                          </a:xfrm>
                          <a:prstGeom prst="rect">
                            <a:avLst/>
                          </a:prstGeom>
                        </pic:spPr>
                      </pic:pic>
                    </a:graphicData>
                  </a:graphic>
                </wp:inline>
              </w:drawing>
            </w:r>
          </w:p>
        </w:tc>
      </w:tr>
      <w:tr w:rsidR="00E5429B" w14:paraId="788D6419" w14:textId="77777777" w:rsidTr="00FA44EF">
        <w:tc>
          <w:tcPr>
            <w:tcW w:w="3020" w:type="pct"/>
          </w:tcPr>
          <w:p w14:paraId="4100C79E" w14:textId="771A7638" w:rsidR="00204EAD" w:rsidRPr="007E56A8" w:rsidRDefault="007E56A8" w:rsidP="007E56A8">
            <w:pPr>
              <w:jc w:val="center"/>
              <w:rPr>
                <w:rFonts w:eastAsia="新細明體"/>
                <w:snapToGrid w:val="0"/>
                <w:sz w:val="18"/>
                <w:szCs w:val="28"/>
                <w:lang w:eastAsia="zh-TW"/>
              </w:rPr>
            </w:pPr>
            <w:r w:rsidRPr="007E56A8">
              <w:rPr>
                <w:rFonts w:eastAsia="新細明體" w:hint="eastAsia"/>
                <w:snapToGrid w:val="0"/>
                <w:sz w:val="18"/>
                <w:szCs w:val="28"/>
                <w:lang w:eastAsia="zh-TW"/>
              </w:rPr>
              <w:t xml:space="preserve">(a) </w:t>
            </w:r>
            <w:r w:rsidRPr="007E56A8">
              <w:rPr>
                <w:rFonts w:eastAsia="新細明體"/>
                <w:snapToGrid w:val="0"/>
                <w:sz w:val="18"/>
                <w:szCs w:val="28"/>
                <w:lang w:eastAsia="zh-TW"/>
              </w:rPr>
              <w:t>The formulas for calculating the cross-section flow</w:t>
            </w:r>
          </w:p>
        </w:tc>
        <w:tc>
          <w:tcPr>
            <w:tcW w:w="1980" w:type="pct"/>
          </w:tcPr>
          <w:p w14:paraId="55F6CFC4" w14:textId="4AE6756C" w:rsidR="00204EAD" w:rsidRPr="007E56A8" w:rsidRDefault="007E56A8" w:rsidP="007E56A8">
            <w:pPr>
              <w:rPr>
                <w:rFonts w:eastAsia="新細明體"/>
                <w:snapToGrid w:val="0"/>
                <w:sz w:val="18"/>
                <w:szCs w:val="28"/>
                <w:lang w:eastAsia="zh-TW"/>
              </w:rPr>
            </w:pPr>
            <w:r w:rsidRPr="007E56A8">
              <w:rPr>
                <w:rFonts w:eastAsia="新細明體" w:hint="eastAsia"/>
                <w:snapToGrid w:val="0"/>
                <w:sz w:val="18"/>
                <w:szCs w:val="28"/>
                <w:lang w:eastAsia="zh-TW"/>
              </w:rPr>
              <w:t>(b)</w:t>
            </w:r>
            <w:r w:rsidRPr="007E56A8">
              <w:rPr>
                <w:snapToGrid w:val="0"/>
                <w:sz w:val="18"/>
                <w:szCs w:val="22"/>
              </w:rPr>
              <w:t>turbidity and concentration ratio</w:t>
            </w:r>
          </w:p>
        </w:tc>
      </w:tr>
    </w:tbl>
    <w:p w14:paraId="25A10103" w14:textId="054A6D9C" w:rsidR="00791EF2" w:rsidRPr="001576EB" w:rsidRDefault="001576EB" w:rsidP="001576EB">
      <w:pPr>
        <w:pStyle w:val="MDPI51figurecaption"/>
        <w:ind w:left="284"/>
        <w:jc w:val="center"/>
        <w:rPr>
          <w:b/>
          <w:sz w:val="22"/>
          <w:szCs w:val="22"/>
        </w:rPr>
      </w:pPr>
      <w:r w:rsidRPr="00204EAD">
        <w:rPr>
          <w:b/>
          <w:sz w:val="22"/>
          <w:szCs w:val="22"/>
        </w:rPr>
        <w:t xml:space="preserve">Figure </w:t>
      </w:r>
      <w:r w:rsidR="00C73A7D">
        <w:rPr>
          <w:b/>
          <w:sz w:val="22"/>
          <w:szCs w:val="22"/>
        </w:rPr>
        <w:t>2</w:t>
      </w:r>
      <w:r w:rsidRPr="00204EAD">
        <w:rPr>
          <w:b/>
          <w:sz w:val="22"/>
          <w:szCs w:val="22"/>
        </w:rPr>
        <w:t xml:space="preserve"> </w:t>
      </w:r>
      <w:r w:rsidR="00C73A7D" w:rsidRPr="00C73A7D">
        <w:rPr>
          <w:b/>
          <w:sz w:val="22"/>
          <w:szCs w:val="22"/>
        </w:rPr>
        <w:t xml:space="preserve">Schematic diagram of the calculation method of flow and </w:t>
      </w:r>
      <w:r w:rsidR="00C73A7D">
        <w:rPr>
          <w:b/>
          <w:sz w:val="22"/>
          <w:szCs w:val="22"/>
        </w:rPr>
        <w:t>sediment</w:t>
      </w:r>
      <w:r w:rsidR="00C73A7D" w:rsidRPr="00C73A7D">
        <w:rPr>
          <w:b/>
          <w:sz w:val="22"/>
          <w:szCs w:val="22"/>
        </w:rPr>
        <w:t xml:space="preserve"> </w:t>
      </w:r>
    </w:p>
    <w:tbl>
      <w:tblPr>
        <w:tblW w:w="5000" w:type="pct"/>
        <w:jc w:val="right"/>
        <w:tblLook w:val="01E0" w:firstRow="1" w:lastRow="1" w:firstColumn="1" w:lastColumn="1" w:noHBand="0" w:noVBand="0"/>
      </w:tblPr>
      <w:tblGrid>
        <w:gridCol w:w="5610"/>
        <w:gridCol w:w="2696"/>
      </w:tblGrid>
      <w:tr w:rsidR="00791EF2" w:rsidRPr="00665FE9" w14:paraId="55457315" w14:textId="77777777" w:rsidTr="00665FE9">
        <w:trPr>
          <w:trHeight w:val="397"/>
          <w:jc w:val="right"/>
        </w:trPr>
        <w:tc>
          <w:tcPr>
            <w:tcW w:w="3377" w:type="pct"/>
            <w:shd w:val="clear" w:color="auto" w:fill="auto"/>
            <w:vAlign w:val="center"/>
          </w:tcPr>
          <w:p w14:paraId="7130C43D" w14:textId="77777777" w:rsidR="00791EF2" w:rsidRPr="00665FE9" w:rsidRDefault="00791EF2" w:rsidP="00665FE9">
            <w:pPr>
              <w:autoSpaceDE w:val="0"/>
              <w:autoSpaceDN w:val="0"/>
              <w:adjustRightInd w:val="0"/>
              <w:spacing w:line="220" w:lineRule="exact"/>
              <w:ind w:leftChars="455" w:left="910" w:firstLine="480"/>
              <w:rPr>
                <w:rFonts w:ascii="Cambria Math" w:hAnsi="Cambria Math"/>
                <w:kern w:val="2"/>
                <w:sz w:val="22"/>
                <w:szCs w:val="22"/>
                <w:oMath/>
              </w:rPr>
            </w:pPr>
            <m:oMathPara>
              <m:oMath>
                <m:r>
                  <m:rPr>
                    <m:sty m:val="p"/>
                  </m:rPr>
                  <w:rPr>
                    <w:rFonts w:ascii="Cambria Math" w:hAnsi="Cambria Math"/>
                    <w:kern w:val="2"/>
                    <w:sz w:val="22"/>
                    <w:szCs w:val="22"/>
                  </w:rPr>
                  <m:t>QT</m:t>
                </m:r>
                <m:r>
                  <m:rPr>
                    <m:sty m:val="p"/>
                  </m:rPr>
                  <w:rPr>
                    <w:rFonts w:ascii="Cambria Math" w:hAnsi="Cambria Math"/>
                    <w:kern w:val="2"/>
                    <w:sz w:val="22"/>
                    <w:szCs w:val="22"/>
                  </w:rPr>
                  <m:t>＝</m:t>
                </m:r>
                <m:r>
                  <m:rPr>
                    <m:sty m:val="p"/>
                  </m:rPr>
                  <w:rPr>
                    <w:rFonts w:ascii="Cambria Math" w:hAnsi="Cambria Math"/>
                    <w:kern w:val="2"/>
                    <w:sz w:val="22"/>
                    <w:szCs w:val="22"/>
                  </w:rPr>
                  <m:t>Qs</m:t>
                </m:r>
                <m:r>
                  <m:rPr>
                    <m:sty m:val="p"/>
                  </m:rPr>
                  <w:rPr>
                    <w:rFonts w:ascii="Cambria Math" w:hAnsi="Cambria Math"/>
                    <w:kern w:val="2"/>
                    <w:sz w:val="22"/>
                    <w:szCs w:val="22"/>
                  </w:rPr>
                  <m:t>＋</m:t>
                </m:r>
                <m:r>
                  <m:rPr>
                    <m:sty m:val="p"/>
                  </m:rPr>
                  <w:rPr>
                    <w:rFonts w:ascii="Cambria Math" w:hAnsi="Cambria Math"/>
                    <w:kern w:val="2"/>
                    <w:sz w:val="22"/>
                    <w:szCs w:val="22"/>
                  </w:rPr>
                  <m:t>Qb</m:t>
                </m:r>
                <m:r>
                  <m:rPr>
                    <m:sty m:val="p"/>
                  </m:rPr>
                  <w:rPr>
                    <w:rFonts w:ascii="Cambria Math" w:hAnsi="Cambria Math"/>
                    <w:kern w:val="2"/>
                    <w:sz w:val="22"/>
                    <w:szCs w:val="22"/>
                  </w:rPr>
                  <m:t>＝</m:t>
                </m:r>
                <m:r>
                  <m:rPr>
                    <m:sty m:val="p"/>
                  </m:rPr>
                  <w:rPr>
                    <w:rFonts w:ascii="Cambria Math" w:hAnsi="Cambria Math" w:hint="eastAsia"/>
                    <w:kern w:val="2"/>
                    <w:sz w:val="22"/>
                    <w:szCs w:val="22"/>
                  </w:rPr>
                  <m:t>(</m:t>
                </m:r>
                <m:r>
                  <m:rPr>
                    <m:sty m:val="p"/>
                  </m:rPr>
                  <w:rPr>
                    <w:rFonts w:ascii="Cambria Math" w:hAnsi="Cambria Math"/>
                    <w:kern w:val="2"/>
                    <w:sz w:val="22"/>
                    <w:szCs w:val="22"/>
                  </w:rPr>
                  <m:t>1+</m:t>
                </m:r>
                <m:r>
                  <m:rPr>
                    <m:sty m:val="p"/>
                  </m:rPr>
                  <w:rPr>
                    <w:rFonts w:ascii="Cambria Math" w:hAnsi="Cambria Math" w:hint="eastAsia"/>
                    <w:kern w:val="2"/>
                    <w:sz w:val="22"/>
                    <w:szCs w:val="22"/>
                  </w:rPr>
                  <m:t>α</m:t>
                </m:r>
                <m:r>
                  <m:rPr>
                    <m:sty m:val="p"/>
                  </m:rPr>
                  <w:rPr>
                    <w:rFonts w:ascii="Cambria Math" w:hAnsi="Cambria Math" w:hint="eastAsia"/>
                    <w:kern w:val="2"/>
                    <w:sz w:val="22"/>
                    <w:szCs w:val="22"/>
                  </w:rPr>
                  <m:t>)</m:t>
                </m:r>
                <m:r>
                  <m:rPr>
                    <m:sty m:val="p"/>
                  </m:rPr>
                  <w:rPr>
                    <w:rFonts w:ascii="Cambria Math" w:hAnsi="Cambria Math"/>
                    <w:kern w:val="2"/>
                    <w:sz w:val="22"/>
                    <w:szCs w:val="22"/>
                  </w:rPr>
                  <m:t>×Qs</m:t>
                </m:r>
              </m:oMath>
            </m:oMathPara>
          </w:p>
        </w:tc>
        <w:tc>
          <w:tcPr>
            <w:tcW w:w="1623" w:type="pct"/>
            <w:shd w:val="clear" w:color="auto" w:fill="auto"/>
            <w:vAlign w:val="center"/>
          </w:tcPr>
          <w:p w14:paraId="76E54999" w14:textId="5AB37A0C" w:rsidR="00791EF2" w:rsidRPr="00665FE9" w:rsidRDefault="00791EF2" w:rsidP="005830E7">
            <w:pPr>
              <w:tabs>
                <w:tab w:val="num" w:pos="880"/>
              </w:tabs>
              <w:adjustRightInd w:val="0"/>
              <w:spacing w:beforeLines="50" w:before="163" w:afterLines="50" w:after="163" w:line="220" w:lineRule="exact"/>
              <w:ind w:firstLine="522"/>
              <w:jc w:val="right"/>
              <w:rPr>
                <w:snapToGrid w:val="0"/>
                <w:sz w:val="18"/>
                <w:szCs w:val="28"/>
              </w:rPr>
            </w:pPr>
            <w:r w:rsidRPr="00665FE9">
              <w:rPr>
                <w:snapToGrid w:val="0"/>
                <w:sz w:val="18"/>
                <w:szCs w:val="28"/>
              </w:rPr>
              <w:t>(</w:t>
            </w:r>
            <w:r w:rsidR="005830E7">
              <w:rPr>
                <w:snapToGrid w:val="0"/>
                <w:sz w:val="18"/>
                <w:szCs w:val="28"/>
              </w:rPr>
              <w:t>3-1</w:t>
            </w:r>
            <w:r w:rsidRPr="00665FE9">
              <w:rPr>
                <w:snapToGrid w:val="0"/>
                <w:sz w:val="18"/>
                <w:szCs w:val="28"/>
              </w:rPr>
              <w:t>)</w:t>
            </w:r>
          </w:p>
        </w:tc>
      </w:tr>
    </w:tbl>
    <w:p w14:paraId="252DBC77" w14:textId="77777777" w:rsidR="00E94B1B" w:rsidRPr="00E62163" w:rsidRDefault="00E94B1B" w:rsidP="00E70DB6">
      <w:pPr>
        <w:pStyle w:val="MDPI21heading1"/>
        <w:ind w:leftChars="142" w:left="672" w:hangingChars="176" w:hanging="388"/>
        <w:rPr>
          <w:sz w:val="22"/>
          <w:lang w:eastAsia="zh-CN"/>
        </w:rPr>
      </w:pPr>
      <w:r w:rsidRPr="00E62163">
        <w:rPr>
          <w:sz w:val="22"/>
          <w:lang w:eastAsia="zh-CN"/>
        </w:rPr>
        <w:t>3. Results</w:t>
      </w:r>
      <w:r w:rsidR="00E70DB6">
        <w:rPr>
          <w:sz w:val="22"/>
          <w:lang w:eastAsia="zh-CN"/>
        </w:rPr>
        <w:t xml:space="preserve"> and </w:t>
      </w:r>
      <w:r w:rsidR="00E70DB6" w:rsidRPr="00E62163">
        <w:rPr>
          <w:sz w:val="22"/>
          <w:lang w:eastAsia="zh-CN"/>
        </w:rPr>
        <w:t>Discussion</w:t>
      </w:r>
    </w:p>
    <w:p w14:paraId="6C5FD9F8" w14:textId="24A359A4" w:rsidR="00791EF2" w:rsidRPr="00665FE9" w:rsidRDefault="00665FE9" w:rsidP="00665FE9">
      <w:pPr>
        <w:pStyle w:val="MDPI31text"/>
        <w:ind w:leftChars="142" w:left="284" w:firstLine="0"/>
        <w:rPr>
          <w:sz w:val="22"/>
        </w:rPr>
      </w:pPr>
      <w:r w:rsidRPr="00791EF2">
        <w:rPr>
          <w:sz w:val="22"/>
        </w:rPr>
        <w:t>The monitoring results during the flood season of 2021</w:t>
      </w:r>
      <w:r w:rsidR="00FA44EF">
        <w:rPr>
          <w:sz w:val="22"/>
        </w:rPr>
        <w:t xml:space="preserve"> as </w:t>
      </w:r>
      <w:r w:rsidR="00FA44EF" w:rsidRPr="00791EF2">
        <w:rPr>
          <w:sz w:val="22"/>
        </w:rPr>
        <w:t xml:space="preserve">show </w:t>
      </w:r>
      <w:r w:rsidR="00FA44EF">
        <w:rPr>
          <w:sz w:val="22"/>
        </w:rPr>
        <w:t xml:space="preserve">in figure </w:t>
      </w:r>
      <w:r w:rsidR="00C73A7D">
        <w:rPr>
          <w:sz w:val="22"/>
        </w:rPr>
        <w:t>3 to figure 5</w:t>
      </w:r>
      <w:r w:rsidR="00FA44EF">
        <w:rPr>
          <w:sz w:val="22"/>
        </w:rPr>
        <w:t>,</w:t>
      </w:r>
      <w:r w:rsidR="00C73A7D">
        <w:rPr>
          <w:sz w:val="22"/>
        </w:rPr>
        <w:t xml:space="preserve"> and</w:t>
      </w:r>
      <w:r w:rsidRPr="00791EF2">
        <w:rPr>
          <w:sz w:val="22"/>
        </w:rPr>
        <w:t xml:space="preserve"> the amount of </w:t>
      </w:r>
      <w:r w:rsidR="005830E7">
        <w:rPr>
          <w:sz w:val="22"/>
        </w:rPr>
        <w:t>sediment</w:t>
      </w:r>
      <w:r w:rsidRPr="00791EF2">
        <w:rPr>
          <w:sz w:val="22"/>
        </w:rPr>
        <w:t xml:space="preserve"> entering the reservoirs of De-Ji, Zeng-Wen, and Wu-She reservoirs was approximately 204,000 cubic meters, 1.213 million cubic meters, and 603,000 cubic meters, respectively, as shown in Table </w:t>
      </w:r>
      <w:r w:rsidR="005830E7">
        <w:rPr>
          <w:sz w:val="22"/>
        </w:rPr>
        <w:t>1</w:t>
      </w:r>
      <w:r w:rsidRPr="00791EF2">
        <w:rPr>
          <w:sz w:val="22"/>
        </w:rPr>
        <w:t xml:space="preserve">. Typhoon rainfall events are the main source of </w:t>
      </w:r>
      <w:r w:rsidR="005830E7">
        <w:rPr>
          <w:sz w:val="22"/>
        </w:rPr>
        <w:t>sediment</w:t>
      </w:r>
      <w:r w:rsidRPr="00791EF2">
        <w:rPr>
          <w:sz w:val="22"/>
        </w:rPr>
        <w:t xml:space="preserve"> for reservoir </w:t>
      </w:r>
      <w:proofErr w:type="gramStart"/>
      <w:r w:rsidRPr="00791EF2">
        <w:rPr>
          <w:sz w:val="22"/>
        </w:rPr>
        <w:t>siltation..</w:t>
      </w:r>
      <w:proofErr w:type="gramEnd"/>
    </w:p>
    <w:p w14:paraId="7F624519" w14:textId="67DDC1D2" w:rsidR="00791EF2" w:rsidRPr="00283C37" w:rsidRDefault="00E22166" w:rsidP="00204EAD">
      <w:pPr>
        <w:pStyle w:val="MDPI52figure"/>
      </w:pPr>
      <w:r w:rsidRPr="00E22166">
        <w:rPr>
          <w:noProof/>
        </w:rPr>
        <w:drawing>
          <wp:inline distT="0" distB="0" distL="0" distR="0" wp14:anchorId="4161811C" wp14:editId="78003832">
            <wp:extent cx="5274310" cy="2247265"/>
            <wp:effectExtent l="0" t="0" r="2540" b="63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47265"/>
                    </a:xfrm>
                    <a:prstGeom prst="rect">
                      <a:avLst/>
                    </a:prstGeom>
                  </pic:spPr>
                </pic:pic>
              </a:graphicData>
            </a:graphic>
          </wp:inline>
        </w:drawing>
      </w:r>
    </w:p>
    <w:p w14:paraId="7801D467" w14:textId="2E7A61AD" w:rsidR="00791EF2" w:rsidRPr="00204EAD" w:rsidRDefault="00791EF2" w:rsidP="00204EAD">
      <w:pPr>
        <w:pStyle w:val="MDPI51figurecaption"/>
        <w:ind w:left="284"/>
        <w:jc w:val="center"/>
        <w:rPr>
          <w:b/>
          <w:sz w:val="22"/>
          <w:szCs w:val="22"/>
        </w:rPr>
      </w:pPr>
      <w:r w:rsidRPr="00204EAD">
        <w:rPr>
          <w:b/>
          <w:sz w:val="22"/>
          <w:szCs w:val="22"/>
        </w:rPr>
        <w:t xml:space="preserve">Figure </w:t>
      </w:r>
      <w:r w:rsidR="00C73A7D">
        <w:rPr>
          <w:b/>
          <w:sz w:val="22"/>
          <w:szCs w:val="22"/>
        </w:rPr>
        <w:t>3</w:t>
      </w:r>
      <w:r w:rsidRPr="00204EAD">
        <w:rPr>
          <w:b/>
          <w:sz w:val="22"/>
          <w:szCs w:val="22"/>
        </w:rPr>
        <w:t xml:space="preserve"> Flow and sediment transport changes of De-Ji Reservoir</w:t>
      </w:r>
    </w:p>
    <w:p w14:paraId="793E6B3A" w14:textId="0E87A75D" w:rsidR="00791EF2" w:rsidRPr="00283C37" w:rsidRDefault="00426141" w:rsidP="00204EAD">
      <w:pPr>
        <w:pStyle w:val="MDPI52figure"/>
      </w:pPr>
      <w:r w:rsidRPr="00426141">
        <w:rPr>
          <w:noProof/>
        </w:rPr>
        <w:lastRenderedPageBreak/>
        <w:drawing>
          <wp:inline distT="0" distB="0" distL="0" distR="0" wp14:anchorId="052C4F17" wp14:editId="27C66975">
            <wp:extent cx="5274310" cy="2378710"/>
            <wp:effectExtent l="0" t="0" r="2540" b="25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78710"/>
                    </a:xfrm>
                    <a:prstGeom prst="rect">
                      <a:avLst/>
                    </a:prstGeom>
                  </pic:spPr>
                </pic:pic>
              </a:graphicData>
            </a:graphic>
          </wp:inline>
        </w:drawing>
      </w:r>
    </w:p>
    <w:p w14:paraId="6AA47AFE" w14:textId="4D1FB11C" w:rsidR="00791EF2" w:rsidRPr="00204EAD" w:rsidRDefault="00791EF2" w:rsidP="00204EAD">
      <w:pPr>
        <w:pStyle w:val="MDPI51figurecaption"/>
        <w:ind w:left="284"/>
        <w:jc w:val="center"/>
        <w:rPr>
          <w:b/>
          <w:sz w:val="22"/>
          <w:szCs w:val="22"/>
        </w:rPr>
      </w:pPr>
      <w:r w:rsidRPr="00204EAD">
        <w:rPr>
          <w:b/>
          <w:sz w:val="22"/>
          <w:szCs w:val="22"/>
        </w:rPr>
        <w:t xml:space="preserve">Figure </w:t>
      </w:r>
      <w:r w:rsidR="00C73A7D">
        <w:rPr>
          <w:b/>
          <w:sz w:val="22"/>
          <w:szCs w:val="22"/>
        </w:rPr>
        <w:t>4</w:t>
      </w:r>
      <w:r w:rsidRPr="00204EAD">
        <w:rPr>
          <w:b/>
          <w:sz w:val="22"/>
          <w:szCs w:val="22"/>
        </w:rPr>
        <w:t xml:space="preserve"> Flow and sediment transport changes of Wu-She Reservoir</w:t>
      </w:r>
    </w:p>
    <w:p w14:paraId="430F43E8" w14:textId="65A551BA" w:rsidR="00791EF2" w:rsidRPr="00283C37" w:rsidRDefault="00426141" w:rsidP="00204EAD">
      <w:pPr>
        <w:pStyle w:val="MDPI52figure"/>
      </w:pPr>
      <w:r w:rsidRPr="00426141">
        <w:rPr>
          <w:noProof/>
        </w:rPr>
        <w:drawing>
          <wp:inline distT="0" distB="0" distL="0" distR="0" wp14:anchorId="123D486E" wp14:editId="3992DAF2">
            <wp:extent cx="5274310" cy="2200910"/>
            <wp:effectExtent l="0" t="0" r="254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00910"/>
                    </a:xfrm>
                    <a:prstGeom prst="rect">
                      <a:avLst/>
                    </a:prstGeom>
                  </pic:spPr>
                </pic:pic>
              </a:graphicData>
            </a:graphic>
          </wp:inline>
        </w:drawing>
      </w:r>
    </w:p>
    <w:p w14:paraId="3BACE8C2" w14:textId="55DADB77" w:rsidR="00791EF2" w:rsidRPr="00204EAD" w:rsidRDefault="00C73A7D" w:rsidP="00204EAD">
      <w:pPr>
        <w:pStyle w:val="MDPI51figurecaption"/>
        <w:ind w:left="284"/>
        <w:jc w:val="center"/>
        <w:rPr>
          <w:b/>
          <w:sz w:val="22"/>
          <w:szCs w:val="22"/>
        </w:rPr>
      </w:pPr>
      <w:r>
        <w:rPr>
          <w:b/>
          <w:sz w:val="22"/>
          <w:szCs w:val="22"/>
        </w:rPr>
        <w:t>Figure 5</w:t>
      </w:r>
      <w:r w:rsidR="00791EF2" w:rsidRPr="00204EAD">
        <w:rPr>
          <w:b/>
          <w:sz w:val="22"/>
          <w:szCs w:val="22"/>
        </w:rPr>
        <w:t xml:space="preserve"> Flow and sediment transport changes of Zeng-Wen Reservoir</w:t>
      </w:r>
    </w:p>
    <w:p w14:paraId="7E381DDA" w14:textId="50269AFF" w:rsidR="00791EF2" w:rsidRPr="00204EAD" w:rsidRDefault="00791EF2" w:rsidP="00204EAD">
      <w:pPr>
        <w:pStyle w:val="MDPI41tablecaption"/>
        <w:ind w:left="0"/>
        <w:jc w:val="center"/>
        <w:rPr>
          <w:b/>
          <w:sz w:val="22"/>
        </w:rPr>
      </w:pPr>
      <w:r w:rsidRPr="00204EAD">
        <w:rPr>
          <w:b/>
          <w:sz w:val="22"/>
        </w:rPr>
        <w:t>Table</w:t>
      </w:r>
      <w:r w:rsidR="005830E7">
        <w:rPr>
          <w:b/>
          <w:sz w:val="22"/>
        </w:rPr>
        <w:t xml:space="preserve"> 1</w:t>
      </w:r>
      <w:r w:rsidRPr="00204EAD">
        <w:rPr>
          <w:b/>
          <w:sz w:val="22"/>
        </w:rPr>
        <w:t xml:space="preserve"> Monitoring sediment Volume of Three Reservoirs including De-Ji and other reservoirs </w:t>
      </w:r>
    </w:p>
    <w:tbl>
      <w:tblPr>
        <w:tblStyle w:val="a3"/>
        <w:tblW w:w="5000" w:type="pct"/>
        <w:jc w:val="center"/>
        <w:tblLook w:val="04A0" w:firstRow="1" w:lastRow="0" w:firstColumn="1" w:lastColumn="0" w:noHBand="0" w:noVBand="1"/>
      </w:tblPr>
      <w:tblGrid>
        <w:gridCol w:w="1523"/>
        <w:gridCol w:w="2185"/>
        <w:gridCol w:w="2099"/>
        <w:gridCol w:w="2489"/>
      </w:tblGrid>
      <w:tr w:rsidR="00791EF2" w:rsidRPr="00283C37" w14:paraId="0D47CBF8" w14:textId="77777777" w:rsidTr="00204EAD">
        <w:trPr>
          <w:trHeight w:val="360"/>
          <w:jc w:val="center"/>
        </w:trPr>
        <w:tc>
          <w:tcPr>
            <w:tcW w:w="918" w:type="pct"/>
            <w:vMerge w:val="restart"/>
            <w:vAlign w:val="center"/>
          </w:tcPr>
          <w:p w14:paraId="49DE208B" w14:textId="77777777" w:rsidR="00791EF2" w:rsidRPr="00204EAD" w:rsidRDefault="00791EF2" w:rsidP="00204EAD">
            <w:pPr>
              <w:pStyle w:val="MDPI42tablebody"/>
              <w:spacing w:line="240" w:lineRule="auto"/>
              <w:rPr>
                <w:b/>
                <w:snapToGrid/>
                <w:sz w:val="22"/>
                <w:szCs w:val="22"/>
              </w:rPr>
            </w:pPr>
            <w:r w:rsidRPr="00204EAD">
              <w:rPr>
                <w:b/>
                <w:snapToGrid/>
                <w:sz w:val="22"/>
                <w:szCs w:val="22"/>
              </w:rPr>
              <w:t>Reservoir</w:t>
            </w:r>
          </w:p>
          <w:p w14:paraId="69934125" w14:textId="77777777" w:rsidR="00791EF2" w:rsidRPr="00204EAD" w:rsidRDefault="00791EF2" w:rsidP="00204EAD">
            <w:pPr>
              <w:pStyle w:val="MDPI42tablebody"/>
              <w:spacing w:line="240" w:lineRule="auto"/>
              <w:rPr>
                <w:b/>
                <w:snapToGrid/>
                <w:sz w:val="22"/>
                <w:szCs w:val="22"/>
              </w:rPr>
            </w:pPr>
            <w:r w:rsidRPr="00204EAD">
              <w:rPr>
                <w:b/>
                <w:snapToGrid/>
                <w:sz w:val="22"/>
                <w:szCs w:val="22"/>
              </w:rPr>
              <w:t>watershed</w:t>
            </w:r>
          </w:p>
        </w:tc>
        <w:tc>
          <w:tcPr>
            <w:tcW w:w="1317" w:type="pct"/>
            <w:vMerge w:val="restart"/>
            <w:vAlign w:val="center"/>
          </w:tcPr>
          <w:p w14:paraId="513721AD" w14:textId="77777777" w:rsidR="00791EF2" w:rsidRPr="00204EAD" w:rsidRDefault="00791EF2" w:rsidP="00204EAD">
            <w:pPr>
              <w:pStyle w:val="MDPI42tablebody"/>
              <w:spacing w:line="240" w:lineRule="auto"/>
              <w:rPr>
                <w:b/>
                <w:snapToGrid/>
                <w:sz w:val="22"/>
                <w:szCs w:val="22"/>
              </w:rPr>
            </w:pPr>
            <w:r w:rsidRPr="00204EAD">
              <w:rPr>
                <w:b/>
                <w:snapToGrid/>
                <w:sz w:val="22"/>
                <w:szCs w:val="22"/>
              </w:rPr>
              <w:t>M</w:t>
            </w:r>
            <w:r w:rsidRPr="00204EAD">
              <w:rPr>
                <w:rFonts w:hint="eastAsia"/>
                <w:b/>
                <w:snapToGrid/>
                <w:sz w:val="22"/>
                <w:szCs w:val="22"/>
              </w:rPr>
              <w:t xml:space="preserve">onitoring </w:t>
            </w:r>
            <w:r w:rsidRPr="00204EAD">
              <w:rPr>
                <w:b/>
                <w:snapToGrid/>
                <w:sz w:val="22"/>
                <w:szCs w:val="22"/>
              </w:rPr>
              <w:t>period</w:t>
            </w:r>
          </w:p>
        </w:tc>
        <w:tc>
          <w:tcPr>
            <w:tcW w:w="1265" w:type="pct"/>
            <w:vMerge w:val="restart"/>
            <w:vAlign w:val="center"/>
          </w:tcPr>
          <w:p w14:paraId="4B13BFA4" w14:textId="77777777" w:rsidR="00791EF2" w:rsidRPr="00204EAD" w:rsidRDefault="00791EF2" w:rsidP="00204EAD">
            <w:pPr>
              <w:pStyle w:val="MDPI42tablebody"/>
              <w:spacing w:line="240" w:lineRule="auto"/>
              <w:rPr>
                <w:b/>
                <w:snapToGrid/>
                <w:sz w:val="22"/>
                <w:szCs w:val="22"/>
              </w:rPr>
            </w:pPr>
            <w:r w:rsidRPr="00204EAD">
              <w:rPr>
                <w:rFonts w:hint="eastAsia"/>
                <w:b/>
                <w:snapToGrid/>
                <w:sz w:val="22"/>
                <w:szCs w:val="22"/>
              </w:rPr>
              <w:t>r</w:t>
            </w:r>
            <w:r w:rsidRPr="00204EAD">
              <w:rPr>
                <w:b/>
                <w:snapToGrid/>
                <w:sz w:val="22"/>
                <w:szCs w:val="22"/>
              </w:rPr>
              <w:t>ainfall</w:t>
            </w:r>
            <w:r w:rsidRPr="00204EAD">
              <w:rPr>
                <w:rFonts w:hint="eastAsia"/>
                <w:b/>
                <w:snapToGrid/>
                <w:sz w:val="22"/>
                <w:szCs w:val="22"/>
              </w:rPr>
              <w:t>(mm)</w:t>
            </w:r>
          </w:p>
        </w:tc>
        <w:tc>
          <w:tcPr>
            <w:tcW w:w="1500" w:type="pct"/>
            <w:vMerge w:val="restart"/>
            <w:vAlign w:val="center"/>
          </w:tcPr>
          <w:p w14:paraId="4FABCF98" w14:textId="77777777" w:rsidR="00791EF2" w:rsidRPr="00204EAD" w:rsidRDefault="00791EF2" w:rsidP="00204EAD">
            <w:pPr>
              <w:pStyle w:val="MDPI42tablebody"/>
              <w:spacing w:line="240" w:lineRule="auto"/>
              <w:rPr>
                <w:b/>
                <w:snapToGrid/>
                <w:sz w:val="22"/>
                <w:szCs w:val="22"/>
              </w:rPr>
            </w:pPr>
            <w:r w:rsidRPr="00204EAD">
              <w:rPr>
                <w:b/>
                <w:snapToGrid/>
                <w:sz w:val="22"/>
                <w:szCs w:val="22"/>
              </w:rPr>
              <w:t>T</w:t>
            </w:r>
            <w:r w:rsidRPr="00204EAD">
              <w:rPr>
                <w:rFonts w:hint="eastAsia"/>
                <w:b/>
                <w:snapToGrid/>
                <w:sz w:val="22"/>
                <w:szCs w:val="22"/>
              </w:rPr>
              <w:t xml:space="preserve">otal </w:t>
            </w:r>
            <w:r w:rsidRPr="00204EAD">
              <w:rPr>
                <w:b/>
                <w:snapToGrid/>
                <w:sz w:val="22"/>
                <w:szCs w:val="22"/>
              </w:rPr>
              <w:t xml:space="preserve">sediment outflow </w:t>
            </w:r>
            <w:proofErr w:type="gramStart"/>
            <w:r w:rsidRPr="00204EAD">
              <w:rPr>
                <w:b/>
                <w:snapToGrid/>
                <w:sz w:val="22"/>
                <w:szCs w:val="22"/>
              </w:rPr>
              <w:t>volume</w:t>
            </w:r>
            <w:r w:rsidRPr="00204EAD">
              <w:rPr>
                <w:rFonts w:hint="eastAsia"/>
                <w:b/>
                <w:snapToGrid/>
                <w:sz w:val="22"/>
                <w:szCs w:val="22"/>
              </w:rPr>
              <w:t>(</w:t>
            </w:r>
            <w:proofErr w:type="gramEnd"/>
            <w:r w:rsidRPr="00204EAD">
              <w:rPr>
                <w:b/>
                <w:snapToGrid/>
                <w:sz w:val="22"/>
                <w:szCs w:val="22"/>
              </w:rPr>
              <w:t xml:space="preserve">10k </w:t>
            </w:r>
            <w:r w:rsidRPr="00204EAD">
              <w:rPr>
                <w:rFonts w:hint="eastAsia"/>
                <w:b/>
                <w:snapToGrid/>
                <w:sz w:val="22"/>
                <w:szCs w:val="22"/>
              </w:rPr>
              <w:t>m</w:t>
            </w:r>
            <w:r w:rsidRPr="005830E7">
              <w:rPr>
                <w:rFonts w:hint="eastAsia"/>
                <w:b/>
                <w:snapToGrid/>
                <w:sz w:val="22"/>
                <w:szCs w:val="22"/>
                <w:vertAlign w:val="superscript"/>
              </w:rPr>
              <w:t>3</w:t>
            </w:r>
            <w:r w:rsidRPr="00204EAD">
              <w:rPr>
                <w:rFonts w:hint="eastAsia"/>
                <w:b/>
                <w:snapToGrid/>
                <w:sz w:val="22"/>
                <w:szCs w:val="22"/>
              </w:rPr>
              <w:t>)</w:t>
            </w:r>
          </w:p>
        </w:tc>
      </w:tr>
      <w:tr w:rsidR="00791EF2" w:rsidRPr="00283C37" w14:paraId="4EA410FF" w14:textId="77777777" w:rsidTr="00204EAD">
        <w:trPr>
          <w:trHeight w:val="360"/>
          <w:jc w:val="center"/>
        </w:trPr>
        <w:tc>
          <w:tcPr>
            <w:tcW w:w="918" w:type="pct"/>
            <w:vMerge/>
            <w:vAlign w:val="center"/>
          </w:tcPr>
          <w:p w14:paraId="1668A317" w14:textId="77777777" w:rsidR="00791EF2" w:rsidRPr="00283C37" w:rsidRDefault="00791EF2" w:rsidP="007961B3">
            <w:pPr>
              <w:jc w:val="center"/>
              <w:rPr>
                <w:sz w:val="22"/>
              </w:rPr>
            </w:pPr>
          </w:p>
        </w:tc>
        <w:tc>
          <w:tcPr>
            <w:tcW w:w="1317" w:type="pct"/>
            <w:vMerge/>
            <w:vAlign w:val="center"/>
          </w:tcPr>
          <w:p w14:paraId="47457376" w14:textId="77777777" w:rsidR="00791EF2" w:rsidRPr="00283C37" w:rsidRDefault="00791EF2" w:rsidP="007961B3">
            <w:pPr>
              <w:jc w:val="center"/>
              <w:rPr>
                <w:sz w:val="22"/>
              </w:rPr>
            </w:pPr>
          </w:p>
        </w:tc>
        <w:tc>
          <w:tcPr>
            <w:tcW w:w="1265" w:type="pct"/>
            <w:vMerge/>
            <w:vAlign w:val="center"/>
          </w:tcPr>
          <w:p w14:paraId="4E6B41FE" w14:textId="77777777" w:rsidR="00791EF2" w:rsidRPr="00283C37" w:rsidRDefault="00791EF2" w:rsidP="007961B3">
            <w:pPr>
              <w:jc w:val="center"/>
              <w:rPr>
                <w:sz w:val="22"/>
              </w:rPr>
            </w:pPr>
          </w:p>
        </w:tc>
        <w:tc>
          <w:tcPr>
            <w:tcW w:w="1500" w:type="pct"/>
            <w:vMerge/>
            <w:vAlign w:val="center"/>
          </w:tcPr>
          <w:p w14:paraId="03CF9C19" w14:textId="77777777" w:rsidR="00791EF2" w:rsidRPr="00283C37" w:rsidRDefault="00791EF2" w:rsidP="007961B3">
            <w:pPr>
              <w:jc w:val="center"/>
              <w:rPr>
                <w:sz w:val="22"/>
              </w:rPr>
            </w:pPr>
          </w:p>
        </w:tc>
      </w:tr>
      <w:tr w:rsidR="00791EF2" w:rsidRPr="00283C37" w14:paraId="15A1F554" w14:textId="77777777" w:rsidTr="00204EAD">
        <w:trPr>
          <w:trHeight w:val="20"/>
          <w:jc w:val="center"/>
        </w:trPr>
        <w:tc>
          <w:tcPr>
            <w:tcW w:w="918" w:type="pct"/>
            <w:vAlign w:val="center"/>
          </w:tcPr>
          <w:p w14:paraId="072CDD08" w14:textId="77777777" w:rsidR="00791EF2" w:rsidRPr="00204EAD" w:rsidRDefault="00791EF2" w:rsidP="00204EAD">
            <w:pPr>
              <w:pStyle w:val="MDPI42tablebody"/>
              <w:spacing w:line="240" w:lineRule="auto"/>
              <w:rPr>
                <w:sz w:val="22"/>
                <w:szCs w:val="22"/>
              </w:rPr>
            </w:pPr>
            <w:r w:rsidRPr="00204EAD">
              <w:rPr>
                <w:sz w:val="22"/>
                <w:szCs w:val="22"/>
              </w:rPr>
              <w:t>De-Ji</w:t>
            </w:r>
          </w:p>
        </w:tc>
        <w:tc>
          <w:tcPr>
            <w:tcW w:w="1317" w:type="pct"/>
            <w:vMerge w:val="restart"/>
            <w:vAlign w:val="center"/>
          </w:tcPr>
          <w:p w14:paraId="5F283FF1" w14:textId="67DF6759" w:rsidR="00791EF2" w:rsidRPr="00204EAD" w:rsidRDefault="00791EF2" w:rsidP="00204EAD">
            <w:pPr>
              <w:pStyle w:val="MDPI42tablebody"/>
              <w:spacing w:line="240" w:lineRule="auto"/>
              <w:rPr>
                <w:sz w:val="22"/>
                <w:szCs w:val="22"/>
              </w:rPr>
            </w:pPr>
            <w:r w:rsidRPr="00204EAD">
              <w:rPr>
                <w:rFonts w:hint="eastAsia"/>
                <w:sz w:val="22"/>
                <w:szCs w:val="22"/>
              </w:rPr>
              <w:t>2021/7/15-</w:t>
            </w:r>
            <w:r w:rsidR="00204EAD">
              <w:rPr>
                <w:sz w:val="22"/>
                <w:szCs w:val="22"/>
              </w:rPr>
              <w:t>2</w:t>
            </w:r>
            <w:r w:rsidRPr="00204EAD">
              <w:rPr>
                <w:rFonts w:hint="eastAsia"/>
                <w:sz w:val="22"/>
                <w:szCs w:val="22"/>
              </w:rPr>
              <w:t>021/10/30</w:t>
            </w:r>
          </w:p>
        </w:tc>
        <w:tc>
          <w:tcPr>
            <w:tcW w:w="1265" w:type="pct"/>
            <w:vAlign w:val="center"/>
          </w:tcPr>
          <w:p w14:paraId="2629D7B2" w14:textId="77777777" w:rsidR="00791EF2" w:rsidRPr="00204EAD" w:rsidRDefault="00791EF2" w:rsidP="00204EAD">
            <w:pPr>
              <w:pStyle w:val="MDPI42tablebody"/>
              <w:spacing w:line="240" w:lineRule="auto"/>
              <w:rPr>
                <w:sz w:val="22"/>
                <w:szCs w:val="22"/>
              </w:rPr>
            </w:pPr>
            <w:r w:rsidRPr="00204EAD">
              <w:rPr>
                <w:rFonts w:hint="eastAsia"/>
                <w:sz w:val="22"/>
                <w:szCs w:val="22"/>
              </w:rPr>
              <w:t>556.5</w:t>
            </w:r>
          </w:p>
        </w:tc>
        <w:tc>
          <w:tcPr>
            <w:tcW w:w="1500" w:type="pct"/>
            <w:vAlign w:val="center"/>
          </w:tcPr>
          <w:p w14:paraId="2E4484A8" w14:textId="77777777" w:rsidR="00791EF2" w:rsidRPr="00204EAD" w:rsidRDefault="00791EF2" w:rsidP="00204EAD">
            <w:pPr>
              <w:pStyle w:val="MDPI42tablebody"/>
              <w:spacing w:line="240" w:lineRule="auto"/>
              <w:rPr>
                <w:sz w:val="22"/>
                <w:szCs w:val="22"/>
              </w:rPr>
            </w:pPr>
            <w:r w:rsidRPr="00204EAD">
              <w:rPr>
                <w:rFonts w:hint="eastAsia"/>
                <w:sz w:val="22"/>
                <w:szCs w:val="22"/>
              </w:rPr>
              <w:t>20.4</w:t>
            </w:r>
          </w:p>
        </w:tc>
      </w:tr>
      <w:tr w:rsidR="00791EF2" w:rsidRPr="00283C37" w14:paraId="0F48DE87" w14:textId="77777777" w:rsidTr="00204EAD">
        <w:trPr>
          <w:trHeight w:val="20"/>
          <w:jc w:val="center"/>
        </w:trPr>
        <w:tc>
          <w:tcPr>
            <w:tcW w:w="918" w:type="pct"/>
            <w:vAlign w:val="center"/>
          </w:tcPr>
          <w:p w14:paraId="014D5842" w14:textId="77777777" w:rsidR="00791EF2" w:rsidRPr="00204EAD" w:rsidRDefault="00791EF2" w:rsidP="00204EAD">
            <w:pPr>
              <w:pStyle w:val="MDPI42tablebody"/>
              <w:spacing w:line="240" w:lineRule="auto"/>
              <w:rPr>
                <w:sz w:val="22"/>
                <w:szCs w:val="22"/>
              </w:rPr>
            </w:pPr>
            <w:r w:rsidRPr="00204EAD">
              <w:rPr>
                <w:sz w:val="22"/>
                <w:szCs w:val="22"/>
              </w:rPr>
              <w:t>Zeng-Wen</w:t>
            </w:r>
          </w:p>
        </w:tc>
        <w:tc>
          <w:tcPr>
            <w:tcW w:w="1317" w:type="pct"/>
            <w:vMerge/>
            <w:vAlign w:val="center"/>
          </w:tcPr>
          <w:p w14:paraId="0F3F8D0F" w14:textId="77777777" w:rsidR="00791EF2" w:rsidRPr="00204EAD" w:rsidRDefault="00791EF2" w:rsidP="00204EAD">
            <w:pPr>
              <w:pStyle w:val="MDPI42tablebody"/>
              <w:spacing w:line="240" w:lineRule="auto"/>
              <w:rPr>
                <w:sz w:val="22"/>
                <w:szCs w:val="22"/>
              </w:rPr>
            </w:pPr>
          </w:p>
        </w:tc>
        <w:tc>
          <w:tcPr>
            <w:tcW w:w="1265" w:type="pct"/>
            <w:vAlign w:val="center"/>
          </w:tcPr>
          <w:p w14:paraId="14132AF4" w14:textId="77777777" w:rsidR="00791EF2" w:rsidRPr="00204EAD" w:rsidRDefault="00791EF2" w:rsidP="00204EAD">
            <w:pPr>
              <w:pStyle w:val="MDPI42tablebody"/>
              <w:spacing w:line="240" w:lineRule="auto"/>
              <w:rPr>
                <w:sz w:val="22"/>
                <w:szCs w:val="22"/>
              </w:rPr>
            </w:pPr>
            <w:r w:rsidRPr="00204EAD">
              <w:rPr>
                <w:rFonts w:hint="eastAsia"/>
                <w:sz w:val="22"/>
                <w:szCs w:val="22"/>
              </w:rPr>
              <w:t>1,976</w:t>
            </w:r>
          </w:p>
        </w:tc>
        <w:tc>
          <w:tcPr>
            <w:tcW w:w="1500" w:type="pct"/>
            <w:vAlign w:val="center"/>
          </w:tcPr>
          <w:p w14:paraId="3E63A1F4" w14:textId="77777777" w:rsidR="00791EF2" w:rsidRPr="00204EAD" w:rsidRDefault="00791EF2" w:rsidP="00204EAD">
            <w:pPr>
              <w:pStyle w:val="MDPI42tablebody"/>
              <w:spacing w:line="240" w:lineRule="auto"/>
              <w:rPr>
                <w:sz w:val="22"/>
                <w:szCs w:val="22"/>
              </w:rPr>
            </w:pPr>
            <w:r w:rsidRPr="00204EAD">
              <w:rPr>
                <w:rFonts w:hint="eastAsia"/>
                <w:sz w:val="22"/>
                <w:szCs w:val="22"/>
              </w:rPr>
              <w:t>121.3</w:t>
            </w:r>
          </w:p>
        </w:tc>
      </w:tr>
      <w:tr w:rsidR="00791EF2" w:rsidRPr="00283C37" w14:paraId="3DAC58C3" w14:textId="77777777" w:rsidTr="00204EAD">
        <w:trPr>
          <w:trHeight w:val="20"/>
          <w:jc w:val="center"/>
        </w:trPr>
        <w:tc>
          <w:tcPr>
            <w:tcW w:w="918" w:type="pct"/>
            <w:vAlign w:val="center"/>
          </w:tcPr>
          <w:p w14:paraId="798DAAC5" w14:textId="77777777" w:rsidR="00791EF2" w:rsidRPr="00204EAD" w:rsidRDefault="00791EF2" w:rsidP="00204EAD">
            <w:pPr>
              <w:pStyle w:val="MDPI42tablebody"/>
              <w:spacing w:line="240" w:lineRule="auto"/>
              <w:rPr>
                <w:sz w:val="22"/>
                <w:szCs w:val="22"/>
              </w:rPr>
            </w:pPr>
            <w:r w:rsidRPr="00204EAD">
              <w:rPr>
                <w:sz w:val="22"/>
                <w:szCs w:val="22"/>
              </w:rPr>
              <w:t>Wu-She</w:t>
            </w:r>
          </w:p>
        </w:tc>
        <w:tc>
          <w:tcPr>
            <w:tcW w:w="1317" w:type="pct"/>
            <w:vMerge/>
            <w:vAlign w:val="center"/>
          </w:tcPr>
          <w:p w14:paraId="4ADD3D94" w14:textId="77777777" w:rsidR="00791EF2" w:rsidRPr="00204EAD" w:rsidRDefault="00791EF2" w:rsidP="00204EAD">
            <w:pPr>
              <w:pStyle w:val="MDPI42tablebody"/>
              <w:spacing w:line="240" w:lineRule="auto"/>
              <w:rPr>
                <w:sz w:val="22"/>
                <w:szCs w:val="22"/>
              </w:rPr>
            </w:pPr>
          </w:p>
        </w:tc>
        <w:tc>
          <w:tcPr>
            <w:tcW w:w="1265" w:type="pct"/>
            <w:vAlign w:val="center"/>
          </w:tcPr>
          <w:p w14:paraId="249033E7" w14:textId="77777777" w:rsidR="00791EF2" w:rsidRPr="00204EAD" w:rsidRDefault="00791EF2" w:rsidP="00204EAD">
            <w:pPr>
              <w:pStyle w:val="MDPI42tablebody"/>
              <w:spacing w:line="240" w:lineRule="auto"/>
              <w:rPr>
                <w:sz w:val="22"/>
                <w:szCs w:val="22"/>
              </w:rPr>
            </w:pPr>
            <w:r w:rsidRPr="00204EAD">
              <w:rPr>
                <w:sz w:val="22"/>
                <w:szCs w:val="22"/>
              </w:rPr>
              <w:t>980</w:t>
            </w:r>
          </w:p>
        </w:tc>
        <w:tc>
          <w:tcPr>
            <w:tcW w:w="1500" w:type="pct"/>
            <w:vAlign w:val="center"/>
          </w:tcPr>
          <w:p w14:paraId="4B23F64A" w14:textId="77777777" w:rsidR="00791EF2" w:rsidRPr="00204EAD" w:rsidRDefault="00791EF2" w:rsidP="00204EAD">
            <w:pPr>
              <w:pStyle w:val="MDPI42tablebody"/>
              <w:spacing w:line="240" w:lineRule="auto"/>
              <w:rPr>
                <w:sz w:val="22"/>
                <w:szCs w:val="22"/>
              </w:rPr>
            </w:pPr>
            <w:r w:rsidRPr="00204EAD">
              <w:rPr>
                <w:sz w:val="22"/>
                <w:szCs w:val="22"/>
              </w:rPr>
              <w:t>60.3</w:t>
            </w:r>
          </w:p>
        </w:tc>
      </w:tr>
    </w:tbl>
    <w:p w14:paraId="7950BA8E" w14:textId="77777777" w:rsidR="00204EAD" w:rsidRPr="00E62163" w:rsidRDefault="00204EAD" w:rsidP="00204EAD">
      <w:pPr>
        <w:pStyle w:val="MDPI21heading1"/>
        <w:ind w:leftChars="142" w:left="672" w:hangingChars="176" w:hanging="388"/>
        <w:rPr>
          <w:sz w:val="22"/>
          <w:lang w:eastAsia="zh-CN"/>
        </w:rPr>
      </w:pPr>
      <w:r>
        <w:rPr>
          <w:sz w:val="22"/>
          <w:lang w:eastAsia="zh-CN"/>
        </w:rPr>
        <w:t>4</w:t>
      </w:r>
      <w:r w:rsidRPr="00E62163">
        <w:rPr>
          <w:sz w:val="22"/>
          <w:lang w:eastAsia="zh-CN"/>
        </w:rPr>
        <w:t>. Conclusions</w:t>
      </w:r>
    </w:p>
    <w:p w14:paraId="092B3328" w14:textId="3D1C08CF" w:rsidR="00204EAD" w:rsidRPr="00791EF2" w:rsidRDefault="00204EAD" w:rsidP="00204EAD">
      <w:pPr>
        <w:pStyle w:val="MDPI31text"/>
        <w:ind w:left="284" w:firstLine="0"/>
        <w:rPr>
          <w:sz w:val="22"/>
        </w:rPr>
      </w:pPr>
      <w:r w:rsidRPr="00791EF2">
        <w:rPr>
          <w:sz w:val="22"/>
        </w:rPr>
        <w:t>The monitoring shows that during the flood season of 2021, the amount of sediment entering the reservoirs of De-Ji, Zeng-Wen, and Wu-She reservoirs was approximately 204,000 cubic meters, 1.213 million cubic meters, and 603,000 cubic meters, respectively, its mean that Typhoon rainfall events are the main source of sediment for reservoir siltation.</w:t>
      </w:r>
      <w:r w:rsidR="00156A35">
        <w:rPr>
          <w:sz w:val="22"/>
        </w:rPr>
        <w:t xml:space="preserve"> </w:t>
      </w:r>
      <w:r w:rsidRPr="00791EF2">
        <w:rPr>
          <w:sz w:val="22"/>
        </w:rPr>
        <w:t xml:space="preserve">It is suggested that UAV telemetry or river channel topography measurement can be carried out for specific main sediment-producing watersheds, </w:t>
      </w:r>
      <w:proofErr w:type="gramStart"/>
      <w:r w:rsidRPr="00791EF2">
        <w:rPr>
          <w:sz w:val="22"/>
        </w:rPr>
        <w:t>so as to</w:t>
      </w:r>
      <w:proofErr w:type="gramEnd"/>
      <w:r w:rsidRPr="00791EF2">
        <w:rPr>
          <w:sz w:val="22"/>
        </w:rPr>
        <w:t xml:space="preserve"> actually explore the changes of river bank collapse and mainstream river flushing.</w:t>
      </w:r>
    </w:p>
    <w:p w14:paraId="29737D38" w14:textId="77777777" w:rsidR="00E94B1B" w:rsidRPr="00E62163" w:rsidRDefault="00E94B1B" w:rsidP="00890EC8">
      <w:pPr>
        <w:pStyle w:val="MDPI21heading1"/>
        <w:ind w:left="0"/>
        <w:rPr>
          <w:sz w:val="22"/>
        </w:rPr>
      </w:pPr>
      <w:r w:rsidRPr="00E62163">
        <w:rPr>
          <w:sz w:val="22"/>
        </w:rPr>
        <w:lastRenderedPageBreak/>
        <w:t>References</w:t>
      </w:r>
    </w:p>
    <w:p w14:paraId="4E97889D" w14:textId="355E87D4" w:rsidR="00E94B1B" w:rsidRPr="00E62163" w:rsidRDefault="00C73A7D" w:rsidP="00C73A7D">
      <w:pPr>
        <w:pStyle w:val="MDPI71References"/>
        <w:numPr>
          <w:ilvl w:val="0"/>
          <w:numId w:val="4"/>
        </w:numPr>
        <w:ind w:left="425" w:hanging="425"/>
        <w:rPr>
          <w:sz w:val="22"/>
          <w:szCs w:val="22"/>
        </w:rPr>
      </w:pPr>
      <w:r>
        <w:rPr>
          <w:sz w:val="22"/>
          <w:szCs w:val="22"/>
        </w:rPr>
        <w:t>Soil and Water Conservation Bureau, “</w:t>
      </w:r>
      <w:r w:rsidRPr="00C73A7D">
        <w:rPr>
          <w:sz w:val="22"/>
          <w:szCs w:val="22"/>
        </w:rPr>
        <w:t>Assessment on Sediment Control Effectiveness for 13 Major Reservoir Watersheds in 2021 and Sediment Outflow Monitoring</w:t>
      </w:r>
      <w:r>
        <w:rPr>
          <w:sz w:val="22"/>
          <w:szCs w:val="22"/>
        </w:rPr>
        <w:t>”</w:t>
      </w:r>
      <w:r w:rsidRPr="00C73A7D">
        <w:rPr>
          <w:sz w:val="22"/>
          <w:szCs w:val="22"/>
        </w:rPr>
        <w:t xml:space="preserve"> </w:t>
      </w:r>
      <w:r>
        <w:rPr>
          <w:sz w:val="22"/>
          <w:szCs w:val="22"/>
        </w:rPr>
        <w:t>,2021.</w:t>
      </w:r>
    </w:p>
    <w:p w14:paraId="2660BC83" w14:textId="0D3DEE2A" w:rsidR="00E94B1B" w:rsidRPr="00E62163" w:rsidRDefault="00C73A7D" w:rsidP="00C73A7D">
      <w:pPr>
        <w:pStyle w:val="MDPI71References"/>
        <w:numPr>
          <w:ilvl w:val="0"/>
          <w:numId w:val="4"/>
        </w:numPr>
        <w:ind w:left="425" w:hanging="425"/>
        <w:rPr>
          <w:sz w:val="22"/>
          <w:szCs w:val="22"/>
        </w:rPr>
      </w:pPr>
      <w:r w:rsidRPr="00C73A7D">
        <w:rPr>
          <w:sz w:val="22"/>
          <w:szCs w:val="22"/>
        </w:rPr>
        <w:t>Hsu</w:t>
      </w:r>
      <w:r>
        <w:rPr>
          <w:sz w:val="22"/>
          <w:szCs w:val="22"/>
        </w:rPr>
        <w:t>, Y.S.</w:t>
      </w:r>
      <w:r w:rsidRPr="00C73A7D">
        <w:rPr>
          <w:i/>
          <w:sz w:val="22"/>
          <w:szCs w:val="22"/>
        </w:rPr>
        <w:t xml:space="preserve"> et</w:t>
      </w:r>
      <w:r>
        <w:rPr>
          <w:i/>
          <w:sz w:val="22"/>
          <w:szCs w:val="22"/>
        </w:rPr>
        <w:t xml:space="preserve"> </w:t>
      </w:r>
      <w:r w:rsidRPr="00C73A7D">
        <w:rPr>
          <w:i/>
          <w:sz w:val="22"/>
          <w:szCs w:val="22"/>
        </w:rPr>
        <w:t>al</w:t>
      </w:r>
      <w:r>
        <w:rPr>
          <w:i/>
          <w:sz w:val="22"/>
          <w:szCs w:val="22"/>
        </w:rPr>
        <w:t>.</w:t>
      </w:r>
      <w:r w:rsidRPr="00C73A7D">
        <w:rPr>
          <w:sz w:val="22"/>
          <w:szCs w:val="22"/>
        </w:rPr>
        <w:t>,</w:t>
      </w:r>
      <w:r>
        <w:rPr>
          <w:sz w:val="22"/>
          <w:szCs w:val="22"/>
        </w:rPr>
        <w:t xml:space="preserve"> “</w:t>
      </w:r>
      <w:r w:rsidRPr="00C73A7D">
        <w:rPr>
          <w:sz w:val="22"/>
          <w:szCs w:val="22"/>
        </w:rPr>
        <w:t xml:space="preserve">Rating Relations between Turbidity and Suspended Solids Concentration of Reservoir Sediment </w:t>
      </w:r>
      <w:r w:rsidRPr="00C73A7D">
        <w:rPr>
          <w:rFonts w:hint="eastAsia"/>
          <w:sz w:val="22"/>
          <w:szCs w:val="22"/>
        </w:rPr>
        <w:t>-</w:t>
      </w:r>
      <w:r w:rsidRPr="00C73A7D">
        <w:rPr>
          <w:sz w:val="22"/>
          <w:szCs w:val="22"/>
        </w:rPr>
        <w:t>A Case Study of Shi-Men Reservoir</w:t>
      </w:r>
      <w:r>
        <w:rPr>
          <w:sz w:val="22"/>
          <w:szCs w:val="22"/>
        </w:rPr>
        <w:t xml:space="preserve">”, </w:t>
      </w:r>
      <w:r w:rsidRPr="00C73A7D">
        <w:rPr>
          <w:sz w:val="22"/>
          <w:szCs w:val="22"/>
        </w:rPr>
        <w:t>Journal of Chinese Agricultural Engineering Vol. 53, No. 1, March 2007</w:t>
      </w:r>
    </w:p>
    <w:sectPr w:rsidR="00E94B1B" w:rsidRPr="00E62163" w:rsidSect="00E62163">
      <w:headerReference w:type="even" r:id="rId16"/>
      <w:headerReference w:type="default" r:id="rId17"/>
      <w:footerReference w:type="even" r:id="rId18"/>
      <w:footerReference w:type="default" r:id="rId19"/>
      <w:headerReference w:type="first" r:id="rId20"/>
      <w:footerReference w:type="first" r:id="rId21"/>
      <w:type w:val="continuous"/>
      <w:pgSz w:w="11906" w:h="16838" w:code="9"/>
      <w:pgMar w:top="1440" w:right="1800" w:bottom="1440" w:left="1800" w:header="1020" w:footer="340" w:gutter="0"/>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364B28" w14:textId="77777777" w:rsidR="00760EA8" w:rsidRDefault="00760EA8">
      <w:pPr>
        <w:spacing w:line="240" w:lineRule="auto"/>
      </w:pPr>
      <w:r>
        <w:separator/>
      </w:r>
    </w:p>
  </w:endnote>
  <w:endnote w:type="continuationSeparator" w:id="0">
    <w:p w14:paraId="7F1D7387" w14:textId="77777777" w:rsidR="00760EA8" w:rsidRDefault="00760E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標楷體">
    <w:panose1 w:val="03000509000000000000"/>
    <w:charset w:val="88"/>
    <w:family w:val="script"/>
    <w:pitch w:val="fixed"/>
    <w:sig w:usb0="00000003" w:usb1="080E0000" w:usb2="00000016" w:usb3="00000000" w:csb0="0010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DengXian Light">
    <w:altName w:val="Microsoft YaHei"/>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E5268" w14:textId="68579BCE" w:rsidR="00F37EA3" w:rsidRDefault="00F37EA3" w:rsidP="00B75353">
    <w:pPr>
      <w:pStyle w:val="MDPIfooterfirstpage"/>
      <w:tabs>
        <w:tab w:val="clear" w:pos="8845"/>
        <w:tab w:val="right" w:pos="10466"/>
      </w:tabs>
      <w:spacing w:line="240" w:lineRule="auto"/>
      <w:jc w:val="both"/>
      <w:rPr>
        <w:lang w:val="fr-CH"/>
      </w:rPr>
    </w:pPr>
    <w:r>
      <w:fldChar w:fldCharType="begin"/>
    </w:r>
    <w:r>
      <w:instrText xml:space="preserve"> PAGE   \* MERGEFORMAT </w:instrText>
    </w:r>
    <w:r>
      <w:fldChar w:fldCharType="separate"/>
    </w:r>
    <w:r w:rsidR="00B05CB8">
      <w:rPr>
        <w:noProof/>
      </w:rPr>
      <w:t>2</w:t>
    </w:r>
    <w:r>
      <w:fldChar w:fldCharType="end"/>
    </w:r>
    <w:r>
      <w:t xml:space="preserve"> of </w:t>
    </w:r>
    <w:r w:rsidR="00760EA8">
      <w:fldChar w:fldCharType="begin"/>
    </w:r>
    <w:r w:rsidR="00760EA8">
      <w:instrText xml:space="preserve"> NUMPAGES   \* MERGEFORMAT </w:instrText>
    </w:r>
    <w:r w:rsidR="00760EA8">
      <w:fldChar w:fldCharType="separate"/>
    </w:r>
    <w:r w:rsidR="00B05CB8">
      <w:rPr>
        <w:noProof/>
      </w:rPr>
      <w:t>3</w:t>
    </w:r>
    <w:r w:rsidR="00760EA8">
      <w:rPr>
        <w:noProof/>
      </w:rPr>
      <w:fldChar w:fldCharType="end"/>
    </w:r>
    <w:r>
      <w:t xml:space="preserve">                                              </w:t>
    </w:r>
    <w:r w:rsidR="00B75353">
      <w:t xml:space="preserve"> </w:t>
    </w:r>
    <w:r w:rsidRPr="00446968">
      <w:rPr>
        <w:sz w:val="20"/>
      </w:rPr>
      <w:t>INTERPRAEVENT 2022–EXTENDED ABSTRACTS</w:t>
    </w:r>
  </w:p>
  <w:p w14:paraId="159C1C07" w14:textId="77777777" w:rsidR="00B75353" w:rsidRPr="00F37EA3" w:rsidRDefault="00B75353" w:rsidP="00B75353">
    <w:pPr>
      <w:pStyle w:val="MDPIfooterfirstpage"/>
      <w:tabs>
        <w:tab w:val="clear" w:pos="8845"/>
        <w:tab w:val="right" w:pos="10466"/>
      </w:tabs>
      <w:spacing w:line="240" w:lineRule="auto"/>
      <w:jc w:val="both"/>
      <w:rPr>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3CAE8" w14:textId="464034CC" w:rsidR="00F37EA3" w:rsidRPr="008B308E" w:rsidRDefault="00F37EA3" w:rsidP="00F37EA3">
    <w:pPr>
      <w:pStyle w:val="MDPIfooterfirstpage"/>
      <w:tabs>
        <w:tab w:val="clear" w:pos="8845"/>
        <w:tab w:val="right" w:pos="10466"/>
      </w:tabs>
      <w:spacing w:line="240" w:lineRule="auto"/>
      <w:jc w:val="both"/>
      <w:rPr>
        <w:lang w:val="fr-CH"/>
      </w:rPr>
    </w:pPr>
    <w:r w:rsidRPr="00446968">
      <w:rPr>
        <w:sz w:val="20"/>
      </w:rPr>
      <w:t>INTERPRAEVENT 2022–EXTENDED ABSTRACTS</w:t>
    </w:r>
    <w:r w:rsidRPr="008B308E">
      <w:rPr>
        <w:lang w:val="fr-CH"/>
      </w:rPr>
      <w:tab/>
    </w:r>
    <w:r>
      <w:fldChar w:fldCharType="begin"/>
    </w:r>
    <w:r>
      <w:instrText xml:space="preserve"> PAGE   \* MERGEFORMAT </w:instrText>
    </w:r>
    <w:r>
      <w:fldChar w:fldCharType="separate"/>
    </w:r>
    <w:r w:rsidR="00B05CB8">
      <w:rPr>
        <w:noProof/>
      </w:rPr>
      <w:t>3</w:t>
    </w:r>
    <w:r>
      <w:fldChar w:fldCharType="end"/>
    </w:r>
    <w:r>
      <w:t xml:space="preserve"> of </w:t>
    </w:r>
    <w:r w:rsidR="00760EA8">
      <w:fldChar w:fldCharType="begin"/>
    </w:r>
    <w:r w:rsidR="00760EA8">
      <w:instrText xml:space="preserve"> NUMPAGES   \* MERGEFORMAT </w:instrText>
    </w:r>
    <w:r w:rsidR="00760EA8">
      <w:fldChar w:fldCharType="separate"/>
    </w:r>
    <w:r w:rsidR="00B05CB8">
      <w:rPr>
        <w:noProof/>
      </w:rPr>
      <w:t>3</w:t>
    </w:r>
    <w:r w:rsidR="00760EA8">
      <w:rPr>
        <w:noProof/>
      </w:rPr>
      <w:fldChar w:fldCharType="end"/>
    </w:r>
  </w:p>
  <w:p w14:paraId="2A8BD39D" w14:textId="77777777" w:rsidR="00F37EA3" w:rsidRPr="00F37EA3" w:rsidRDefault="00F37EA3" w:rsidP="00C941E4">
    <w:pPr>
      <w:pStyle w:val="a4"/>
      <w:spacing w:line="240" w:lineRule="auto"/>
      <w:rPr>
        <w:lang w:val="fr-C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0021F" w14:textId="338E2250" w:rsidR="00F37EA3" w:rsidRDefault="00446968" w:rsidP="006D60E8">
    <w:pPr>
      <w:pStyle w:val="MDPIfooterfirstpage"/>
      <w:tabs>
        <w:tab w:val="clear" w:pos="8845"/>
        <w:tab w:val="right" w:pos="10466"/>
      </w:tabs>
      <w:spacing w:line="240" w:lineRule="auto"/>
      <w:jc w:val="both"/>
    </w:pPr>
    <w:r w:rsidRPr="00446968">
      <w:rPr>
        <w:sz w:val="20"/>
      </w:rPr>
      <w:t>INTERPRAEVENT 2022–EXTENDED ABSTRACTS</w:t>
    </w:r>
    <w:r w:rsidR="006D60E8" w:rsidRPr="008B308E">
      <w:rPr>
        <w:lang w:val="fr-CH"/>
      </w:rPr>
      <w:tab/>
    </w:r>
    <w:r>
      <w:fldChar w:fldCharType="begin"/>
    </w:r>
    <w:r>
      <w:instrText xml:space="preserve"> PAGE   \* MERGEFORMAT </w:instrText>
    </w:r>
    <w:r>
      <w:fldChar w:fldCharType="separate"/>
    </w:r>
    <w:r w:rsidR="00B05CB8">
      <w:rPr>
        <w:noProof/>
      </w:rPr>
      <w:t>1</w:t>
    </w:r>
    <w:r>
      <w:fldChar w:fldCharType="end"/>
    </w:r>
    <w:r>
      <w:t xml:space="preserve"> of </w:t>
    </w:r>
    <w:r w:rsidR="00760EA8">
      <w:fldChar w:fldCharType="begin"/>
    </w:r>
    <w:r w:rsidR="00760EA8">
      <w:instrText xml:space="preserve"> NUMPAGES   \* MERGEFORMAT </w:instrText>
    </w:r>
    <w:r w:rsidR="00760EA8">
      <w:fldChar w:fldCharType="separate"/>
    </w:r>
    <w:r w:rsidR="00B05CB8">
      <w:rPr>
        <w:noProof/>
      </w:rPr>
      <w:t>3</w:t>
    </w:r>
    <w:r w:rsidR="00760EA8">
      <w:rPr>
        <w:noProof/>
      </w:rPr>
      <w:fldChar w:fldCharType="end"/>
    </w:r>
  </w:p>
  <w:p w14:paraId="505E2086" w14:textId="77777777" w:rsidR="00B75353" w:rsidRPr="00B75353" w:rsidRDefault="00B75353" w:rsidP="006D60E8">
    <w:pPr>
      <w:pStyle w:val="MDPIfooterfirstpage"/>
      <w:tabs>
        <w:tab w:val="clear" w:pos="8845"/>
        <w:tab w:val="right" w:pos="10466"/>
      </w:tabs>
      <w:spacing w:line="240" w:lineRule="auto"/>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1B085C" w14:textId="77777777" w:rsidR="00760EA8" w:rsidRDefault="00760EA8">
      <w:pPr>
        <w:spacing w:line="240" w:lineRule="auto"/>
      </w:pPr>
      <w:r>
        <w:separator/>
      </w:r>
    </w:p>
  </w:footnote>
  <w:footnote w:type="continuationSeparator" w:id="0">
    <w:p w14:paraId="02B51CE2" w14:textId="77777777" w:rsidR="00760EA8" w:rsidRDefault="00760E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1D052" w14:textId="77777777" w:rsidR="00F37EA3" w:rsidRPr="00F37EA3" w:rsidRDefault="00F37EA3" w:rsidP="00F37EA3">
    <w:pPr>
      <w:pStyle w:val="a6"/>
      <w:jc w:val="both"/>
    </w:pPr>
  </w:p>
  <w:p w14:paraId="6EF1AD68" w14:textId="77777777" w:rsidR="00C941E4" w:rsidRDefault="00C941E4" w:rsidP="00F37EA3">
    <w:pPr>
      <w:pStyle w:val="a6"/>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31E6F" w14:textId="77777777" w:rsidR="00C941E4" w:rsidRPr="00F37EA3" w:rsidRDefault="00C941E4" w:rsidP="00F37EA3">
    <w:pPr>
      <w:pStyle w:val="a6"/>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364" w:type="dxa"/>
      <w:tblCellMar>
        <w:left w:w="0" w:type="dxa"/>
        <w:right w:w="0" w:type="dxa"/>
      </w:tblCellMar>
      <w:tblLook w:val="04A0" w:firstRow="1" w:lastRow="0" w:firstColumn="1" w:lastColumn="0" w:noHBand="0" w:noVBand="1"/>
    </w:tblPr>
    <w:tblGrid>
      <w:gridCol w:w="3686"/>
      <w:gridCol w:w="4536"/>
      <w:gridCol w:w="142"/>
    </w:tblGrid>
    <w:tr w:rsidR="00E1509D" w:rsidRPr="006D60E8" w14:paraId="5C758EEC" w14:textId="77777777" w:rsidTr="00F44DC4">
      <w:trPr>
        <w:trHeight w:val="686"/>
      </w:trPr>
      <w:tc>
        <w:tcPr>
          <w:tcW w:w="3686" w:type="dxa"/>
          <w:shd w:val="clear" w:color="auto" w:fill="auto"/>
          <w:vAlign w:val="center"/>
        </w:tcPr>
        <w:p w14:paraId="6C96D528" w14:textId="3D823124" w:rsidR="00E1509D" w:rsidRPr="00FA02A8" w:rsidRDefault="00F44DC4" w:rsidP="00F44DC4">
          <w:pPr>
            <w:pStyle w:val="a6"/>
            <w:pBdr>
              <w:bottom w:val="none" w:sz="0" w:space="0" w:color="auto"/>
            </w:pBdr>
            <w:rPr>
              <w:rFonts w:eastAsia="DengXian"/>
              <w:b/>
              <w:bCs/>
            </w:rPr>
          </w:pPr>
          <w:r>
            <w:rPr>
              <w:lang w:eastAsia="zh-TW"/>
            </w:rPr>
            <w:drawing>
              <wp:inline distT="0" distB="0" distL="0" distR="0" wp14:anchorId="047FE696" wp14:editId="7B8165E8">
                <wp:extent cx="1313183" cy="540000"/>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3183" cy="540000"/>
                        </a:xfrm>
                        <a:prstGeom prst="rect">
                          <a:avLst/>
                        </a:prstGeom>
                        <a:noFill/>
                        <a:ln>
                          <a:noFill/>
                        </a:ln>
                      </pic:spPr>
                    </pic:pic>
                  </a:graphicData>
                </a:graphic>
              </wp:inline>
            </w:drawing>
          </w:r>
        </w:p>
      </w:tc>
      <w:tc>
        <w:tcPr>
          <w:tcW w:w="4536" w:type="dxa"/>
          <w:shd w:val="clear" w:color="auto" w:fill="auto"/>
          <w:vAlign w:val="center"/>
        </w:tcPr>
        <w:p w14:paraId="717C5BC2" w14:textId="77777777" w:rsidR="00E62163" w:rsidRDefault="00446968" w:rsidP="00446968">
          <w:pPr>
            <w:pStyle w:val="Default"/>
            <w:rPr>
              <w:sz w:val="22"/>
              <w:szCs w:val="22"/>
            </w:rPr>
          </w:pPr>
          <w:r>
            <w:rPr>
              <w:sz w:val="22"/>
              <w:szCs w:val="22"/>
            </w:rPr>
            <w:t>15th Congress INTERPRAEVENT 2022 Taiwa</w:t>
          </w:r>
          <w:r w:rsidR="00E62163">
            <w:rPr>
              <w:sz w:val="22"/>
              <w:szCs w:val="22"/>
            </w:rPr>
            <w:t>n</w:t>
          </w:r>
        </w:p>
        <w:p w14:paraId="4AD927F9" w14:textId="77777777" w:rsidR="00446968" w:rsidRDefault="00446968" w:rsidP="00446968">
          <w:pPr>
            <w:pStyle w:val="Default"/>
            <w:rPr>
              <w:sz w:val="22"/>
              <w:szCs w:val="22"/>
            </w:rPr>
          </w:pPr>
          <w:r>
            <w:rPr>
              <w:sz w:val="22"/>
              <w:szCs w:val="22"/>
            </w:rPr>
            <w:t>Extended Abstract</w:t>
          </w:r>
        </w:p>
        <w:p w14:paraId="07DF5719" w14:textId="77777777" w:rsidR="00E1509D" w:rsidRPr="00446968" w:rsidRDefault="00AB3C24" w:rsidP="00446968">
          <w:pPr>
            <w:pStyle w:val="Default"/>
            <w:rPr>
              <w:sz w:val="22"/>
              <w:szCs w:val="22"/>
            </w:rPr>
          </w:pPr>
          <w:r w:rsidRPr="00AB3C24">
            <w:rPr>
              <w:color w:val="0000FF"/>
              <w:sz w:val="22"/>
              <w:szCs w:val="22"/>
            </w:rPr>
            <w:t>https://interpraevent2022.nchu.edu.tw</w:t>
          </w:r>
        </w:p>
      </w:tc>
      <w:tc>
        <w:tcPr>
          <w:tcW w:w="142" w:type="dxa"/>
          <w:shd w:val="clear" w:color="auto" w:fill="auto"/>
          <w:vAlign w:val="center"/>
        </w:tcPr>
        <w:p w14:paraId="1E1D132E" w14:textId="77777777" w:rsidR="00E1509D" w:rsidRPr="00FA02A8" w:rsidRDefault="00E1509D" w:rsidP="006D60E8">
          <w:pPr>
            <w:pStyle w:val="a6"/>
            <w:pBdr>
              <w:bottom w:val="none" w:sz="0" w:space="0" w:color="auto"/>
            </w:pBdr>
            <w:jc w:val="right"/>
            <w:rPr>
              <w:rFonts w:eastAsia="DengXian"/>
              <w:b/>
              <w:bCs/>
            </w:rPr>
          </w:pPr>
        </w:p>
      </w:tc>
    </w:tr>
  </w:tbl>
  <w:p w14:paraId="24F8CAF4" w14:textId="77777777" w:rsidR="00C941E4" w:rsidRPr="00E1509D" w:rsidRDefault="00C941E4" w:rsidP="00F24DE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4"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6" w15:restartNumberingAfterBreak="0">
    <w:nsid w:val="52E2771B"/>
    <w:multiLevelType w:val="hybridMultilevel"/>
    <w:tmpl w:val="A2A06AAC"/>
    <w:lvl w:ilvl="0" w:tplc="C788203A">
      <w:start w:val="1"/>
      <w:numFmt w:val="decimal"/>
      <w:lvlRestart w:val="0"/>
      <w:pStyle w:val="MDPI71FootNotes"/>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8"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num w:numId="1">
    <w:abstractNumId w:val="3"/>
  </w:num>
  <w:num w:numId="2">
    <w:abstractNumId w:val="5"/>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7"/>
  </w:num>
  <w:num w:numId="7">
    <w:abstractNumId w:val="1"/>
  </w:num>
  <w:num w:numId="8">
    <w:abstractNumId w:val="7"/>
  </w:num>
  <w:num w:numId="9">
    <w:abstractNumId w:val="1"/>
  </w:num>
  <w:num w:numId="10">
    <w:abstractNumId w:val="7"/>
  </w:num>
  <w:num w:numId="11">
    <w:abstractNumId w:val="1"/>
  </w:num>
  <w:num w:numId="12">
    <w:abstractNumId w:val="8"/>
  </w:num>
  <w:num w:numId="13">
    <w:abstractNumId w:val="7"/>
  </w:num>
  <w:num w:numId="14">
    <w:abstractNumId w:val="1"/>
  </w:num>
  <w:num w:numId="15">
    <w:abstractNumId w:val="0"/>
  </w:num>
  <w:num w:numId="16">
    <w:abstractNumId w:val="6"/>
  </w:num>
  <w:num w:numId="17">
    <w:abstractNumId w:val="0"/>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evenAndOddHeaders/>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24"/>
    <w:rsid w:val="000248ED"/>
    <w:rsid w:val="00030CBC"/>
    <w:rsid w:val="00040D53"/>
    <w:rsid w:val="00060A6F"/>
    <w:rsid w:val="00093689"/>
    <w:rsid w:val="000B5E46"/>
    <w:rsid w:val="000E3459"/>
    <w:rsid w:val="000E49D9"/>
    <w:rsid w:val="000F5697"/>
    <w:rsid w:val="00100CC5"/>
    <w:rsid w:val="00143EFF"/>
    <w:rsid w:val="001566D4"/>
    <w:rsid w:val="00156A35"/>
    <w:rsid w:val="001576EB"/>
    <w:rsid w:val="001E2AEB"/>
    <w:rsid w:val="00204EAD"/>
    <w:rsid w:val="00222059"/>
    <w:rsid w:val="0023317C"/>
    <w:rsid w:val="00234D03"/>
    <w:rsid w:val="002426D8"/>
    <w:rsid w:val="0024571D"/>
    <w:rsid w:val="0025285B"/>
    <w:rsid w:val="00267289"/>
    <w:rsid w:val="002677D3"/>
    <w:rsid w:val="00287B81"/>
    <w:rsid w:val="002B0859"/>
    <w:rsid w:val="002F2EF2"/>
    <w:rsid w:val="002F567A"/>
    <w:rsid w:val="00326141"/>
    <w:rsid w:val="003329D3"/>
    <w:rsid w:val="0034427D"/>
    <w:rsid w:val="00345DDD"/>
    <w:rsid w:val="0035018A"/>
    <w:rsid w:val="003531EA"/>
    <w:rsid w:val="003652BD"/>
    <w:rsid w:val="0037098B"/>
    <w:rsid w:val="003850F4"/>
    <w:rsid w:val="003A31D8"/>
    <w:rsid w:val="003A566D"/>
    <w:rsid w:val="003A7D89"/>
    <w:rsid w:val="003A7F6D"/>
    <w:rsid w:val="003E2BA9"/>
    <w:rsid w:val="00401D30"/>
    <w:rsid w:val="0041271D"/>
    <w:rsid w:val="004179C5"/>
    <w:rsid w:val="00426141"/>
    <w:rsid w:val="00426AA5"/>
    <w:rsid w:val="00446968"/>
    <w:rsid w:val="00447B5B"/>
    <w:rsid w:val="004525C1"/>
    <w:rsid w:val="00463E7E"/>
    <w:rsid w:val="00477A6A"/>
    <w:rsid w:val="00505EA8"/>
    <w:rsid w:val="00521547"/>
    <w:rsid w:val="005246F6"/>
    <w:rsid w:val="005716EC"/>
    <w:rsid w:val="00574114"/>
    <w:rsid w:val="005830E7"/>
    <w:rsid w:val="00587C08"/>
    <w:rsid w:val="00587D53"/>
    <w:rsid w:val="005E18A2"/>
    <w:rsid w:val="005E73D7"/>
    <w:rsid w:val="005E7F66"/>
    <w:rsid w:val="00622BA7"/>
    <w:rsid w:val="00626BA2"/>
    <w:rsid w:val="006428F7"/>
    <w:rsid w:val="00644189"/>
    <w:rsid w:val="00665FE9"/>
    <w:rsid w:val="00692393"/>
    <w:rsid w:val="006A5717"/>
    <w:rsid w:val="006D60E8"/>
    <w:rsid w:val="006E18E6"/>
    <w:rsid w:val="006F6BEF"/>
    <w:rsid w:val="006F7F0A"/>
    <w:rsid w:val="0070062D"/>
    <w:rsid w:val="00702147"/>
    <w:rsid w:val="007048BE"/>
    <w:rsid w:val="00712BD0"/>
    <w:rsid w:val="00721902"/>
    <w:rsid w:val="00722C95"/>
    <w:rsid w:val="00743B99"/>
    <w:rsid w:val="00746129"/>
    <w:rsid w:val="00747DFD"/>
    <w:rsid w:val="00754302"/>
    <w:rsid w:val="00754CE0"/>
    <w:rsid w:val="00760EA8"/>
    <w:rsid w:val="00771096"/>
    <w:rsid w:val="00787317"/>
    <w:rsid w:val="00791EF2"/>
    <w:rsid w:val="007B0913"/>
    <w:rsid w:val="007D06FE"/>
    <w:rsid w:val="007E3DF3"/>
    <w:rsid w:val="007E56A8"/>
    <w:rsid w:val="007F35EA"/>
    <w:rsid w:val="008044DE"/>
    <w:rsid w:val="00823EC5"/>
    <w:rsid w:val="0087211F"/>
    <w:rsid w:val="00880E59"/>
    <w:rsid w:val="00890EC8"/>
    <w:rsid w:val="008A10E5"/>
    <w:rsid w:val="008B33AF"/>
    <w:rsid w:val="008B67E1"/>
    <w:rsid w:val="008C7940"/>
    <w:rsid w:val="008F0CF4"/>
    <w:rsid w:val="008F1B11"/>
    <w:rsid w:val="00904A4F"/>
    <w:rsid w:val="00951D4C"/>
    <w:rsid w:val="009535FF"/>
    <w:rsid w:val="00955434"/>
    <w:rsid w:val="00967B48"/>
    <w:rsid w:val="009D7C6F"/>
    <w:rsid w:val="009E0988"/>
    <w:rsid w:val="009E6E07"/>
    <w:rsid w:val="009F70E6"/>
    <w:rsid w:val="00A33EFD"/>
    <w:rsid w:val="00A35996"/>
    <w:rsid w:val="00A42F87"/>
    <w:rsid w:val="00A5058D"/>
    <w:rsid w:val="00A52C6E"/>
    <w:rsid w:val="00A72ECF"/>
    <w:rsid w:val="00A90484"/>
    <w:rsid w:val="00A90EC5"/>
    <w:rsid w:val="00AB337D"/>
    <w:rsid w:val="00AB3C24"/>
    <w:rsid w:val="00AB4BCC"/>
    <w:rsid w:val="00AF7EE7"/>
    <w:rsid w:val="00B05CB8"/>
    <w:rsid w:val="00B14FB9"/>
    <w:rsid w:val="00B15302"/>
    <w:rsid w:val="00B31E2F"/>
    <w:rsid w:val="00B32E8A"/>
    <w:rsid w:val="00B64855"/>
    <w:rsid w:val="00B744F1"/>
    <w:rsid w:val="00B75353"/>
    <w:rsid w:val="00B86C74"/>
    <w:rsid w:val="00B93C2C"/>
    <w:rsid w:val="00BA4CA6"/>
    <w:rsid w:val="00BA5C14"/>
    <w:rsid w:val="00BA6B4A"/>
    <w:rsid w:val="00BC377A"/>
    <w:rsid w:val="00BD2D2B"/>
    <w:rsid w:val="00BF2F57"/>
    <w:rsid w:val="00C05FFD"/>
    <w:rsid w:val="00C356B4"/>
    <w:rsid w:val="00C41725"/>
    <w:rsid w:val="00C53BCB"/>
    <w:rsid w:val="00C572BA"/>
    <w:rsid w:val="00C73A7D"/>
    <w:rsid w:val="00C75971"/>
    <w:rsid w:val="00C76A17"/>
    <w:rsid w:val="00C85962"/>
    <w:rsid w:val="00C941E4"/>
    <w:rsid w:val="00CB2343"/>
    <w:rsid w:val="00CC18FB"/>
    <w:rsid w:val="00CD7B9D"/>
    <w:rsid w:val="00CF2271"/>
    <w:rsid w:val="00D13680"/>
    <w:rsid w:val="00D227EB"/>
    <w:rsid w:val="00D74595"/>
    <w:rsid w:val="00D87CF0"/>
    <w:rsid w:val="00D94CCA"/>
    <w:rsid w:val="00DA22B5"/>
    <w:rsid w:val="00DA7CE6"/>
    <w:rsid w:val="00DD1AB8"/>
    <w:rsid w:val="00DF6F98"/>
    <w:rsid w:val="00E06FC8"/>
    <w:rsid w:val="00E1509D"/>
    <w:rsid w:val="00E22166"/>
    <w:rsid w:val="00E5429B"/>
    <w:rsid w:val="00E62163"/>
    <w:rsid w:val="00E70DB6"/>
    <w:rsid w:val="00E919B9"/>
    <w:rsid w:val="00E94B1B"/>
    <w:rsid w:val="00E95913"/>
    <w:rsid w:val="00EB053B"/>
    <w:rsid w:val="00EB4CF2"/>
    <w:rsid w:val="00EC2561"/>
    <w:rsid w:val="00EF0419"/>
    <w:rsid w:val="00F073CA"/>
    <w:rsid w:val="00F109A7"/>
    <w:rsid w:val="00F16F46"/>
    <w:rsid w:val="00F24DE7"/>
    <w:rsid w:val="00F37EA3"/>
    <w:rsid w:val="00F44DC4"/>
    <w:rsid w:val="00F61CCF"/>
    <w:rsid w:val="00F64715"/>
    <w:rsid w:val="00F70C1F"/>
    <w:rsid w:val="00F70C3B"/>
    <w:rsid w:val="00FA02A8"/>
    <w:rsid w:val="00FA44EF"/>
    <w:rsid w:val="00FB1E5B"/>
    <w:rsid w:val="00FB5155"/>
    <w:rsid w:val="00FB586F"/>
    <w:rsid w:val="00FE491A"/>
    <w:rsid w:val="00FE62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7891F"/>
  <w15:chartTrackingRefBased/>
  <w15:docId w15:val="{CDFCC8C4-6D81-48A9-B4F4-193D30F5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94B1B"/>
    <w:pPr>
      <w:spacing w:line="260" w:lineRule="atLeast"/>
      <w:jc w:val="both"/>
    </w:pPr>
    <w:rPr>
      <w:rFonts w:ascii="Palatino Linotype" w:hAnsi="Palatino Linotype"/>
      <w:noProof/>
      <w:color w:val="000000"/>
    </w:rPr>
  </w:style>
  <w:style w:type="paragraph" w:styleId="2">
    <w:name w:val="heading 2"/>
    <w:basedOn w:val="a"/>
    <w:next w:val="a"/>
    <w:link w:val="20"/>
    <w:qFormat/>
    <w:rsid w:val="00791EF2"/>
    <w:pPr>
      <w:keepNext/>
      <w:widowControl w:val="0"/>
      <w:spacing w:beforeLines="50" w:line="240" w:lineRule="auto"/>
      <w:jc w:val="left"/>
      <w:outlineLvl w:val="1"/>
    </w:pPr>
    <w:rPr>
      <w:rFonts w:ascii="Times New Roman" w:eastAsia="標楷體" w:hAnsi="Times New Roman"/>
      <w:b/>
      <w:bCs/>
      <w:noProof w:val="0"/>
      <w:color w:val="auto"/>
      <w:kern w:val="2"/>
      <w:sz w:val="24"/>
      <w:szCs w:val="24"/>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E94B1B"/>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E94B1B"/>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E94B1B"/>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E94B1B"/>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E94B1B"/>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E94B1B"/>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qFormat/>
    <w:rsid w:val="00E94B1B"/>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4B1B"/>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a1"/>
    <w:uiPriority w:val="99"/>
    <w:rsid w:val="00746129"/>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a3">
    <w:name w:val="Table Grid"/>
    <w:aliases w:val="回覆(1),表格格線-字 置左,常用表格,表格細,地稅專用表格"/>
    <w:basedOn w:val="a1"/>
    <w:rsid w:val="00E94B1B"/>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rsid w:val="00E94B1B"/>
    <w:pPr>
      <w:tabs>
        <w:tab w:val="center" w:pos="4153"/>
        <w:tab w:val="right" w:pos="8306"/>
      </w:tabs>
      <w:snapToGrid w:val="0"/>
      <w:spacing w:line="240" w:lineRule="atLeast"/>
    </w:pPr>
    <w:rPr>
      <w:szCs w:val="18"/>
    </w:rPr>
  </w:style>
  <w:style w:type="character" w:customStyle="1" w:styleId="a5">
    <w:name w:val="頁尾 字元"/>
    <w:link w:val="a4"/>
    <w:uiPriority w:val="99"/>
    <w:rsid w:val="00E94B1B"/>
    <w:rPr>
      <w:rFonts w:ascii="Palatino Linotype" w:hAnsi="Palatino Linotype"/>
      <w:noProof/>
      <w:color w:val="000000"/>
      <w:szCs w:val="18"/>
    </w:rPr>
  </w:style>
  <w:style w:type="paragraph" w:styleId="a6">
    <w:name w:val="header"/>
    <w:basedOn w:val="a"/>
    <w:link w:val="a7"/>
    <w:uiPriority w:val="99"/>
    <w:rsid w:val="00E94B1B"/>
    <w:pPr>
      <w:pBdr>
        <w:bottom w:val="single" w:sz="6" w:space="1" w:color="auto"/>
      </w:pBdr>
      <w:tabs>
        <w:tab w:val="center" w:pos="4153"/>
        <w:tab w:val="right" w:pos="8306"/>
      </w:tabs>
      <w:snapToGrid w:val="0"/>
      <w:spacing w:line="240" w:lineRule="atLeast"/>
      <w:jc w:val="center"/>
    </w:pPr>
    <w:rPr>
      <w:szCs w:val="18"/>
    </w:rPr>
  </w:style>
  <w:style w:type="character" w:customStyle="1" w:styleId="a7">
    <w:name w:val="頁首 字元"/>
    <w:link w:val="a6"/>
    <w:uiPriority w:val="99"/>
    <w:rsid w:val="00E94B1B"/>
    <w:rPr>
      <w:rFonts w:ascii="Palatino Linotype" w:hAnsi="Palatino Linotype"/>
      <w:noProof/>
      <w:color w:val="000000"/>
      <w:szCs w:val="18"/>
    </w:rPr>
  </w:style>
  <w:style w:type="paragraph" w:customStyle="1" w:styleId="MDPIheaderjournallogo">
    <w:name w:val="MDPI_header_journal_logo"/>
    <w:qFormat/>
    <w:rsid w:val="00E94B1B"/>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4B1B"/>
    <w:pPr>
      <w:ind w:firstLine="0"/>
    </w:pPr>
  </w:style>
  <w:style w:type="paragraph" w:customStyle="1" w:styleId="MDPI31text">
    <w:name w:val="MDPI_3.1_text"/>
    <w:qFormat/>
    <w:rsid w:val="008F0CF4"/>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4B1B"/>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4B1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4B1B"/>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E94B1B"/>
    <w:pPr>
      <w:numPr>
        <w:numId w:val="1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E94B1B"/>
    <w:pPr>
      <w:numPr>
        <w:numId w:val="1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4B1B"/>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4B1B"/>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4B1B"/>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0C3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4B1B"/>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4B1B"/>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E94B1B"/>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4B1B"/>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4B1B"/>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4B1B"/>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4B1B"/>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BA4CA6"/>
    <w:pPr>
      <w:numPr>
        <w:numId w:val="15"/>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a8">
    <w:name w:val="Balloon Text"/>
    <w:basedOn w:val="a"/>
    <w:link w:val="a9"/>
    <w:uiPriority w:val="99"/>
    <w:rsid w:val="00E94B1B"/>
    <w:rPr>
      <w:rFonts w:cs="Tahoma"/>
      <w:szCs w:val="18"/>
    </w:rPr>
  </w:style>
  <w:style w:type="character" w:customStyle="1" w:styleId="a9">
    <w:name w:val="註解方塊文字 字元"/>
    <w:link w:val="a8"/>
    <w:uiPriority w:val="99"/>
    <w:rsid w:val="00E94B1B"/>
    <w:rPr>
      <w:rFonts w:ascii="Palatino Linotype" w:hAnsi="Palatino Linotype" w:cs="Tahoma"/>
      <w:noProof/>
      <w:color w:val="000000"/>
      <w:szCs w:val="18"/>
    </w:rPr>
  </w:style>
  <w:style w:type="character" w:styleId="aa">
    <w:name w:val="line number"/>
    <w:uiPriority w:val="99"/>
    <w:rsid w:val="00A90484"/>
    <w:rPr>
      <w:rFonts w:ascii="Palatino Linotype" w:hAnsi="Palatino Linotype"/>
      <w:sz w:val="16"/>
    </w:rPr>
  </w:style>
  <w:style w:type="table" w:customStyle="1" w:styleId="MDPI41threelinetable">
    <w:name w:val="MDPI_4.1_three_line_table"/>
    <w:basedOn w:val="a1"/>
    <w:uiPriority w:val="99"/>
    <w:rsid w:val="00E94B1B"/>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b">
    <w:name w:val="Hyperlink"/>
    <w:uiPriority w:val="99"/>
    <w:rsid w:val="00E94B1B"/>
    <w:rPr>
      <w:color w:val="0000FF"/>
      <w:u w:val="single"/>
    </w:rPr>
  </w:style>
  <w:style w:type="character" w:customStyle="1" w:styleId="1">
    <w:name w:val="未解析的提及項目1"/>
    <w:uiPriority w:val="99"/>
    <w:semiHidden/>
    <w:unhideWhenUsed/>
    <w:rsid w:val="008C7940"/>
    <w:rPr>
      <w:color w:val="605E5C"/>
      <w:shd w:val="clear" w:color="auto" w:fill="E1DFDD"/>
    </w:rPr>
  </w:style>
  <w:style w:type="table" w:styleId="4">
    <w:name w:val="Plain Table 4"/>
    <w:basedOn w:val="a1"/>
    <w:uiPriority w:val="44"/>
    <w:rsid w:val="006F6BE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4B1B"/>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4B1B"/>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4B1B"/>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4B1B"/>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4B1B"/>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4B1B"/>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E94B1B"/>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4B1B"/>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4B1B"/>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4B1B"/>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E94B1B"/>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E94B1B"/>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4B1B"/>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4B1B"/>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4B1B"/>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4B1B"/>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4B1B"/>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uiPriority w:val="99"/>
    <w:rsid w:val="00E94B1B"/>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4B1B"/>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4B1B"/>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4B1B"/>
  </w:style>
  <w:style w:type="paragraph" w:styleId="ac">
    <w:name w:val="Bibliography"/>
    <w:basedOn w:val="a"/>
    <w:next w:val="a"/>
    <w:uiPriority w:val="37"/>
    <w:semiHidden/>
    <w:unhideWhenUsed/>
    <w:rsid w:val="00E94B1B"/>
  </w:style>
  <w:style w:type="paragraph" w:styleId="ad">
    <w:name w:val="Body Text"/>
    <w:link w:val="ae"/>
    <w:rsid w:val="00E94B1B"/>
    <w:pPr>
      <w:spacing w:after="120" w:line="340" w:lineRule="atLeast"/>
      <w:jc w:val="both"/>
    </w:pPr>
    <w:rPr>
      <w:rFonts w:ascii="Palatino Linotype" w:hAnsi="Palatino Linotype"/>
      <w:color w:val="000000"/>
      <w:sz w:val="24"/>
      <w:lang w:eastAsia="de-DE"/>
    </w:rPr>
  </w:style>
  <w:style w:type="character" w:customStyle="1" w:styleId="ae">
    <w:name w:val="本文 字元"/>
    <w:link w:val="ad"/>
    <w:rsid w:val="00E94B1B"/>
    <w:rPr>
      <w:rFonts w:ascii="Palatino Linotype" w:hAnsi="Palatino Linotype"/>
      <w:color w:val="000000"/>
      <w:sz w:val="24"/>
      <w:lang w:eastAsia="de-DE"/>
    </w:rPr>
  </w:style>
  <w:style w:type="character" w:styleId="af">
    <w:name w:val="annotation reference"/>
    <w:rsid w:val="00E94B1B"/>
    <w:rPr>
      <w:sz w:val="21"/>
      <w:szCs w:val="21"/>
    </w:rPr>
  </w:style>
  <w:style w:type="paragraph" w:styleId="af0">
    <w:name w:val="annotation text"/>
    <w:basedOn w:val="a"/>
    <w:link w:val="af1"/>
    <w:rsid w:val="00E94B1B"/>
  </w:style>
  <w:style w:type="character" w:customStyle="1" w:styleId="af1">
    <w:name w:val="註解文字 字元"/>
    <w:link w:val="af0"/>
    <w:rsid w:val="00E94B1B"/>
    <w:rPr>
      <w:rFonts w:ascii="Palatino Linotype" w:hAnsi="Palatino Linotype"/>
      <w:noProof/>
      <w:color w:val="000000"/>
    </w:rPr>
  </w:style>
  <w:style w:type="paragraph" w:styleId="af2">
    <w:name w:val="annotation subject"/>
    <w:basedOn w:val="af0"/>
    <w:next w:val="af0"/>
    <w:link w:val="af3"/>
    <w:rsid w:val="00E94B1B"/>
    <w:rPr>
      <w:b/>
      <w:bCs/>
    </w:rPr>
  </w:style>
  <w:style w:type="character" w:customStyle="1" w:styleId="af3">
    <w:name w:val="註解主旨 字元"/>
    <w:link w:val="af2"/>
    <w:rsid w:val="00E94B1B"/>
    <w:rPr>
      <w:rFonts w:ascii="Palatino Linotype" w:hAnsi="Palatino Linotype"/>
      <w:b/>
      <w:bCs/>
      <w:noProof/>
      <w:color w:val="000000"/>
    </w:rPr>
  </w:style>
  <w:style w:type="character" w:styleId="af4">
    <w:name w:val="endnote reference"/>
    <w:rsid w:val="00E94B1B"/>
    <w:rPr>
      <w:vertAlign w:val="superscript"/>
    </w:rPr>
  </w:style>
  <w:style w:type="paragraph" w:styleId="af5">
    <w:name w:val="endnote text"/>
    <w:basedOn w:val="a"/>
    <w:link w:val="af6"/>
    <w:semiHidden/>
    <w:unhideWhenUsed/>
    <w:rsid w:val="00E94B1B"/>
    <w:pPr>
      <w:spacing w:line="240" w:lineRule="auto"/>
    </w:pPr>
  </w:style>
  <w:style w:type="character" w:customStyle="1" w:styleId="af6">
    <w:name w:val="章節附註文字 字元"/>
    <w:link w:val="af5"/>
    <w:semiHidden/>
    <w:rsid w:val="00E94B1B"/>
    <w:rPr>
      <w:rFonts w:ascii="Palatino Linotype" w:hAnsi="Palatino Linotype"/>
      <w:noProof/>
      <w:color w:val="000000"/>
    </w:rPr>
  </w:style>
  <w:style w:type="character" w:styleId="af7">
    <w:name w:val="FollowedHyperlink"/>
    <w:rsid w:val="00E94B1B"/>
    <w:rPr>
      <w:color w:val="954F72"/>
      <w:u w:val="single"/>
    </w:rPr>
  </w:style>
  <w:style w:type="paragraph" w:styleId="af8">
    <w:name w:val="footnote text"/>
    <w:basedOn w:val="a"/>
    <w:link w:val="af9"/>
    <w:semiHidden/>
    <w:unhideWhenUsed/>
    <w:rsid w:val="00E94B1B"/>
    <w:pPr>
      <w:spacing w:line="240" w:lineRule="auto"/>
    </w:pPr>
  </w:style>
  <w:style w:type="character" w:customStyle="1" w:styleId="af9">
    <w:name w:val="註腳文字 字元"/>
    <w:link w:val="af8"/>
    <w:semiHidden/>
    <w:rsid w:val="00E94B1B"/>
    <w:rPr>
      <w:rFonts w:ascii="Palatino Linotype" w:hAnsi="Palatino Linotype"/>
      <w:noProof/>
      <w:color w:val="000000"/>
    </w:rPr>
  </w:style>
  <w:style w:type="paragraph" w:styleId="Web">
    <w:name w:val="Normal (Web)"/>
    <w:basedOn w:val="a"/>
    <w:uiPriority w:val="99"/>
    <w:rsid w:val="00E94B1B"/>
    <w:rPr>
      <w:szCs w:val="24"/>
    </w:rPr>
  </w:style>
  <w:style w:type="paragraph" w:customStyle="1" w:styleId="MsoFootnoteText0">
    <w:name w:val="MsoFootnoteText"/>
    <w:basedOn w:val="Web"/>
    <w:qFormat/>
    <w:rsid w:val="00E94B1B"/>
    <w:rPr>
      <w:rFonts w:ascii="Times New Roman" w:hAnsi="Times New Roman"/>
    </w:rPr>
  </w:style>
  <w:style w:type="character" w:styleId="afa">
    <w:name w:val="page number"/>
    <w:rsid w:val="00E94B1B"/>
  </w:style>
  <w:style w:type="character" w:styleId="afb">
    <w:name w:val="Placeholder Text"/>
    <w:uiPriority w:val="99"/>
    <w:semiHidden/>
    <w:rsid w:val="00E94B1B"/>
    <w:rPr>
      <w:color w:val="808080"/>
    </w:rPr>
  </w:style>
  <w:style w:type="paragraph" w:customStyle="1" w:styleId="MDPI71FootNotes">
    <w:name w:val="MDPI_7.1_FootNotes"/>
    <w:qFormat/>
    <w:rsid w:val="002677D3"/>
    <w:pPr>
      <w:numPr>
        <w:numId w:val="16"/>
      </w:numPr>
      <w:adjustRightInd w:val="0"/>
      <w:snapToGrid w:val="0"/>
      <w:spacing w:line="228" w:lineRule="auto"/>
      <w:jc w:val="both"/>
    </w:pPr>
    <w:rPr>
      <w:rFonts w:ascii="Palatino Linotype" w:eastAsiaTheme="minorEastAsia" w:hAnsi="Palatino Linotype"/>
      <w:noProof/>
      <w:color w:val="000000"/>
      <w:sz w:val="18"/>
    </w:rPr>
  </w:style>
  <w:style w:type="paragraph" w:customStyle="1" w:styleId="Default">
    <w:name w:val="Default"/>
    <w:rsid w:val="00446968"/>
    <w:pPr>
      <w:widowControl w:val="0"/>
      <w:autoSpaceDE w:val="0"/>
      <w:autoSpaceDN w:val="0"/>
      <w:adjustRightInd w:val="0"/>
    </w:pPr>
    <w:rPr>
      <w:rFonts w:ascii="Times New Roman" w:hAnsi="Times New Roman"/>
      <w:color w:val="000000"/>
      <w:sz w:val="24"/>
      <w:szCs w:val="24"/>
    </w:rPr>
  </w:style>
  <w:style w:type="paragraph" w:customStyle="1" w:styleId="10cm">
    <w:name w:val="樣式 段1 + 左:  0 cm"/>
    <w:basedOn w:val="a"/>
    <w:link w:val="10cm0"/>
    <w:rsid w:val="00791EF2"/>
    <w:pPr>
      <w:widowControl w:val="0"/>
      <w:snapToGrid w:val="0"/>
      <w:spacing w:line="500" w:lineRule="exact"/>
      <w:ind w:firstLineChars="200" w:firstLine="200"/>
    </w:pPr>
    <w:rPr>
      <w:rFonts w:ascii="Times New Roman" w:eastAsia="標楷體" w:hAnsi="Times New Roman" w:cs="新細明體"/>
      <w:noProof w:val="0"/>
      <w:color w:val="auto"/>
      <w:kern w:val="2"/>
      <w:sz w:val="26"/>
      <w:lang w:eastAsia="zh-TW"/>
    </w:rPr>
  </w:style>
  <w:style w:type="character" w:customStyle="1" w:styleId="10cm0">
    <w:name w:val="樣式 段1 + 左:  0 cm 字元"/>
    <w:basedOn w:val="a0"/>
    <w:link w:val="10cm"/>
    <w:rsid w:val="00791EF2"/>
    <w:rPr>
      <w:rFonts w:ascii="Times New Roman" w:eastAsia="標楷體" w:hAnsi="Times New Roman" w:cs="新細明體"/>
      <w:kern w:val="2"/>
      <w:sz w:val="26"/>
      <w:lang w:eastAsia="zh-TW"/>
    </w:rPr>
  </w:style>
  <w:style w:type="paragraph" w:customStyle="1" w:styleId="afc">
    <w:name w:val="圖標題"/>
    <w:basedOn w:val="a"/>
    <w:link w:val="afd"/>
    <w:qFormat/>
    <w:rsid w:val="00791EF2"/>
    <w:pPr>
      <w:widowControl w:val="0"/>
      <w:snapToGrid w:val="0"/>
      <w:spacing w:beforeLines="50" w:before="190" w:line="360" w:lineRule="auto"/>
      <w:jc w:val="center"/>
    </w:pPr>
    <w:rPr>
      <w:rFonts w:ascii="Times New Roman" w:eastAsia="標楷體" w:hAnsi="Times New Roman"/>
      <w:b/>
      <w:noProof w:val="0"/>
      <w:color w:val="auto"/>
      <w:kern w:val="2"/>
      <w:sz w:val="28"/>
      <w:szCs w:val="26"/>
      <w:lang w:eastAsia="zh-TW"/>
    </w:rPr>
  </w:style>
  <w:style w:type="character" w:customStyle="1" w:styleId="afd">
    <w:name w:val="圖標題 字元"/>
    <w:link w:val="afc"/>
    <w:rsid w:val="00791EF2"/>
    <w:rPr>
      <w:rFonts w:ascii="Times New Roman" w:eastAsia="標楷體" w:hAnsi="Times New Roman"/>
      <w:b/>
      <w:kern w:val="2"/>
      <w:sz w:val="28"/>
      <w:szCs w:val="26"/>
      <w:lang w:eastAsia="zh-TW"/>
    </w:rPr>
  </w:style>
  <w:style w:type="paragraph" w:customStyle="1" w:styleId="afe">
    <w:name w:val="資料來源"/>
    <w:basedOn w:val="a"/>
    <w:link w:val="aff"/>
    <w:qFormat/>
    <w:rsid w:val="00791EF2"/>
    <w:pPr>
      <w:widowControl w:val="0"/>
      <w:spacing w:afterLines="50" w:after="50" w:line="220" w:lineRule="exact"/>
      <w:jc w:val="left"/>
    </w:pPr>
    <w:rPr>
      <w:rFonts w:ascii="Times New Roman" w:eastAsia="標楷體" w:hAnsi="Times New Roman"/>
      <w:noProof w:val="0"/>
      <w:color w:val="auto"/>
      <w:kern w:val="2"/>
      <w:lang w:eastAsia="zh-TW"/>
    </w:rPr>
  </w:style>
  <w:style w:type="character" w:customStyle="1" w:styleId="aff">
    <w:name w:val="資料來源 字元"/>
    <w:basedOn w:val="a0"/>
    <w:link w:val="afe"/>
    <w:rsid w:val="00791EF2"/>
    <w:rPr>
      <w:rFonts w:ascii="Times New Roman" w:eastAsia="標楷體" w:hAnsi="Times New Roman"/>
      <w:kern w:val="2"/>
      <w:lang w:eastAsia="zh-TW"/>
    </w:rPr>
  </w:style>
  <w:style w:type="paragraph" w:customStyle="1" w:styleId="aff0">
    <w:name w:val="圖片"/>
    <w:basedOn w:val="a"/>
    <w:link w:val="aff1"/>
    <w:qFormat/>
    <w:rsid w:val="00791EF2"/>
    <w:pPr>
      <w:widowControl w:val="0"/>
      <w:adjustRightInd w:val="0"/>
      <w:snapToGrid w:val="0"/>
      <w:spacing w:line="240" w:lineRule="auto"/>
      <w:jc w:val="center"/>
    </w:pPr>
    <w:rPr>
      <w:rFonts w:ascii="Times New Roman" w:eastAsia="標楷體" w:hAnsi="Times New Roman"/>
      <w:noProof w:val="0"/>
      <w:color w:val="auto"/>
      <w:kern w:val="2"/>
      <w:sz w:val="26"/>
      <w:szCs w:val="28"/>
      <w:lang w:eastAsia="zh-TW"/>
    </w:rPr>
  </w:style>
  <w:style w:type="character" w:customStyle="1" w:styleId="aff1">
    <w:name w:val="圖片 字元"/>
    <w:link w:val="aff0"/>
    <w:rsid w:val="00791EF2"/>
    <w:rPr>
      <w:rFonts w:ascii="Times New Roman" w:eastAsia="標楷體" w:hAnsi="Times New Roman"/>
      <w:kern w:val="2"/>
      <w:sz w:val="26"/>
      <w:szCs w:val="28"/>
      <w:lang w:eastAsia="zh-TW"/>
    </w:rPr>
  </w:style>
  <w:style w:type="paragraph" w:customStyle="1" w:styleId="aff2">
    <w:name w:val="圖"/>
    <w:basedOn w:val="a"/>
    <w:next w:val="a"/>
    <w:link w:val="aff3"/>
    <w:qFormat/>
    <w:rsid w:val="00791EF2"/>
    <w:pPr>
      <w:widowControl w:val="0"/>
      <w:spacing w:beforeLines="50" w:afterLines="50" w:line="240" w:lineRule="auto"/>
      <w:jc w:val="center"/>
    </w:pPr>
    <w:rPr>
      <w:rFonts w:ascii="Times New Roman" w:eastAsia="標楷體" w:hAnsi="Times New Roman"/>
      <w:noProof w:val="0"/>
      <w:color w:val="auto"/>
      <w:kern w:val="2"/>
      <w:sz w:val="24"/>
      <w:szCs w:val="22"/>
      <w:lang w:eastAsia="zh-TW"/>
    </w:rPr>
  </w:style>
  <w:style w:type="character" w:customStyle="1" w:styleId="aff3">
    <w:name w:val="圖 字元"/>
    <w:link w:val="aff2"/>
    <w:rsid w:val="00791EF2"/>
    <w:rPr>
      <w:rFonts w:ascii="Times New Roman" w:eastAsia="標楷體" w:hAnsi="Times New Roman"/>
      <w:kern w:val="2"/>
      <w:sz w:val="24"/>
      <w:szCs w:val="22"/>
      <w:lang w:eastAsia="zh-TW"/>
    </w:rPr>
  </w:style>
  <w:style w:type="character" w:customStyle="1" w:styleId="20">
    <w:name w:val="標題 2 字元"/>
    <w:basedOn w:val="a0"/>
    <w:link w:val="2"/>
    <w:rsid w:val="00791EF2"/>
    <w:rPr>
      <w:rFonts w:ascii="Times New Roman" w:eastAsia="標楷體" w:hAnsi="Times New Roman"/>
      <w:b/>
      <w:bCs/>
      <w:kern w:val="2"/>
      <w:sz w:val="24"/>
      <w:szCs w:val="24"/>
      <w:lang w:eastAsia="zh-TW"/>
    </w:rPr>
  </w:style>
  <w:style w:type="character" w:customStyle="1" w:styleId="notion-enable-hover">
    <w:name w:val="notion-enable-hover"/>
    <w:basedOn w:val="a0"/>
    <w:rsid w:val="005830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452861">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X:\&#12304;&#21516;&#20107;&#36039;&#26009;&#22846;&#12305;\&#12304;A01-&#37041;&#28189;&#26041;&#12305;\INTERPRAEVENT%202022\Interpraevent2022&#31820;&#20633;&#23567;&#32068;\&#36992;&#35531;&#20449;&#12289;Call%20for%20paper%20and%20sponsor\IP2022-AE-template_063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91D35-844B-45E9-AB3A-102956C68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IP2022-AE-template_0630.dotx</Template>
  <TotalTime>160</TotalTime>
  <Pages>4</Pages>
  <Words>703</Words>
  <Characters>4012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fun</dc:creator>
  <cp:keywords/>
  <dc:description/>
  <cp:lastModifiedBy>Tosha.E.T</cp:lastModifiedBy>
  <cp:revision>16</cp:revision>
  <cp:lastPrinted>2022-07-29T07:04:00Z</cp:lastPrinted>
  <dcterms:created xsi:type="dcterms:W3CDTF">2022-07-29T05:53:00Z</dcterms:created>
  <dcterms:modified xsi:type="dcterms:W3CDTF">2022-08-16T07:56:00Z</dcterms:modified>
</cp:coreProperties>
</file>