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30CD9A58" w:rsidR="00BF351B" w:rsidRDefault="2645ED3D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Introdução</w:t>
      </w:r>
    </w:p>
    <w:p w14:paraId="779717E2" w14:textId="60405290" w:rsidR="2C9C0EE9" w:rsidRDefault="00BC6840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BC6840">
        <w:rPr>
          <w:rFonts w:eastAsia="Arial" w:cs="Arial"/>
          <w:color w:val="000000" w:themeColor="text1"/>
          <w:szCs w:val="24"/>
        </w:rPr>
        <w:t xml:space="preserve">A integração e a validação de </w:t>
      </w:r>
      <w:proofErr w:type="spellStart"/>
      <w:r w:rsidRPr="00BC6840">
        <w:rPr>
          <w:rFonts w:eastAsia="Arial" w:cs="Arial"/>
          <w:b/>
          <w:bCs/>
          <w:color w:val="000000" w:themeColor="text1"/>
          <w:szCs w:val="24"/>
        </w:rPr>
        <w:t>Application</w:t>
      </w:r>
      <w:proofErr w:type="spellEnd"/>
      <w:r w:rsidRPr="00BC6840">
        <w:rPr>
          <w:rFonts w:eastAsia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BC6840">
        <w:rPr>
          <w:rFonts w:eastAsia="Arial" w:cs="Arial"/>
          <w:b/>
          <w:bCs/>
          <w:color w:val="000000" w:themeColor="text1"/>
          <w:szCs w:val="24"/>
        </w:rPr>
        <w:t>Programming</w:t>
      </w:r>
      <w:proofErr w:type="spellEnd"/>
      <w:r w:rsidRPr="00BC6840">
        <w:rPr>
          <w:rFonts w:eastAsia="Arial" w:cs="Arial"/>
          <w:b/>
          <w:bCs/>
          <w:color w:val="000000" w:themeColor="text1"/>
          <w:szCs w:val="24"/>
        </w:rPr>
        <w:t xml:space="preserve"> Interfaces (APIs)</w:t>
      </w:r>
      <w:r w:rsidRPr="00BC6840">
        <w:rPr>
          <w:rFonts w:eastAsia="Arial" w:cs="Arial"/>
          <w:color w:val="000000" w:themeColor="text1"/>
          <w:szCs w:val="24"/>
        </w:rPr>
        <w:t xml:space="preserve"> são cruciais no desenvolvimento de software moderno, pois permitem que sistemas distintos troquem dados e funcionalidades de forma eficiente e segura. Este projeto foca na integração de um </w:t>
      </w:r>
      <w:r w:rsidRPr="00BC6840">
        <w:rPr>
          <w:rFonts w:eastAsia="Arial" w:cs="Arial"/>
          <w:b/>
          <w:bCs/>
          <w:color w:val="000000" w:themeColor="text1"/>
          <w:szCs w:val="24"/>
        </w:rPr>
        <w:t>Sistema de Gerenciamento de Pedidos (SGP)</w:t>
      </w:r>
      <w:r w:rsidRPr="00BC6840">
        <w:rPr>
          <w:rFonts w:eastAsia="Arial" w:cs="Arial"/>
          <w:color w:val="000000" w:themeColor="text1"/>
          <w:szCs w:val="24"/>
        </w:rPr>
        <w:t xml:space="preserve"> com uma </w:t>
      </w:r>
      <w:r w:rsidRPr="00BC6840">
        <w:rPr>
          <w:rFonts w:eastAsia="Arial" w:cs="Arial"/>
          <w:b/>
          <w:bCs/>
          <w:color w:val="000000" w:themeColor="text1"/>
          <w:szCs w:val="24"/>
        </w:rPr>
        <w:t>API Externa de Processamento de Pagamentos (APP)</w:t>
      </w:r>
      <w:r w:rsidRPr="00BC6840">
        <w:rPr>
          <w:rFonts w:eastAsia="Arial" w:cs="Arial"/>
          <w:color w:val="000000" w:themeColor="text1"/>
          <w:szCs w:val="24"/>
        </w:rPr>
        <w:t xml:space="preserve">. O desafio central é garantir que as transações sejam processadas corretamente e que a comunicação entre os sistemas seja robusta, resiliente e segura, com especial atenção à </w:t>
      </w:r>
      <w:r w:rsidRPr="00BC6840">
        <w:rPr>
          <w:rFonts w:eastAsia="Arial" w:cs="Arial"/>
          <w:b/>
          <w:bCs/>
          <w:color w:val="000000" w:themeColor="text1"/>
          <w:szCs w:val="24"/>
        </w:rPr>
        <w:t>validação de dados</w:t>
      </w:r>
      <w:r w:rsidRPr="00BC6840">
        <w:rPr>
          <w:rFonts w:eastAsia="Arial" w:cs="Arial"/>
          <w:color w:val="000000" w:themeColor="text1"/>
          <w:szCs w:val="24"/>
        </w:rPr>
        <w:t xml:space="preserve"> em todas as etapas da comunicação. A dependência de serviços externos exige que o SGP adote mecanismos proativos para garantir a integridade dos dados, a confiabilidade da conexão e a correta interpretação das respostas para manter a consistência do negócio.</w:t>
      </w:r>
    </w:p>
    <w:p w14:paraId="12C8684A" w14:textId="2A1944D7" w:rsidR="00AA53B4" w:rsidRPr="2C9C0EE9" w:rsidRDefault="00AA53B4" w:rsidP="00AA53B4">
      <w:pPr>
        <w:spacing w:line="276" w:lineRule="auto"/>
        <w:ind w:firstLine="284"/>
        <w:jc w:val="center"/>
        <w:rPr>
          <w:rFonts w:eastAsia="Arial" w:cs="Arial"/>
          <w:color w:val="000000" w:themeColor="text1"/>
          <w:szCs w:val="24"/>
        </w:rPr>
      </w:pPr>
    </w:p>
    <w:p w14:paraId="050A0E7A" w14:textId="5A378869" w:rsidR="0F37F025" w:rsidRDefault="0F37F025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2C9C0EE9">
        <w:rPr>
          <w:rFonts w:eastAsia="Arial" w:cs="Arial"/>
          <w:color w:val="000000" w:themeColor="text1"/>
          <w:szCs w:val="24"/>
        </w:rPr>
        <w:t>.</w:t>
      </w:r>
    </w:p>
    <w:p w14:paraId="3A24407C" w14:textId="77777777" w:rsidR="00BC6840" w:rsidRDefault="00BC6840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496A8EB9" w14:textId="77777777" w:rsidR="00BC6840" w:rsidRDefault="00BC6840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40E6B9FB" w14:textId="77777777" w:rsidR="00BC6840" w:rsidRDefault="00BC6840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652ADDA2" w14:textId="340BF462" w:rsidR="00BF351B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rFonts w:eastAsia="Arial" w:cs="Arial"/>
          <w:b/>
          <w:bCs/>
        </w:rPr>
      </w:pPr>
      <w:r w:rsidRPr="2C9C0EE9">
        <w:rPr>
          <w:rFonts w:eastAsia="Arial" w:cs="Arial"/>
          <w:b/>
          <w:bCs/>
        </w:rPr>
        <w:t>Objetivo</w:t>
      </w:r>
      <w:r w:rsidR="3A8767AF" w:rsidRPr="2C9C0EE9">
        <w:rPr>
          <w:rFonts w:eastAsia="Arial" w:cs="Arial"/>
          <w:b/>
          <w:bCs/>
        </w:rPr>
        <w:t>s</w:t>
      </w:r>
    </w:p>
    <w:p w14:paraId="4EA744FC" w14:textId="67E9512E" w:rsidR="2C9C0EE9" w:rsidRDefault="00BC6840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BC6840">
        <w:rPr>
          <w:rFonts w:eastAsia="Arial" w:cs="Arial"/>
          <w:color w:val="000000" w:themeColor="text1"/>
          <w:szCs w:val="24"/>
        </w:rPr>
        <w:t xml:space="preserve">O objetivo principal deste projeto é desenvolver e implementar um mecanismo de integração e validação robusto entre o Sistema de Gerenciamento de Pedidos (SGP) e a API Externa de Processamento de Pagamentos (APP). Para isso, serão perseguidos objetivos específicos cruciais. O primeiro é </w:t>
      </w:r>
      <w:r w:rsidRPr="00BC6840">
        <w:rPr>
          <w:rFonts w:eastAsia="Arial" w:cs="Arial"/>
          <w:b/>
          <w:bCs/>
          <w:color w:val="000000" w:themeColor="text1"/>
          <w:szCs w:val="24"/>
        </w:rPr>
        <w:t>garantir a integridade dos dados</w:t>
      </w:r>
      <w:r w:rsidRPr="00BC6840">
        <w:rPr>
          <w:rFonts w:eastAsia="Arial" w:cs="Arial"/>
          <w:color w:val="000000" w:themeColor="text1"/>
          <w:szCs w:val="24"/>
        </w:rPr>
        <w:t xml:space="preserve"> de pagamento enviados à APP, prevenindo erros de formatação ou omissão de campos obrigatórios. Em seguida, será necessário </w:t>
      </w:r>
      <w:r w:rsidRPr="00BC6840">
        <w:rPr>
          <w:rFonts w:eastAsia="Arial" w:cs="Arial"/>
          <w:b/>
          <w:bCs/>
          <w:color w:val="000000" w:themeColor="text1"/>
          <w:szCs w:val="24"/>
        </w:rPr>
        <w:t>validar a autenticidade e autorização</w:t>
      </w:r>
      <w:r w:rsidRPr="00BC6840">
        <w:rPr>
          <w:rFonts w:eastAsia="Arial" w:cs="Arial"/>
          <w:color w:val="000000" w:themeColor="text1"/>
          <w:szCs w:val="24"/>
        </w:rPr>
        <w:t xml:space="preserve"> das requisições, utilizando padrões de segurança como chaves API ou </w:t>
      </w:r>
      <w:proofErr w:type="spellStart"/>
      <w:r w:rsidRPr="00BC6840">
        <w:rPr>
          <w:rFonts w:eastAsia="Arial" w:cs="Arial"/>
          <w:color w:val="000000" w:themeColor="text1"/>
          <w:szCs w:val="24"/>
        </w:rPr>
        <w:t>OAuth</w:t>
      </w:r>
      <w:proofErr w:type="spellEnd"/>
      <w:r w:rsidRPr="00BC6840">
        <w:rPr>
          <w:rFonts w:eastAsia="Arial" w:cs="Arial"/>
          <w:color w:val="000000" w:themeColor="text1"/>
          <w:szCs w:val="24"/>
        </w:rPr>
        <w:t xml:space="preserve">. É fundamental também </w:t>
      </w:r>
      <w:r w:rsidRPr="00BC6840">
        <w:rPr>
          <w:rFonts w:eastAsia="Arial" w:cs="Arial"/>
          <w:b/>
          <w:bCs/>
          <w:color w:val="000000" w:themeColor="text1"/>
          <w:szCs w:val="24"/>
        </w:rPr>
        <w:t>implementar tratamento de erros</w:t>
      </w:r>
      <w:r w:rsidRPr="00BC6840">
        <w:rPr>
          <w:rFonts w:eastAsia="Arial" w:cs="Arial"/>
          <w:color w:val="000000" w:themeColor="text1"/>
          <w:szCs w:val="24"/>
        </w:rPr>
        <w:t xml:space="preserve"> sofisticado e </w:t>
      </w:r>
      <w:proofErr w:type="spellStart"/>
      <w:r w:rsidRPr="00BC6840">
        <w:rPr>
          <w:rFonts w:eastAsia="Arial" w:cs="Arial"/>
          <w:i/>
          <w:iCs/>
          <w:color w:val="000000" w:themeColor="text1"/>
          <w:szCs w:val="24"/>
        </w:rPr>
        <w:t>retry</w:t>
      </w:r>
      <w:proofErr w:type="spellEnd"/>
      <w:r w:rsidRPr="00BC6840">
        <w:rPr>
          <w:rFonts w:eastAsia="Arial" w:cs="Arial"/>
          <w:i/>
          <w:iCs/>
          <w:color w:val="000000" w:themeColor="text1"/>
          <w:szCs w:val="24"/>
        </w:rPr>
        <w:t xml:space="preserve"> </w:t>
      </w:r>
      <w:proofErr w:type="spellStart"/>
      <w:r w:rsidRPr="00BC6840">
        <w:rPr>
          <w:rFonts w:eastAsia="Arial" w:cs="Arial"/>
          <w:i/>
          <w:iCs/>
          <w:color w:val="000000" w:themeColor="text1"/>
          <w:szCs w:val="24"/>
        </w:rPr>
        <w:t>mechanisms</w:t>
      </w:r>
      <w:proofErr w:type="spellEnd"/>
      <w:r w:rsidRPr="00BC6840">
        <w:rPr>
          <w:rFonts w:eastAsia="Arial" w:cs="Arial"/>
          <w:color w:val="000000" w:themeColor="text1"/>
          <w:szCs w:val="24"/>
        </w:rPr>
        <w:t xml:space="preserve"> (mecanismos de repetição) para lidar com falhas transitórias e garantir a resiliência do sistema. Além disso, o projeto visa </w:t>
      </w:r>
      <w:r w:rsidRPr="00BC6840">
        <w:rPr>
          <w:rFonts w:eastAsia="Arial" w:cs="Arial"/>
          <w:b/>
          <w:bCs/>
          <w:color w:val="000000" w:themeColor="text1"/>
          <w:szCs w:val="24"/>
        </w:rPr>
        <w:t>mapear e transformar</w:t>
      </w:r>
      <w:r w:rsidRPr="00BC6840">
        <w:rPr>
          <w:rFonts w:eastAsia="Arial" w:cs="Arial"/>
          <w:color w:val="000000" w:themeColor="text1"/>
          <w:szCs w:val="24"/>
        </w:rPr>
        <w:t xml:space="preserve"> os dados entre os diferentes formatos esperados pelo SGP e pela APP de forma transparente. Por fim, o objetivo é </w:t>
      </w:r>
      <w:r w:rsidRPr="00BC6840">
        <w:rPr>
          <w:rFonts w:eastAsia="Arial" w:cs="Arial"/>
          <w:b/>
          <w:bCs/>
          <w:color w:val="000000" w:themeColor="text1"/>
          <w:szCs w:val="24"/>
        </w:rPr>
        <w:t>assegurar que a resposta</w:t>
      </w:r>
      <w:r w:rsidRPr="00BC6840">
        <w:rPr>
          <w:rFonts w:eastAsia="Arial" w:cs="Arial"/>
          <w:color w:val="000000" w:themeColor="text1"/>
          <w:szCs w:val="24"/>
        </w:rPr>
        <w:t xml:space="preserve"> da APP (sucesso/falha do pagamento) seja corretamente interpretada, validada e registrada no SGP, mantendo a consistência do estado do pedido.</w:t>
      </w:r>
    </w:p>
    <w:p w14:paraId="5329FCD4" w14:textId="3A6EEF63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Metodologia</w:t>
      </w:r>
    </w:p>
    <w:p w14:paraId="6D258AD8" w14:textId="77777777" w:rsidR="002D570D" w:rsidRPr="003809C6" w:rsidRDefault="002D570D" w:rsidP="003809C6">
      <w:pPr>
        <w:pStyle w:val="NormalWeb"/>
        <w:ind w:left="360"/>
        <w:jc w:val="both"/>
        <w:rPr>
          <w:rFonts w:ascii="Arial" w:hAnsi="Arial" w:cs="Arial"/>
        </w:rPr>
      </w:pPr>
      <w:r w:rsidRPr="003809C6">
        <w:rPr>
          <w:rFonts w:ascii="Arial" w:hAnsi="Arial" w:cs="Arial"/>
        </w:rPr>
        <w:t xml:space="preserve">O desenvolvimento e implementação do projeto seguirão uma metodologia </w:t>
      </w:r>
      <w:r w:rsidRPr="003809C6">
        <w:rPr>
          <w:rFonts w:ascii="Arial" w:hAnsi="Arial" w:cs="Arial"/>
        </w:rPr>
        <w:lastRenderedPageBreak/>
        <w:t xml:space="preserve">rigorosa dividida em etapas sequenciais, começando pelo </w:t>
      </w:r>
      <w:r w:rsidRPr="003809C6">
        <w:rPr>
          <w:rFonts w:ascii="Arial" w:hAnsi="Arial" w:cs="Arial"/>
          <w:b/>
          <w:bCs/>
        </w:rPr>
        <w:t>Design da Interface e Contrato</w:t>
      </w:r>
      <w:r w:rsidRPr="003809C6">
        <w:rPr>
          <w:rFonts w:ascii="Arial" w:hAnsi="Arial" w:cs="Arial"/>
        </w:rPr>
        <w:t xml:space="preserve">. Nesta fase, utilizaremos o padrão </w:t>
      </w:r>
      <w:proofErr w:type="spellStart"/>
      <w:r w:rsidRPr="003809C6">
        <w:rPr>
          <w:rFonts w:ascii="Arial" w:hAnsi="Arial" w:cs="Arial"/>
          <w:b/>
          <w:bCs/>
        </w:rPr>
        <w:t>OpenAPI</w:t>
      </w:r>
      <w:proofErr w:type="spellEnd"/>
      <w:r w:rsidRPr="003809C6">
        <w:rPr>
          <w:rFonts w:ascii="Arial" w:hAnsi="Arial" w:cs="Arial"/>
          <w:b/>
          <w:bCs/>
        </w:rPr>
        <w:t xml:space="preserve"> (Swagger)</w:t>
      </w:r>
      <w:r w:rsidRPr="003809C6">
        <w:rPr>
          <w:rFonts w:ascii="Arial" w:hAnsi="Arial" w:cs="Arial"/>
        </w:rPr>
        <w:t xml:space="preserve"> para documentar explicitamente o contrato da API de Pagamentos. Isso envolve a definição precisa do </w:t>
      </w:r>
      <w:proofErr w:type="spellStart"/>
      <w:r w:rsidRPr="003809C6">
        <w:rPr>
          <w:rFonts w:ascii="Arial" w:hAnsi="Arial" w:cs="Arial"/>
          <w:i/>
          <w:iCs/>
        </w:rPr>
        <w:t>schema</w:t>
      </w:r>
      <w:proofErr w:type="spellEnd"/>
      <w:r w:rsidRPr="003809C6">
        <w:rPr>
          <w:rFonts w:ascii="Arial" w:hAnsi="Arial" w:cs="Arial"/>
        </w:rPr>
        <w:t xml:space="preserve"> de dados esperado para as requisições (incluindo campos obrigatórios como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orderId</w:t>
      </w:r>
      <w:proofErr w:type="spellEnd"/>
      <w:r w:rsidRPr="003809C6">
        <w:rPr>
          <w:rFonts w:ascii="Arial" w:hAnsi="Arial" w:cs="Arial"/>
        </w:rPr>
        <w:t xml:space="preserve">,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amount</w:t>
      </w:r>
      <w:proofErr w:type="spellEnd"/>
      <w:r w:rsidRPr="003809C6">
        <w:rPr>
          <w:rFonts w:ascii="Arial" w:hAnsi="Arial" w:cs="Arial"/>
        </w:rPr>
        <w:t xml:space="preserve">,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currency</w:t>
      </w:r>
      <w:proofErr w:type="spellEnd"/>
      <w:r w:rsidRPr="003809C6">
        <w:rPr>
          <w:rFonts w:ascii="Arial" w:hAnsi="Arial" w:cs="Arial"/>
        </w:rPr>
        <w:t xml:space="preserve"> e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paymentMethod</w:t>
      </w:r>
      <w:proofErr w:type="spellEnd"/>
      <w:r w:rsidRPr="003809C6">
        <w:rPr>
          <w:rFonts w:ascii="Arial" w:hAnsi="Arial" w:cs="Arial"/>
        </w:rPr>
        <w:t xml:space="preserve">), seus respectivos tipos e limites de caracteres. Além disso, estabeleceremos o mecanismo de segurança, preferencialmente um </w:t>
      </w:r>
      <w:r w:rsidRPr="003809C6">
        <w:rPr>
          <w:rFonts w:ascii="Arial" w:hAnsi="Arial" w:cs="Arial"/>
          <w:b/>
          <w:bCs/>
        </w:rPr>
        <w:t xml:space="preserve">Token </w:t>
      </w:r>
      <w:proofErr w:type="spellStart"/>
      <w:r w:rsidRPr="003809C6">
        <w:rPr>
          <w:rFonts w:ascii="Arial" w:hAnsi="Arial" w:cs="Arial"/>
          <w:b/>
          <w:bCs/>
        </w:rPr>
        <w:t>Bearer</w:t>
      </w:r>
      <w:proofErr w:type="spellEnd"/>
      <w:r w:rsidRPr="003809C6">
        <w:rPr>
          <w:rFonts w:ascii="Arial" w:hAnsi="Arial" w:cs="Arial"/>
        </w:rPr>
        <w:t xml:space="preserve"> no cabeçalho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Authorization</w:t>
      </w:r>
      <w:proofErr w:type="spellEnd"/>
      <w:r w:rsidRPr="003809C6">
        <w:rPr>
          <w:rFonts w:ascii="Arial" w:hAnsi="Arial" w:cs="Arial"/>
        </w:rPr>
        <w:t xml:space="preserve">, e definiremos um conjunto claro de códigos de resposta HTTP. Por exemplo, </w:t>
      </w:r>
      <w:r w:rsidRPr="003809C6">
        <w:rPr>
          <w:rStyle w:val="CdigoHTML"/>
          <w:rFonts w:ascii="Arial" w:hAnsi="Arial" w:cs="Arial"/>
          <w:sz w:val="24"/>
          <w:szCs w:val="24"/>
        </w:rPr>
        <w:t>200 OK</w:t>
      </w:r>
      <w:r w:rsidRPr="003809C6">
        <w:rPr>
          <w:rFonts w:ascii="Arial" w:hAnsi="Arial" w:cs="Arial"/>
        </w:rPr>
        <w:t xml:space="preserve"> será usado para transações bem-sucedidas, </w:t>
      </w:r>
      <w:r w:rsidRPr="003809C6">
        <w:rPr>
          <w:rStyle w:val="CdigoHTML"/>
          <w:rFonts w:ascii="Arial" w:hAnsi="Arial" w:cs="Arial"/>
          <w:sz w:val="24"/>
          <w:szCs w:val="24"/>
        </w:rPr>
        <w:t xml:space="preserve">400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Bad</w:t>
      </w:r>
      <w:proofErr w:type="spellEnd"/>
      <w:r w:rsidRPr="003809C6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Request</w:t>
      </w:r>
      <w:proofErr w:type="spellEnd"/>
      <w:r w:rsidRPr="003809C6">
        <w:rPr>
          <w:rFonts w:ascii="Arial" w:hAnsi="Arial" w:cs="Arial"/>
        </w:rPr>
        <w:t xml:space="preserve"> para falhas de validação de dados e </w:t>
      </w:r>
      <w:r w:rsidRPr="003809C6">
        <w:rPr>
          <w:rStyle w:val="CdigoHTML"/>
          <w:rFonts w:ascii="Arial" w:hAnsi="Arial" w:cs="Arial"/>
          <w:sz w:val="24"/>
          <w:szCs w:val="24"/>
        </w:rPr>
        <w:t xml:space="preserve">503 Service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Unavailable</w:t>
      </w:r>
      <w:proofErr w:type="spellEnd"/>
      <w:r w:rsidRPr="003809C6">
        <w:rPr>
          <w:rFonts w:ascii="Arial" w:hAnsi="Arial" w:cs="Arial"/>
        </w:rPr>
        <w:t xml:space="preserve"> para indicar problemas temporários de serviço na API de Pagamentos.</w:t>
      </w:r>
    </w:p>
    <w:p w14:paraId="544C77AE" w14:textId="77777777" w:rsidR="002D570D" w:rsidRPr="003809C6" w:rsidRDefault="002D570D" w:rsidP="003809C6">
      <w:pPr>
        <w:pStyle w:val="NormalWeb"/>
        <w:ind w:left="360"/>
        <w:jc w:val="both"/>
        <w:rPr>
          <w:rFonts w:ascii="Arial" w:hAnsi="Arial" w:cs="Arial"/>
        </w:rPr>
      </w:pPr>
      <w:r w:rsidRPr="003809C6">
        <w:rPr>
          <w:rFonts w:ascii="Arial" w:hAnsi="Arial" w:cs="Arial"/>
        </w:rPr>
        <w:t xml:space="preserve">Em seguida, passaremos para a fase de </w:t>
      </w:r>
      <w:r w:rsidRPr="003809C6">
        <w:rPr>
          <w:rFonts w:ascii="Arial" w:hAnsi="Arial" w:cs="Arial"/>
          <w:b/>
          <w:bCs/>
        </w:rPr>
        <w:t>Implementação da Lógica de Integração no SGP</w:t>
      </w:r>
      <w:r w:rsidRPr="003809C6">
        <w:rPr>
          <w:rFonts w:ascii="Arial" w:hAnsi="Arial" w:cs="Arial"/>
        </w:rPr>
        <w:t xml:space="preserve">, onde o foco principal será a </w:t>
      </w:r>
      <w:r w:rsidRPr="003809C6">
        <w:rPr>
          <w:rFonts w:ascii="Arial" w:hAnsi="Arial" w:cs="Arial"/>
          <w:b/>
          <w:bCs/>
        </w:rPr>
        <w:t>Validação de Entrada (</w:t>
      </w:r>
      <w:r w:rsidRPr="003809C6">
        <w:rPr>
          <w:rFonts w:ascii="Arial" w:hAnsi="Arial" w:cs="Arial"/>
          <w:b/>
          <w:bCs/>
          <w:i/>
          <w:iCs/>
        </w:rPr>
        <w:t xml:space="preserve">Input </w:t>
      </w:r>
      <w:proofErr w:type="spellStart"/>
      <w:r w:rsidRPr="003809C6">
        <w:rPr>
          <w:rFonts w:ascii="Arial" w:hAnsi="Arial" w:cs="Arial"/>
          <w:b/>
          <w:bCs/>
          <w:i/>
          <w:iCs/>
        </w:rPr>
        <w:t>Validation</w:t>
      </w:r>
      <w:proofErr w:type="spellEnd"/>
      <w:r w:rsidRPr="003809C6">
        <w:rPr>
          <w:rFonts w:ascii="Arial" w:hAnsi="Arial" w:cs="Arial"/>
          <w:b/>
          <w:bCs/>
        </w:rPr>
        <w:t>)</w:t>
      </w:r>
      <w:r w:rsidRPr="003809C6">
        <w:rPr>
          <w:rFonts w:ascii="Arial" w:hAnsi="Arial" w:cs="Arial"/>
        </w:rPr>
        <w:t>. Antes que o SGP envie qualquer requisição para a API de Pagamentos, ele executará uma validação interna (</w:t>
      </w:r>
      <w:proofErr w:type="spellStart"/>
      <w:r w:rsidRPr="003809C6">
        <w:rPr>
          <w:rFonts w:ascii="Arial" w:hAnsi="Arial" w:cs="Arial"/>
          <w:i/>
          <w:iCs/>
        </w:rPr>
        <w:t>client-side</w:t>
      </w:r>
      <w:proofErr w:type="spellEnd"/>
      <w:r w:rsidRPr="003809C6">
        <w:rPr>
          <w:rFonts w:ascii="Arial" w:hAnsi="Arial" w:cs="Arial"/>
        </w:rPr>
        <w:t xml:space="preserve">) para verificar a presença e o formato correto de todos os dados críticos. Por exemplo, será validado se o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amount</w:t>
      </w:r>
      <w:proofErr w:type="spellEnd"/>
      <w:r w:rsidRPr="003809C6">
        <w:rPr>
          <w:rFonts w:ascii="Arial" w:hAnsi="Arial" w:cs="Arial"/>
        </w:rPr>
        <w:t xml:space="preserve"> é um valor numérico positivo e se a </w:t>
      </w:r>
      <w:proofErr w:type="spellStart"/>
      <w:r w:rsidRPr="003809C6">
        <w:rPr>
          <w:rStyle w:val="CdigoHTML"/>
          <w:rFonts w:ascii="Arial" w:hAnsi="Arial" w:cs="Arial"/>
          <w:sz w:val="24"/>
          <w:szCs w:val="24"/>
        </w:rPr>
        <w:t>currency</w:t>
      </w:r>
      <w:proofErr w:type="spellEnd"/>
      <w:r w:rsidRPr="003809C6">
        <w:rPr>
          <w:rFonts w:ascii="Arial" w:hAnsi="Arial" w:cs="Arial"/>
        </w:rPr>
        <w:t xml:space="preserve"> é um </w:t>
      </w:r>
      <w:r w:rsidRPr="003809C6">
        <w:rPr>
          <w:rFonts w:ascii="Arial" w:hAnsi="Arial" w:cs="Arial"/>
        </w:rPr>
        <w:t xml:space="preserve">código ISO válido. Essa validação prévia é crucial para evitar o desperdício de recursos e a poluição dos logs da API externa. Implementaremos também uma camada de serviço, utilizando o </w:t>
      </w:r>
      <w:proofErr w:type="spellStart"/>
      <w:r w:rsidRPr="003809C6">
        <w:rPr>
          <w:rFonts w:ascii="Arial" w:hAnsi="Arial" w:cs="Arial"/>
          <w:b/>
          <w:bCs/>
        </w:rPr>
        <w:t>Adapter</w:t>
      </w:r>
      <w:proofErr w:type="spellEnd"/>
      <w:r w:rsidRPr="003809C6">
        <w:rPr>
          <w:rFonts w:ascii="Arial" w:hAnsi="Arial" w:cs="Arial"/>
          <w:b/>
          <w:bCs/>
        </w:rPr>
        <w:t xml:space="preserve"> </w:t>
      </w:r>
      <w:proofErr w:type="spellStart"/>
      <w:r w:rsidRPr="003809C6">
        <w:rPr>
          <w:rFonts w:ascii="Arial" w:hAnsi="Arial" w:cs="Arial"/>
          <w:b/>
          <w:bCs/>
        </w:rPr>
        <w:t>Pattern</w:t>
      </w:r>
      <w:proofErr w:type="spellEnd"/>
      <w:r w:rsidRPr="003809C6">
        <w:rPr>
          <w:rFonts w:ascii="Arial" w:hAnsi="Arial" w:cs="Arial"/>
        </w:rPr>
        <w:t xml:space="preserve">, para realizar o </w:t>
      </w:r>
      <w:r w:rsidRPr="003809C6">
        <w:rPr>
          <w:rFonts w:ascii="Arial" w:hAnsi="Arial" w:cs="Arial"/>
          <w:b/>
          <w:bCs/>
        </w:rPr>
        <w:t>Mapeamento e a Transformação de Dados</w:t>
      </w:r>
      <w:r w:rsidRPr="003809C6">
        <w:rPr>
          <w:rFonts w:ascii="Arial" w:hAnsi="Arial" w:cs="Arial"/>
        </w:rPr>
        <w:t xml:space="preserve">, garantindo que o objeto de pedido interno do SGP seja convertido exatamente para o </w:t>
      </w:r>
      <w:proofErr w:type="spellStart"/>
      <w:r w:rsidRPr="003809C6">
        <w:rPr>
          <w:rFonts w:ascii="Arial" w:hAnsi="Arial" w:cs="Arial"/>
          <w:i/>
          <w:iCs/>
        </w:rPr>
        <w:t>payload</w:t>
      </w:r>
      <w:proofErr w:type="spellEnd"/>
      <w:r w:rsidRPr="003809C6">
        <w:rPr>
          <w:rFonts w:ascii="Arial" w:hAnsi="Arial" w:cs="Arial"/>
        </w:rPr>
        <w:t xml:space="preserve"> JSON exigido pela API externa.</w:t>
      </w:r>
    </w:p>
    <w:p w14:paraId="149827C1" w14:textId="77777777" w:rsidR="002D570D" w:rsidRPr="003809C6" w:rsidRDefault="002D570D" w:rsidP="003809C6">
      <w:pPr>
        <w:pStyle w:val="NormalWeb"/>
        <w:ind w:left="720"/>
        <w:jc w:val="both"/>
        <w:rPr>
          <w:rFonts w:ascii="Arial" w:hAnsi="Arial" w:cs="Arial"/>
        </w:rPr>
      </w:pPr>
      <w:r w:rsidRPr="003809C6">
        <w:rPr>
          <w:rFonts w:ascii="Arial" w:hAnsi="Arial" w:cs="Arial"/>
        </w:rPr>
        <w:t xml:space="preserve">A fase de implementação incluirá o robusto </w:t>
      </w:r>
      <w:r w:rsidRPr="003809C6">
        <w:rPr>
          <w:rFonts w:ascii="Arial" w:hAnsi="Arial" w:cs="Arial"/>
          <w:b/>
          <w:bCs/>
        </w:rPr>
        <w:t>Tratamento de Conexão e Erros</w:t>
      </w:r>
      <w:r w:rsidRPr="003809C6">
        <w:rPr>
          <w:rFonts w:ascii="Arial" w:hAnsi="Arial" w:cs="Arial"/>
        </w:rPr>
        <w:t xml:space="preserve">. Serão utilizadas bibliotecas HTTP que permitem configurar </w:t>
      </w:r>
      <w:r w:rsidRPr="003809C6">
        <w:rPr>
          <w:rFonts w:ascii="Arial" w:hAnsi="Arial" w:cs="Arial"/>
          <w:i/>
          <w:iCs/>
        </w:rPr>
        <w:t>timeouts</w:t>
      </w:r>
      <w:r w:rsidRPr="003809C6">
        <w:rPr>
          <w:rFonts w:ascii="Arial" w:hAnsi="Arial" w:cs="Arial"/>
        </w:rPr>
        <w:t xml:space="preserve"> e que suportam a implementação de padrões de resiliência. Adotaremos um </w:t>
      </w:r>
      <w:r w:rsidRPr="003809C6">
        <w:rPr>
          <w:rFonts w:ascii="Arial" w:hAnsi="Arial" w:cs="Arial"/>
          <w:b/>
          <w:bCs/>
        </w:rPr>
        <w:t xml:space="preserve">Circuit </w:t>
      </w:r>
      <w:proofErr w:type="spellStart"/>
      <w:r w:rsidRPr="003809C6">
        <w:rPr>
          <w:rFonts w:ascii="Arial" w:hAnsi="Arial" w:cs="Arial"/>
          <w:b/>
          <w:bCs/>
        </w:rPr>
        <w:t>Breaker</w:t>
      </w:r>
      <w:proofErr w:type="spellEnd"/>
      <w:r w:rsidRPr="003809C6">
        <w:rPr>
          <w:rFonts w:ascii="Arial" w:hAnsi="Arial" w:cs="Arial"/>
          <w:b/>
          <w:bCs/>
        </w:rPr>
        <w:t xml:space="preserve"> </w:t>
      </w:r>
      <w:proofErr w:type="spellStart"/>
      <w:r w:rsidRPr="003809C6">
        <w:rPr>
          <w:rFonts w:ascii="Arial" w:hAnsi="Arial" w:cs="Arial"/>
          <w:b/>
          <w:bCs/>
        </w:rPr>
        <w:t>Pattern</w:t>
      </w:r>
      <w:proofErr w:type="spellEnd"/>
      <w:r w:rsidRPr="003809C6">
        <w:rPr>
          <w:rFonts w:ascii="Arial" w:hAnsi="Arial" w:cs="Arial"/>
        </w:rPr>
        <w:t xml:space="preserve"> para proteger a API de Pagamentos contra sobrecarga em caso de falhas persistentes no sistema externo e implementaremos um mecanismo de </w:t>
      </w:r>
      <w:proofErr w:type="spellStart"/>
      <w:r w:rsidRPr="003809C6">
        <w:rPr>
          <w:rFonts w:ascii="Arial" w:hAnsi="Arial" w:cs="Arial"/>
          <w:b/>
          <w:bCs/>
        </w:rPr>
        <w:t>retentativa</w:t>
      </w:r>
      <w:proofErr w:type="spellEnd"/>
      <w:r w:rsidRPr="003809C6">
        <w:rPr>
          <w:rFonts w:ascii="Arial" w:hAnsi="Arial" w:cs="Arial"/>
          <w:b/>
          <w:bCs/>
        </w:rPr>
        <w:t xml:space="preserve"> exponencial com </w:t>
      </w:r>
      <w:proofErr w:type="spellStart"/>
      <w:r w:rsidRPr="003809C6">
        <w:rPr>
          <w:rFonts w:ascii="Arial" w:hAnsi="Arial" w:cs="Arial"/>
          <w:b/>
          <w:bCs/>
          <w:i/>
          <w:iCs/>
        </w:rPr>
        <w:t>jitter</w:t>
      </w:r>
      <w:proofErr w:type="spellEnd"/>
      <w:r w:rsidRPr="003809C6">
        <w:rPr>
          <w:rFonts w:ascii="Arial" w:hAnsi="Arial" w:cs="Arial"/>
        </w:rPr>
        <w:t xml:space="preserve"> (atraso aleatório) para tratar erros 5xx transitórios, aumentando a probabilidade de sucesso da transação sem sobrecarregar o serviço externo. Finalmente, no lado da resposta, a </w:t>
      </w:r>
      <w:r w:rsidRPr="003809C6">
        <w:rPr>
          <w:rFonts w:ascii="Arial" w:hAnsi="Arial" w:cs="Arial"/>
          <w:b/>
          <w:bCs/>
        </w:rPr>
        <w:t>Validação de Saída (</w:t>
      </w:r>
      <w:r w:rsidRPr="003809C6">
        <w:rPr>
          <w:rFonts w:ascii="Arial" w:hAnsi="Arial" w:cs="Arial"/>
          <w:b/>
          <w:bCs/>
          <w:i/>
          <w:iCs/>
        </w:rPr>
        <w:t xml:space="preserve">Output </w:t>
      </w:r>
      <w:proofErr w:type="spellStart"/>
      <w:r w:rsidRPr="003809C6">
        <w:rPr>
          <w:rFonts w:ascii="Arial" w:hAnsi="Arial" w:cs="Arial"/>
          <w:b/>
          <w:bCs/>
          <w:i/>
          <w:iCs/>
        </w:rPr>
        <w:t>Validation</w:t>
      </w:r>
      <w:proofErr w:type="spellEnd"/>
      <w:r w:rsidRPr="003809C6">
        <w:rPr>
          <w:rFonts w:ascii="Arial" w:hAnsi="Arial" w:cs="Arial"/>
          <w:b/>
          <w:bCs/>
        </w:rPr>
        <w:t>)</w:t>
      </w:r>
      <w:r w:rsidRPr="003809C6">
        <w:rPr>
          <w:rFonts w:ascii="Arial" w:hAnsi="Arial" w:cs="Arial"/>
        </w:rPr>
        <w:t xml:space="preserve"> será executada para garantir que o </w:t>
      </w:r>
      <w:proofErr w:type="spellStart"/>
      <w:r w:rsidRPr="003809C6">
        <w:rPr>
          <w:rFonts w:ascii="Arial" w:hAnsi="Arial" w:cs="Arial"/>
          <w:i/>
          <w:iCs/>
        </w:rPr>
        <w:t>schema</w:t>
      </w:r>
      <w:proofErr w:type="spellEnd"/>
      <w:r w:rsidRPr="003809C6">
        <w:rPr>
          <w:rFonts w:ascii="Arial" w:hAnsi="Arial" w:cs="Arial"/>
        </w:rPr>
        <w:t xml:space="preserve"> da resposta da API de Pagamentos seja consistente e contenha o </w:t>
      </w:r>
      <w:r w:rsidRPr="003809C6">
        <w:rPr>
          <w:rFonts w:ascii="Arial" w:hAnsi="Arial" w:cs="Arial"/>
          <w:i/>
          <w:iCs/>
        </w:rPr>
        <w:t>status</w:t>
      </w:r>
      <w:r w:rsidRPr="003809C6">
        <w:rPr>
          <w:rFonts w:ascii="Arial" w:hAnsi="Arial" w:cs="Arial"/>
        </w:rPr>
        <w:t xml:space="preserve"> final da </w:t>
      </w:r>
      <w:r w:rsidRPr="003809C6">
        <w:rPr>
          <w:rFonts w:ascii="Arial" w:hAnsi="Arial" w:cs="Arial"/>
        </w:rPr>
        <w:lastRenderedPageBreak/>
        <w:t>transação e o ID da transação, antes que o SGP atualize seu registro de pedido.</w:t>
      </w:r>
    </w:p>
    <w:p w14:paraId="2C39CCEA" w14:textId="77777777" w:rsidR="002D570D" w:rsidRPr="003809C6" w:rsidRDefault="002D570D" w:rsidP="003809C6">
      <w:pPr>
        <w:pStyle w:val="NormalWeb"/>
        <w:ind w:left="360"/>
        <w:jc w:val="both"/>
        <w:rPr>
          <w:rFonts w:ascii="Arial" w:hAnsi="Arial" w:cs="Arial"/>
        </w:rPr>
      </w:pPr>
      <w:r w:rsidRPr="003809C6">
        <w:rPr>
          <w:rFonts w:ascii="Arial" w:hAnsi="Arial" w:cs="Arial"/>
        </w:rPr>
        <w:t xml:space="preserve">A metodologia culminará na fase de </w:t>
      </w:r>
      <w:r w:rsidRPr="003809C6">
        <w:rPr>
          <w:rFonts w:ascii="Arial" w:hAnsi="Arial" w:cs="Arial"/>
          <w:b/>
          <w:bCs/>
        </w:rPr>
        <w:t>Teste e Validação</w:t>
      </w:r>
      <w:r w:rsidRPr="003809C6">
        <w:rPr>
          <w:rFonts w:ascii="Arial" w:hAnsi="Arial" w:cs="Arial"/>
        </w:rPr>
        <w:t xml:space="preserve">. Além dos </w:t>
      </w:r>
      <w:r w:rsidRPr="003809C6">
        <w:rPr>
          <w:rFonts w:ascii="Arial" w:hAnsi="Arial" w:cs="Arial"/>
          <w:b/>
          <w:bCs/>
        </w:rPr>
        <w:t>Testes Unitários</w:t>
      </w:r>
      <w:r w:rsidRPr="003809C6">
        <w:rPr>
          <w:rFonts w:ascii="Arial" w:hAnsi="Arial" w:cs="Arial"/>
        </w:rPr>
        <w:t xml:space="preserve"> na camada de mapeamento e dos </w:t>
      </w:r>
      <w:r w:rsidRPr="003809C6">
        <w:rPr>
          <w:rFonts w:ascii="Arial" w:hAnsi="Arial" w:cs="Arial"/>
          <w:b/>
          <w:bCs/>
        </w:rPr>
        <w:t>Testes de Integração</w:t>
      </w:r>
      <w:r w:rsidRPr="003809C6">
        <w:rPr>
          <w:rFonts w:ascii="Arial" w:hAnsi="Arial" w:cs="Arial"/>
        </w:rPr>
        <w:t xml:space="preserve"> contra um ambiente </w:t>
      </w:r>
      <w:proofErr w:type="spellStart"/>
      <w:r w:rsidRPr="003809C6">
        <w:rPr>
          <w:rFonts w:ascii="Arial" w:hAnsi="Arial" w:cs="Arial"/>
          <w:i/>
          <w:iCs/>
        </w:rPr>
        <w:t>sandbox</w:t>
      </w:r>
      <w:proofErr w:type="spellEnd"/>
      <w:r w:rsidRPr="003809C6">
        <w:rPr>
          <w:rFonts w:ascii="Arial" w:hAnsi="Arial" w:cs="Arial"/>
        </w:rPr>
        <w:t xml:space="preserve"> ou servidor </w:t>
      </w:r>
      <w:proofErr w:type="spellStart"/>
      <w:r w:rsidRPr="003809C6">
        <w:rPr>
          <w:rFonts w:ascii="Arial" w:hAnsi="Arial" w:cs="Arial"/>
          <w:i/>
          <w:iCs/>
        </w:rPr>
        <w:t>mock</w:t>
      </w:r>
      <w:proofErr w:type="spellEnd"/>
      <w:r w:rsidRPr="003809C6">
        <w:rPr>
          <w:rFonts w:ascii="Arial" w:hAnsi="Arial" w:cs="Arial"/>
        </w:rPr>
        <w:t xml:space="preserve"> que simule vários cenários de sucesso e falha (400, 500), introduziremos os </w:t>
      </w:r>
      <w:r w:rsidRPr="003809C6">
        <w:rPr>
          <w:rFonts w:ascii="Arial" w:hAnsi="Arial" w:cs="Arial"/>
          <w:b/>
          <w:bCs/>
        </w:rPr>
        <w:t>Testes de Contrato (</w:t>
      </w:r>
      <w:proofErr w:type="spellStart"/>
      <w:r w:rsidRPr="003809C6">
        <w:rPr>
          <w:rFonts w:ascii="Arial" w:hAnsi="Arial" w:cs="Arial"/>
          <w:b/>
          <w:bCs/>
          <w:i/>
          <w:iCs/>
        </w:rPr>
        <w:t>Contract</w:t>
      </w:r>
      <w:proofErr w:type="spellEnd"/>
      <w:r w:rsidRPr="003809C6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3809C6">
        <w:rPr>
          <w:rFonts w:ascii="Arial" w:hAnsi="Arial" w:cs="Arial"/>
          <w:b/>
          <w:bCs/>
          <w:i/>
          <w:iCs/>
        </w:rPr>
        <w:t>Testing</w:t>
      </w:r>
      <w:proofErr w:type="spellEnd"/>
      <w:r w:rsidRPr="003809C6">
        <w:rPr>
          <w:rFonts w:ascii="Arial" w:hAnsi="Arial" w:cs="Arial"/>
          <w:b/>
          <w:bCs/>
        </w:rPr>
        <w:t>)</w:t>
      </w:r>
      <w:r w:rsidRPr="003809C6">
        <w:rPr>
          <w:rFonts w:ascii="Arial" w:hAnsi="Arial" w:cs="Arial"/>
        </w:rPr>
        <w:t xml:space="preserve"> utilizando ferramentas como </w:t>
      </w:r>
      <w:proofErr w:type="spellStart"/>
      <w:r w:rsidRPr="003809C6">
        <w:rPr>
          <w:rFonts w:ascii="Arial" w:hAnsi="Arial" w:cs="Arial"/>
          <w:b/>
          <w:bCs/>
        </w:rPr>
        <w:t>Pact</w:t>
      </w:r>
      <w:proofErr w:type="spellEnd"/>
      <w:r w:rsidRPr="003809C6">
        <w:rPr>
          <w:rFonts w:ascii="Arial" w:hAnsi="Arial" w:cs="Arial"/>
        </w:rPr>
        <w:t xml:space="preserve">. Este tipo de teste garantirá que as expectativas que o SGP tem sobre a estrutura da API de Pagamentos sejam continuamente atendidas, prevenindo </w:t>
      </w:r>
      <w:proofErr w:type="spellStart"/>
      <w:r w:rsidRPr="003809C6">
        <w:rPr>
          <w:rFonts w:ascii="Arial" w:hAnsi="Arial" w:cs="Arial"/>
          <w:i/>
          <w:iCs/>
        </w:rPr>
        <w:t>breaking</w:t>
      </w:r>
      <w:proofErr w:type="spellEnd"/>
      <w:r w:rsidRPr="003809C6">
        <w:rPr>
          <w:rFonts w:ascii="Arial" w:hAnsi="Arial" w:cs="Arial"/>
          <w:i/>
          <w:iCs/>
        </w:rPr>
        <w:t xml:space="preserve"> </w:t>
      </w:r>
      <w:proofErr w:type="spellStart"/>
      <w:r w:rsidRPr="003809C6">
        <w:rPr>
          <w:rFonts w:ascii="Arial" w:hAnsi="Arial" w:cs="Arial"/>
          <w:i/>
          <w:iCs/>
        </w:rPr>
        <w:t>changes</w:t>
      </w:r>
      <w:proofErr w:type="spellEnd"/>
      <w:r w:rsidRPr="003809C6">
        <w:rPr>
          <w:rFonts w:ascii="Arial" w:hAnsi="Arial" w:cs="Arial"/>
        </w:rPr>
        <w:t xml:space="preserve"> e assegurando a estabilidade da integração ao longo do tempo.</w:t>
      </w:r>
    </w:p>
    <w:p w14:paraId="158048D8" w14:textId="7DDEA8E8" w:rsidR="213247D1" w:rsidRDefault="213247D1" w:rsidP="213247D1">
      <w:pPr>
        <w:spacing w:line="276" w:lineRule="auto"/>
        <w:ind w:firstLine="284"/>
        <w:jc w:val="both"/>
      </w:pPr>
    </w:p>
    <w:p w14:paraId="2EA4B71C" w14:textId="0C7A4130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Resultado</w:t>
      </w:r>
    </w:p>
    <w:p w14:paraId="5B378588" w14:textId="740B6F06" w:rsidR="00A92C49" w:rsidRDefault="00A92C49" w:rsidP="00A92C49">
      <w:pPr>
        <w:spacing w:line="276" w:lineRule="auto"/>
        <w:ind w:firstLine="284"/>
        <w:jc w:val="both"/>
      </w:pPr>
      <w:r w:rsidRPr="00A92C49">
        <w:t xml:space="preserve">O resultado esperado deste projeto é um módulo de pagamento no SGP que seja funcional, altamente resiliente e bem validado, minimizando falhas de comunicação e maximizando a taxa de sucesso das transações. Os indicadores de sucesso (KPIs) esperados demonstram a eficácia da abordagem. Espera-se atingir uma </w:t>
      </w:r>
      <w:r w:rsidRPr="00A92C49">
        <w:rPr>
          <w:b/>
          <w:bCs/>
        </w:rPr>
        <w:t>Taxa de Sucesso de Transações</w:t>
      </w:r>
      <w:r w:rsidRPr="00A92C49">
        <w:t xml:space="preserve"> superior a 99.5%, o que confirmará a eficácia da validação de entrada e do mapeamento de dados. A </w:t>
      </w:r>
      <w:r w:rsidRPr="00A92C49">
        <w:t xml:space="preserve">implementação da validação </w:t>
      </w:r>
      <w:proofErr w:type="spellStart"/>
      <w:r w:rsidRPr="00A92C49">
        <w:rPr>
          <w:i/>
          <w:iCs/>
        </w:rPr>
        <w:t>client-side</w:t>
      </w:r>
      <w:proofErr w:type="spellEnd"/>
      <w:r w:rsidRPr="00A92C49">
        <w:t xml:space="preserve"> no SGP deve resultar em uma diminuição dos </w:t>
      </w:r>
      <w:r w:rsidRPr="00A92C49">
        <w:rPr>
          <w:b/>
          <w:bCs/>
        </w:rPr>
        <w:t>Erros 400 (</w:t>
      </w:r>
      <w:proofErr w:type="spellStart"/>
      <w:r w:rsidRPr="00A92C49">
        <w:rPr>
          <w:b/>
          <w:bCs/>
        </w:rPr>
        <w:t>Bad</w:t>
      </w:r>
      <w:proofErr w:type="spellEnd"/>
      <w:r w:rsidRPr="00A92C49">
        <w:rPr>
          <w:b/>
          <w:bCs/>
        </w:rPr>
        <w:t xml:space="preserve"> </w:t>
      </w:r>
      <w:proofErr w:type="spellStart"/>
      <w:r w:rsidRPr="00A92C49">
        <w:rPr>
          <w:b/>
          <w:bCs/>
        </w:rPr>
        <w:t>Request</w:t>
      </w:r>
      <w:proofErr w:type="spellEnd"/>
      <w:r w:rsidRPr="00A92C49">
        <w:rPr>
          <w:b/>
          <w:bCs/>
        </w:rPr>
        <w:t>)</w:t>
      </w:r>
      <w:r w:rsidRPr="00A92C49">
        <w:t xml:space="preserve"> registrados na API de Pagamentos para menos de 0.1%, pois a maioria das falhas de </w:t>
      </w:r>
      <w:r w:rsidRPr="00A92C49">
        <w:rPr>
          <w:i/>
          <w:iCs/>
        </w:rPr>
        <w:t>input</w:t>
      </w:r>
      <w:r w:rsidRPr="00A92C49">
        <w:t xml:space="preserve"> será interceptada antes do envio. A </w:t>
      </w:r>
      <w:r w:rsidRPr="00A92C49">
        <w:rPr>
          <w:b/>
          <w:bCs/>
        </w:rPr>
        <w:t>Disponibilidade da Integração</w:t>
      </w:r>
      <w:r w:rsidRPr="00A92C49">
        <w:t xml:space="preserve"> também será um resultado chave, com o sistema visando uma taxa superior a 99.9%, atestando que os mecanismos de </w:t>
      </w:r>
      <w:proofErr w:type="spellStart"/>
      <w:r w:rsidRPr="00A92C49">
        <w:rPr>
          <w:i/>
          <w:iCs/>
        </w:rPr>
        <w:t>retry</w:t>
      </w:r>
      <w:proofErr w:type="spellEnd"/>
      <w:r w:rsidRPr="00A92C49">
        <w:t xml:space="preserve"> e </w:t>
      </w:r>
      <w:proofErr w:type="spellStart"/>
      <w:r w:rsidRPr="00A92C49">
        <w:rPr>
          <w:i/>
          <w:iCs/>
        </w:rPr>
        <w:t>circuit</w:t>
      </w:r>
      <w:proofErr w:type="spellEnd"/>
      <w:r w:rsidRPr="00A92C49">
        <w:rPr>
          <w:i/>
          <w:iCs/>
        </w:rPr>
        <w:t xml:space="preserve"> </w:t>
      </w:r>
      <w:proofErr w:type="spellStart"/>
      <w:r w:rsidRPr="00A92C49">
        <w:rPr>
          <w:i/>
          <w:iCs/>
        </w:rPr>
        <w:t>breaker</w:t>
      </w:r>
      <w:proofErr w:type="spellEnd"/>
      <w:r w:rsidRPr="00A92C49">
        <w:t xml:space="preserve"> são capazes de lidar com falhas transitórias (5xx) da API externa sem interromper o serviço. Finalmente, a </w:t>
      </w:r>
      <w:r w:rsidRPr="00A92C49">
        <w:rPr>
          <w:b/>
          <w:bCs/>
        </w:rPr>
        <w:t>Aderência ao Contrato</w:t>
      </w:r>
      <w:r w:rsidRPr="00A92C49">
        <w:t xml:space="preserve"> deve ser de 100%, garantida pela aprovação consistente dos testes de contrato após cada implantação. Como resultado direto da lógica de validação do SGP, se um pedido for enviado sem um campo essencial como </w:t>
      </w:r>
      <w:proofErr w:type="spellStart"/>
      <w:r w:rsidRPr="00A92C49">
        <w:t>amount</w:t>
      </w:r>
      <w:proofErr w:type="spellEnd"/>
      <w:r w:rsidRPr="00A92C49">
        <w:t>, a requisição será bloqueada internamente e um erro 400 claro será retornado imediatamente ao usuário do SGP, evitando o desperdício de recursos na rede e no serviço externo.</w:t>
      </w:r>
    </w:p>
    <w:p w14:paraId="3FCC4F5B" w14:textId="77777777" w:rsidR="00A92C49" w:rsidRDefault="00A92C49" w:rsidP="00AD4E4D">
      <w:pPr>
        <w:spacing w:line="276" w:lineRule="auto"/>
        <w:ind w:firstLine="284"/>
      </w:pPr>
    </w:p>
    <w:p w14:paraId="1157C89D" w14:textId="742C1CC1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Conclusão</w:t>
      </w:r>
    </w:p>
    <w:p w14:paraId="429D04DE" w14:textId="3DBFD290" w:rsidR="00AD4E4D" w:rsidRPr="00AD4E4D" w:rsidRDefault="00C34726" w:rsidP="00C34726">
      <w:pPr>
        <w:spacing w:line="276" w:lineRule="auto"/>
        <w:ind w:firstLine="284"/>
        <w:jc w:val="both"/>
      </w:pPr>
      <w:r w:rsidRPr="00C34726">
        <w:t xml:space="preserve">A integração e validação de APIs, como demonstrado neste projeto, não é apenas um requisito técnico, mas uma </w:t>
      </w:r>
      <w:r w:rsidRPr="00C34726">
        <w:rPr>
          <w:b/>
          <w:bCs/>
        </w:rPr>
        <w:t>estratégia de garantia de qualidade</w:t>
      </w:r>
      <w:r w:rsidRPr="00C34726">
        <w:t xml:space="preserve"> essencial para sistemas distribuídos. A implementação de </w:t>
      </w:r>
      <w:r w:rsidRPr="00C34726">
        <w:lastRenderedPageBreak/>
        <w:t xml:space="preserve">uma forte </w:t>
      </w:r>
      <w:r w:rsidRPr="00C34726">
        <w:rPr>
          <w:b/>
          <w:bCs/>
        </w:rPr>
        <w:t>validação de entrada e saída</w:t>
      </w:r>
      <w:r w:rsidRPr="00C34726">
        <w:t xml:space="preserve">, combinada com padrões de resiliência (como </w:t>
      </w:r>
      <w:proofErr w:type="spellStart"/>
      <w:r w:rsidRPr="00C34726">
        <w:rPr>
          <w:i/>
          <w:iCs/>
        </w:rPr>
        <w:t>retry</w:t>
      </w:r>
      <w:proofErr w:type="spellEnd"/>
      <w:r w:rsidRPr="00C34726">
        <w:t xml:space="preserve"> e </w:t>
      </w:r>
      <w:proofErr w:type="spellStart"/>
      <w:r w:rsidRPr="00C34726">
        <w:rPr>
          <w:i/>
          <w:iCs/>
        </w:rPr>
        <w:t>circuit</w:t>
      </w:r>
      <w:proofErr w:type="spellEnd"/>
      <w:r w:rsidRPr="00C34726">
        <w:rPr>
          <w:i/>
          <w:iCs/>
        </w:rPr>
        <w:t xml:space="preserve"> </w:t>
      </w:r>
      <w:proofErr w:type="spellStart"/>
      <w:r w:rsidRPr="00C34726">
        <w:rPr>
          <w:i/>
          <w:iCs/>
        </w:rPr>
        <w:t>breaker</w:t>
      </w:r>
      <w:proofErr w:type="spellEnd"/>
      <w:r w:rsidRPr="00C34726">
        <w:t xml:space="preserve">), garante que a troca de dados entre sistemas seja confiável e que a experiência do usuário seja consistente, mesmo diante de instabilidades externas. O uso de ferramentas de </w:t>
      </w:r>
      <w:r w:rsidRPr="00C34726">
        <w:rPr>
          <w:b/>
          <w:bCs/>
        </w:rPr>
        <w:t>Contrato API (</w:t>
      </w:r>
      <w:proofErr w:type="spellStart"/>
      <w:r w:rsidRPr="00C34726">
        <w:rPr>
          <w:b/>
          <w:bCs/>
        </w:rPr>
        <w:t>OpenAPI</w:t>
      </w:r>
      <w:proofErr w:type="spellEnd"/>
      <w:r w:rsidRPr="00C34726">
        <w:rPr>
          <w:b/>
          <w:bCs/>
        </w:rPr>
        <w:t>/</w:t>
      </w:r>
      <w:proofErr w:type="spellStart"/>
      <w:r w:rsidRPr="00C34726">
        <w:rPr>
          <w:b/>
          <w:bCs/>
        </w:rPr>
        <w:t>Pact</w:t>
      </w:r>
      <w:proofErr w:type="spellEnd"/>
      <w:r w:rsidRPr="00C34726">
        <w:rPr>
          <w:b/>
          <w:bCs/>
        </w:rPr>
        <w:t>)</w:t>
      </w:r>
      <w:r w:rsidRPr="00C34726">
        <w:t xml:space="preserve"> move a validação para o início do ciclo de desenvolvimento, minimizando </w:t>
      </w:r>
      <w:r w:rsidRPr="00C34726">
        <w:rPr>
          <w:i/>
          <w:iCs/>
        </w:rPr>
        <w:t>bugs</w:t>
      </w:r>
      <w:r w:rsidRPr="00C34726">
        <w:t xml:space="preserve"> de integração em produção e reforçando a robustez de toda a arquitetura. Ao focar na prevenção de erros (validação </w:t>
      </w:r>
      <w:proofErr w:type="spellStart"/>
      <w:r w:rsidRPr="00C34726">
        <w:rPr>
          <w:i/>
          <w:iCs/>
        </w:rPr>
        <w:t>client-side</w:t>
      </w:r>
      <w:proofErr w:type="spellEnd"/>
      <w:r w:rsidRPr="00C34726">
        <w:t>) e na recuperação de falhas (padrões de resiliência), o SGP alcança um alto grau de confiabilidade em seu processo de pagamento.</w:t>
      </w: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3AAA0" w14:textId="77777777" w:rsidR="0051699E" w:rsidRDefault="0051699E" w:rsidP="00BF351B">
      <w:pPr>
        <w:spacing w:after="0" w:line="240" w:lineRule="auto"/>
      </w:pPr>
      <w:r>
        <w:separator/>
      </w:r>
    </w:p>
  </w:endnote>
  <w:endnote w:type="continuationSeparator" w:id="0">
    <w:p w14:paraId="2975603C" w14:textId="77777777" w:rsidR="0051699E" w:rsidRDefault="0051699E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6A22" w14:textId="77777777" w:rsidR="00AD4E4D" w:rsidRPr="00D03EC8" w:rsidRDefault="00AD4E4D" w:rsidP="00AD4E4D">
    <w:pPr>
      <w:pStyle w:val="Bibliografia"/>
      <w:ind w:firstLine="0"/>
      <w:rPr>
        <w:b/>
        <w:noProof/>
      </w:rPr>
    </w:pPr>
    <w:r>
      <w:rPr>
        <w:b/>
      </w:rPr>
      <w:t xml:space="preserve">REFERÊNCIAS:      </w:t>
    </w:r>
    <w:r w:rsidRPr="00310804">
      <w:rPr>
        <w:noProof/>
      </w:rPr>
      <w:t xml:space="preserve">CARMONA, J. V. (2011). </w:t>
    </w:r>
    <w:r w:rsidRPr="00D03EC8">
      <w:rPr>
        <w:b/>
        <w:noProof/>
      </w:rPr>
      <w:t xml:space="preserve">Análise </w:t>
    </w:r>
    <w:r>
      <w:rPr>
        <w:b/>
        <w:noProof/>
      </w:rPr>
      <w:t>e Desempenho de Tráfego Triple Play e</w:t>
    </w:r>
    <w:r w:rsidRPr="00D03EC8">
      <w:rPr>
        <w:b/>
        <w:noProof/>
      </w:rPr>
      <w:t xml:space="preserve">m Redes PLC </w:t>
    </w:r>
    <w:r>
      <w:rPr>
        <w:b/>
        <w:noProof/>
      </w:rPr>
      <w:t>d</w:t>
    </w:r>
    <w:r w:rsidRPr="00D03EC8">
      <w:rPr>
        <w:b/>
        <w:noProof/>
      </w:rPr>
      <w:t>e Baixa Tensão.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E3D1" w14:textId="77777777" w:rsidR="0051699E" w:rsidRDefault="0051699E" w:rsidP="00BF351B">
      <w:pPr>
        <w:spacing w:after="0" w:line="240" w:lineRule="auto"/>
      </w:pPr>
      <w:r>
        <w:separator/>
      </w:r>
    </w:p>
  </w:footnote>
  <w:footnote w:type="continuationSeparator" w:id="0">
    <w:p w14:paraId="3B383451" w14:textId="77777777" w:rsidR="0051699E" w:rsidRDefault="0051699E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501D" w14:textId="72AE42D5" w:rsidR="00BF351B" w:rsidRDefault="00927344" w:rsidP="00BF351B">
    <w:pPr>
      <w:pStyle w:val="Cabealho"/>
      <w:jc w:val="center"/>
      <w:rPr>
        <w:rFonts w:eastAsia="Arial" w:cs="Arial"/>
        <w:sz w:val="32"/>
        <w:szCs w:val="32"/>
      </w:rPr>
    </w:pPr>
    <w:r w:rsidRPr="00927344">
      <w:rPr>
        <w:rFonts w:eastAsia="Arial" w:cs="Arial"/>
        <w:sz w:val="32"/>
        <w:szCs w:val="32"/>
      </w:rPr>
      <w:t>Validação e Integração entre APIs em Python </w:t>
    </w:r>
  </w:p>
  <w:p w14:paraId="36359341" w14:textId="77777777" w:rsidR="00927344" w:rsidRPr="00BF351B" w:rsidRDefault="00927344" w:rsidP="00BF351B">
    <w:pPr>
      <w:pStyle w:val="Cabealho"/>
      <w:jc w:val="center"/>
      <w:rPr>
        <w:b/>
        <w:sz w:val="32"/>
        <w:szCs w:val="32"/>
      </w:rPr>
    </w:pPr>
  </w:p>
  <w:p w14:paraId="0506A249" w14:textId="4F1A91C3" w:rsidR="2C9C0EE9" w:rsidRDefault="00927344" w:rsidP="2C9C0EE9">
    <w:pPr>
      <w:spacing w:line="276" w:lineRule="auto"/>
      <w:jc w:val="center"/>
    </w:pPr>
    <w:r>
      <w:rPr>
        <w:sz w:val="28"/>
        <w:szCs w:val="28"/>
      </w:rPr>
      <w:t>Rodrigo de Sousa Terroso Junior</w:t>
    </w:r>
  </w:p>
  <w:p w14:paraId="5DAB6C7B" w14:textId="5075C539" w:rsidR="00BF351B" w:rsidRDefault="2C9C0EE9" w:rsidP="00780D1F">
    <w:pPr>
      <w:spacing w:line="276" w:lineRule="auto"/>
      <w:jc w:val="center"/>
    </w:pPr>
    <w:r>
      <w:t>Unic Beira 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DFB0"/>
    <w:multiLevelType w:val="hybridMultilevel"/>
    <w:tmpl w:val="16088FA2"/>
    <w:lvl w:ilvl="0" w:tplc="CFCED08E">
      <w:start w:val="1"/>
      <w:numFmt w:val="lowerLetter"/>
      <w:lvlText w:val="%1."/>
      <w:lvlJc w:val="left"/>
      <w:pPr>
        <w:ind w:left="720" w:hanging="360"/>
      </w:pPr>
    </w:lvl>
    <w:lvl w:ilvl="1" w:tplc="7B3C295A">
      <w:start w:val="1"/>
      <w:numFmt w:val="lowerLetter"/>
      <w:lvlText w:val="%2."/>
      <w:lvlJc w:val="left"/>
      <w:pPr>
        <w:ind w:left="1440" w:hanging="360"/>
      </w:pPr>
    </w:lvl>
    <w:lvl w:ilvl="2" w:tplc="E43EE3E0">
      <w:start w:val="1"/>
      <w:numFmt w:val="lowerRoman"/>
      <w:lvlText w:val="%3."/>
      <w:lvlJc w:val="right"/>
      <w:pPr>
        <w:ind w:left="2160" w:hanging="180"/>
      </w:pPr>
    </w:lvl>
    <w:lvl w:ilvl="3" w:tplc="96C821DE">
      <w:start w:val="1"/>
      <w:numFmt w:val="decimal"/>
      <w:lvlText w:val="%4."/>
      <w:lvlJc w:val="left"/>
      <w:pPr>
        <w:ind w:left="2880" w:hanging="360"/>
      </w:pPr>
    </w:lvl>
    <w:lvl w:ilvl="4" w:tplc="8F0A026C">
      <w:start w:val="1"/>
      <w:numFmt w:val="lowerLetter"/>
      <w:lvlText w:val="%5."/>
      <w:lvlJc w:val="left"/>
      <w:pPr>
        <w:ind w:left="3600" w:hanging="360"/>
      </w:pPr>
    </w:lvl>
    <w:lvl w:ilvl="5" w:tplc="5B08DF16">
      <w:start w:val="1"/>
      <w:numFmt w:val="lowerRoman"/>
      <w:lvlText w:val="%6."/>
      <w:lvlJc w:val="right"/>
      <w:pPr>
        <w:ind w:left="4320" w:hanging="180"/>
      </w:pPr>
    </w:lvl>
    <w:lvl w:ilvl="6" w:tplc="D89EBB22">
      <w:start w:val="1"/>
      <w:numFmt w:val="decimal"/>
      <w:lvlText w:val="%7."/>
      <w:lvlJc w:val="left"/>
      <w:pPr>
        <w:ind w:left="5040" w:hanging="360"/>
      </w:pPr>
    </w:lvl>
    <w:lvl w:ilvl="7" w:tplc="8CB6C544">
      <w:start w:val="1"/>
      <w:numFmt w:val="lowerLetter"/>
      <w:lvlText w:val="%8."/>
      <w:lvlJc w:val="left"/>
      <w:pPr>
        <w:ind w:left="5760" w:hanging="360"/>
      </w:pPr>
    </w:lvl>
    <w:lvl w:ilvl="8" w:tplc="3FB46CD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CA63"/>
    <w:multiLevelType w:val="hybridMultilevel"/>
    <w:tmpl w:val="E9980E3C"/>
    <w:lvl w:ilvl="0" w:tplc="4E464078">
      <w:start w:val="1"/>
      <w:numFmt w:val="decimal"/>
      <w:lvlText w:val="%1."/>
      <w:lvlJc w:val="left"/>
      <w:pPr>
        <w:ind w:left="720" w:hanging="360"/>
      </w:pPr>
    </w:lvl>
    <w:lvl w:ilvl="1" w:tplc="8A36BB74">
      <w:start w:val="1"/>
      <w:numFmt w:val="lowerLetter"/>
      <w:lvlText w:val="%2."/>
      <w:lvlJc w:val="left"/>
      <w:pPr>
        <w:ind w:left="1440" w:hanging="360"/>
      </w:pPr>
    </w:lvl>
    <w:lvl w:ilvl="2" w:tplc="D2DE108C">
      <w:start w:val="1"/>
      <w:numFmt w:val="lowerRoman"/>
      <w:lvlText w:val="%3."/>
      <w:lvlJc w:val="right"/>
      <w:pPr>
        <w:ind w:left="2160" w:hanging="180"/>
      </w:pPr>
    </w:lvl>
    <w:lvl w:ilvl="3" w:tplc="15EAF460">
      <w:start w:val="1"/>
      <w:numFmt w:val="decimal"/>
      <w:lvlText w:val="%4."/>
      <w:lvlJc w:val="left"/>
      <w:pPr>
        <w:ind w:left="2880" w:hanging="360"/>
      </w:pPr>
    </w:lvl>
    <w:lvl w:ilvl="4" w:tplc="8730E60C">
      <w:start w:val="1"/>
      <w:numFmt w:val="lowerLetter"/>
      <w:lvlText w:val="%5."/>
      <w:lvlJc w:val="left"/>
      <w:pPr>
        <w:ind w:left="3600" w:hanging="360"/>
      </w:pPr>
    </w:lvl>
    <w:lvl w:ilvl="5" w:tplc="F30CC0B2">
      <w:start w:val="1"/>
      <w:numFmt w:val="lowerRoman"/>
      <w:lvlText w:val="%6."/>
      <w:lvlJc w:val="right"/>
      <w:pPr>
        <w:ind w:left="4320" w:hanging="180"/>
      </w:pPr>
    </w:lvl>
    <w:lvl w:ilvl="6" w:tplc="0074DA9A">
      <w:start w:val="1"/>
      <w:numFmt w:val="decimal"/>
      <w:lvlText w:val="%7."/>
      <w:lvlJc w:val="left"/>
      <w:pPr>
        <w:ind w:left="5040" w:hanging="360"/>
      </w:pPr>
    </w:lvl>
    <w:lvl w:ilvl="7" w:tplc="C78CC3B4">
      <w:start w:val="1"/>
      <w:numFmt w:val="lowerLetter"/>
      <w:lvlText w:val="%8."/>
      <w:lvlJc w:val="left"/>
      <w:pPr>
        <w:ind w:left="5760" w:hanging="360"/>
      </w:pPr>
    </w:lvl>
    <w:lvl w:ilvl="8" w:tplc="42D8C384">
      <w:start w:val="1"/>
      <w:numFmt w:val="lowerRoman"/>
      <w:lvlText w:val="%9."/>
      <w:lvlJc w:val="right"/>
      <w:pPr>
        <w:ind w:left="6480" w:hanging="180"/>
      </w:pPr>
    </w:lvl>
  </w:abstractNum>
  <w:num w:numId="1" w16cid:durableId="940573688">
    <w:abstractNumId w:val="1"/>
  </w:num>
  <w:num w:numId="2" w16cid:durableId="45175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717D1"/>
    <w:rsid w:val="002D570D"/>
    <w:rsid w:val="0033574E"/>
    <w:rsid w:val="003809C6"/>
    <w:rsid w:val="003C38AD"/>
    <w:rsid w:val="00472D57"/>
    <w:rsid w:val="0051699E"/>
    <w:rsid w:val="00661704"/>
    <w:rsid w:val="006D3FC8"/>
    <w:rsid w:val="00780D1F"/>
    <w:rsid w:val="00927344"/>
    <w:rsid w:val="00A92C49"/>
    <w:rsid w:val="00AA53B4"/>
    <w:rsid w:val="00AD4E4D"/>
    <w:rsid w:val="00BC6840"/>
    <w:rsid w:val="00BF351B"/>
    <w:rsid w:val="00C34726"/>
    <w:rsid w:val="00D116B1"/>
    <w:rsid w:val="00ED1D5B"/>
    <w:rsid w:val="03B15EEE"/>
    <w:rsid w:val="09F5F7FA"/>
    <w:rsid w:val="0F37F025"/>
    <w:rsid w:val="114B818E"/>
    <w:rsid w:val="117D55BB"/>
    <w:rsid w:val="11FEA16C"/>
    <w:rsid w:val="173BA784"/>
    <w:rsid w:val="178770A0"/>
    <w:rsid w:val="1A4C611F"/>
    <w:rsid w:val="1D49497E"/>
    <w:rsid w:val="209AA7CF"/>
    <w:rsid w:val="213247D1"/>
    <w:rsid w:val="25ACDE2C"/>
    <w:rsid w:val="2645ED3D"/>
    <w:rsid w:val="2C9C0EE9"/>
    <w:rsid w:val="2CE429A5"/>
    <w:rsid w:val="3016C640"/>
    <w:rsid w:val="31FAF59A"/>
    <w:rsid w:val="322C562A"/>
    <w:rsid w:val="339DECF0"/>
    <w:rsid w:val="3A8767AF"/>
    <w:rsid w:val="4620E11E"/>
    <w:rsid w:val="471D5B21"/>
    <w:rsid w:val="53C7BBF7"/>
    <w:rsid w:val="6265F15E"/>
    <w:rsid w:val="677A2BEA"/>
    <w:rsid w:val="6AF4A9AE"/>
    <w:rsid w:val="6B465B91"/>
    <w:rsid w:val="6B4C2B6E"/>
    <w:rsid w:val="72A8676F"/>
    <w:rsid w:val="7499A0E1"/>
    <w:rsid w:val="7577AA17"/>
    <w:rsid w:val="77F1DDC5"/>
    <w:rsid w:val="79B6B9A2"/>
    <w:rsid w:val="7A0FF45D"/>
    <w:rsid w:val="7C38D241"/>
    <w:rsid w:val="7E910ACF"/>
    <w:rsid w:val="7FB1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D57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1123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Rodrigo Junior</cp:lastModifiedBy>
  <cp:revision>13</cp:revision>
  <dcterms:created xsi:type="dcterms:W3CDTF">2014-05-28T19:06:00Z</dcterms:created>
  <dcterms:modified xsi:type="dcterms:W3CDTF">2025-11-16T20:02:00Z</dcterms:modified>
</cp:coreProperties>
</file>