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Algorithms and Architecture</w:t>
      </w:r>
    </w:p>
    <w:p>
      <w:pPr>
        <w:spacing w:after="480"/>
        <w:jc w:val="center"/>
      </w:pPr>
      <w:r>
        <w:rPr>
          <w:sz w:val="24"/>
          <w:szCs w:val="24"/>
        </w:rPr>
        <w:t xml:space="preserve">Technical Documentation</w:t>
      </w:r>
    </w:p>
    <w:p>
      <w:pPr>
        <w:pStyle w:val="Heading2"/>
      </w:pPr>
      <w:r>
        <w:t xml:space="preserve">SmartClient Failover Algorithm</w:t>
      </w:r>
    </w:p>
    <w:p>
      <w:r>
        <w:t xml:space="preserve">SmartClient maintains a status matrix tracking each API key-model combination. When a request fails with quota errors, the system marks that combination as exhausted with a timestamp. The algorithm then tries the next available combination, intelligently skipping recently exhausted options. After a cooldown period (5 minutes default), previously exhausted combinations are retried in case quotas have reset. This creates adaptive behavior that learns from failures and optimizes API usage patterns.</w:t>
      </w:r>
    </w:p>
    <w:p>
      <w:r>
        <w:t xml:space="preserve"/>
      </w:r>
    </w:p>
    <w:p>
      <w:pPr>
        <w:pStyle w:val="Heading2"/>
      </w:pPr>
      <w:r>
        <w:t xml:space="preserve">RAG Pattern Implementation</w:t>
      </w:r>
    </w:p>
    <w:p>
      <w:r>
        <w:t xml:space="preserve">Retrieval-Augmented Generation combines database retrieval with AI generation. When a user asks a question, the system first extracts keywords. These keywords search the Oracle Cloud database for relevant medicine records. Retrieved information is formatted into a context block. The context block combines with the user question to create a prompt. This prompt goes to Google Gemini AI through SmartClient. The AI generates a response based on verified database facts rather than potentially unreliable training data. This grounding ensures accuracy and reduces hallucinations.</w:t>
      </w:r>
    </w:p>
    <w:p>
      <w:r>
        <w:t xml:space="preserve"/>
      </w:r>
    </w:p>
    <w:p>
      <w:pPr>
        <w:pStyle w:val="Heading2"/>
      </w:pPr>
      <w:r>
        <w:t xml:space="preserve">Oracle Cloud Connection Architecture</w:t>
      </w:r>
    </w:p>
    <w:p>
      <w:r>
        <w:t xml:space="preserve">The database connection uses wallet-based authentication for security. The wallet contains security certificates and connection strings. The Python oracledb library reads the wallet and establishes SSL-encrypted connections to Oracle Cloud over the internet. Connection pooling maintains 2-5 active connections for efficiency. Failed connections trigger automatic retry with exponential backoff. All database queries use parameterized statements to prevent SQL injection attacks.</w:t>
      </w:r>
    </w:p>
    <w:p>
      <w:r>
        <w:t xml:space="preserve"/>
      </w:r>
    </w:p>
    <w:p>
      <w:pPr>
        <w:pStyle w:val="Heading2"/>
      </w:pPr>
      <w:r>
        <w:t xml:space="preserve">Performance Optimizations</w:t>
      </w:r>
    </w:p>
    <w:p>
      <w:r>
        <w:t xml:space="preserve">The system implements several performance optimizations. Database queries use indexes on medicine name and category for fast searches. The connection pool reuses database connections rather than creating new ones for each request. SmartClient caches successful key-model combinations for quick access. The RAG engine limits database results to top 5 matches to reduce processing time. Streamlit caching prevents redundant processing of identical queries.</w:t>
      </w:r>
    </w:p>
    <w:p>
      <w:r>
        <w:t xml:space="preserve"/>
      </w:r>
    </w:p>
    <w:p>
      <w:pPr>
        <w:pStyle w:val="Heading2"/>
      </w:pPr>
      <w:r>
        <w:t xml:space="preserve">Security Considerations</w:t>
      </w:r>
    </w:p>
    <w:p>
      <w:r>
        <w:t xml:space="preserve">All sensitive credentials live in the environment file outside source code. The wallet provides mutual TLS authentication between application and database. API keys never appear in logs or error messages. Database queries use parameterized statements preventing SQL injection. The .gitignore file excludes the environment file and wallet from version control. User input is sanitized before constructing database queries or AI prompts.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2026-02-18T14:44:48.757Z</dcterms:created>
  <dcterms:modified xsi:type="dcterms:W3CDTF">2026-02-18T14:44:48.757Z</dcterms:modified>
</cp:coreProperties>
</file>

<file path=docProps/custom.xml><?xml version="1.0" encoding="utf-8"?>
<Properties xmlns="http://schemas.openxmlformats.org/officeDocument/2006/custom-properties" xmlns:vt="http://schemas.openxmlformats.org/officeDocument/2006/docPropsVTypes"/>
</file>