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Цифровой рубль в УТ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Исследование типовой конфигурации Управление торговлей.  
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Дата: 2026-09-03.
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Вывод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Цифровой рубль есть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только в типовой УТ</w:t>
      </w:r>
      <w:r>
        <w:rPr>
          <w:rFonts w:ascii="Arial" w:cs="Arial" w:eastAsia="Arial" w:hAnsi="Arial"/>
          <w:sz w:val="22"/>
          <w:szCs w:val="22"/>
        </w:rPr>
        <w:t xml:space="preserve">. Это не отдельная подсистема и не отдельный документ, а специальный вид элемента справочника банковских счетов.
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Отдельного обмена с платформой ЦБ (API кошелька) в конфигурации нет. DirectBank на БИК платформы не настраивается. Учёт, проверки корреспонденции и печать — да; отправка в платформу — через обслуживающий банк вне этой галочки.
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Что это такое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Галочка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СчетЦифровогоРубля</w:t>
      </w:r>
      <w:r>
        <w:rPr>
          <w:rFonts w:ascii="Arial" w:cs="Arial" w:eastAsia="Arial" w:hAnsi="Arial"/>
          <w:sz w:val="22"/>
          <w:szCs w:val="22"/>
        </w:rPr>
        <w:t xml:space="preserve"> — признак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кошелька на платформе цифрового рубля ЦБ</w:t>
      </w:r>
      <w:r>
        <w:rPr>
          <w:rFonts w:ascii="Arial" w:cs="Arial" w:eastAsia="Arial" w:hAnsi="Arial"/>
          <w:sz w:val="22"/>
          <w:szCs w:val="22"/>
        </w:rPr>
        <w:t xml:space="preserve">, а не ещё одно поле обычного расчётного счёта.
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Платформа ЦБ: БИК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044595002</w:t>
      </w:r>
      <w:r>
        <w:rPr>
          <w:rFonts w:ascii="Arial" w:cs="Arial" w:eastAsia="Arial" w:hAnsi="Arial"/>
          <w:sz w:val="22"/>
          <w:szCs w:val="22"/>
        </w:rPr>
        <w:t xml:space="preserve"> (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ОбменСБанкамиСлужебный.БИКПлатформыЦифровогоРубля()</w:t>
      </w:r>
      <w:r>
        <w:rPr>
          <w:rFonts w:ascii="Arial" w:cs="Arial" w:eastAsia="Arial" w:hAnsi="Arial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Тип счёта в перечислении всё равно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Расчетный</w:t>
      </w:r>
      <w:r>
        <w:rPr>
          <w:rFonts w:ascii="Arial" w:cs="Arial" w:eastAsia="Arial" w:hAnsi="Arial"/>
          <w:sz w:val="22"/>
          <w:szCs w:val="22"/>
        </w:rPr>
        <w:t xml:space="preserve">. Отдельного значения в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Перечисление.ТипыБанковскихСчетов</w:t>
      </w:r>
      <w:r>
        <w:rPr>
          <w:rFonts w:ascii="Arial" w:cs="Arial" w:eastAsia="Arial" w:hAnsi="Arial"/>
          <w:sz w:val="22"/>
          <w:szCs w:val="22"/>
        </w:rPr>
        <w:t xml:space="preserve"> нет (там только Расчетный, Транзитный, Депозитный, ЗарплатныйПроект, Прочий, Казначейский).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Создаётся не галочкой на обычной форме, а отдельным сценарием «создать счёт цифрового рубля».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Модель данных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Оба справочника:
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Справочник.БанковскиеСчетаОрганизаций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Справочник.БанковскиеСчетаКонтрагентов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Реквизит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Смысл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СчетЦифровогоРубля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Булево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Признак кошелька ЦР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ИдентификаторСчетаЦифровогоРубля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Строка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Идентификатор кошелька на платформе (вместо 20-значного номера счёта)</w:t>
            </w:r>
          </w:p>
        </w:tc>
      </w:tr>
    </w:tbl>
    <w:p>
      <w:pPr>
        <w:pStyle w:val="Heading2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Карточка и создание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Создание: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ДенежныеСредстваКлиентЛокализация.ОткрытьСозданиеБанковскогоСчетаЗавершение</w:t>
      </w:r>
      <w:r>
        <w:rPr>
          <w:rFonts w:ascii="Arial" w:cs="Arial" w:eastAsia="Arial" w:hAnsi="Arial"/>
          <w:sz w:val="22"/>
          <w:szCs w:val="22"/>
        </w:rPr>
        <w:t xml:space="preserve">.
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ставится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СчетЦифровогоРубля = Истина</w:t>
      </w:r>
      <w:r>
        <w:rPr>
          <w:rFonts w:ascii="Arial" w:cs="Arial" w:eastAsia="Arial" w:hAnsi="Arial"/>
          <w:sz w:val="22"/>
          <w:szCs w:val="22"/>
        </w:rPr>
        <w:t xml:space="preserve">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для организации дополнительно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ТипСчета = Расчетный</w:t>
      </w:r>
      <w:r>
        <w:rPr>
          <w:rFonts w:ascii="Arial" w:cs="Arial" w:eastAsia="Arial" w:hAnsi="Arial"/>
          <w:sz w:val="22"/>
          <w:szCs w:val="22"/>
        </w:rPr>
        <w:t xml:space="preserve">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открывается форма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ФормаЭлементаСчетЦифровогоРубля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Открытие уже записанного элемента —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ОбработкаПолученияФормы</w:t>
      </w:r>
      <w:r>
        <w:rPr>
          <w:rFonts w:ascii="Arial" w:cs="Arial" w:eastAsia="Arial" w:hAnsi="Arial"/>
          <w:sz w:val="22"/>
          <w:szCs w:val="22"/>
        </w:rPr>
        <w:t xml:space="preserve"> менеджера справочника:
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флаг включён →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ФормаЭлементаСчетЦифровогоРубля</w:t>
      </w:r>
      <w:r>
        <w:rPr>
          <w:rFonts w:ascii="Arial" w:cs="Arial" w:eastAsia="Arial" w:hAnsi="Arial"/>
          <w:sz w:val="22"/>
          <w:szCs w:val="22"/>
        </w:rPr>
        <w:t xml:space="preserve">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флаг выключен → обычная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ФормаЭлемента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Автонаименование: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Счет цифрового рубля *XXXX</w:t>
      </w:r>
      <w:r>
        <w:rPr>
          <w:rFonts w:ascii="Arial" w:cs="Arial" w:eastAsia="Arial" w:hAnsi="Arial"/>
          <w:sz w:val="22"/>
          <w:szCs w:val="22"/>
        </w:rPr>
        <w:t xml:space="preserve"> (последние 4 символа идентификатора).  
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Дубли ищутся по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ИдентификаторСчетаЦифровогоРубля</w:t>
      </w:r>
      <w:r>
        <w:rPr>
          <w:rFonts w:ascii="Arial" w:cs="Arial" w:eastAsia="Arial" w:hAnsi="Arial"/>
          <w:sz w:val="22"/>
          <w:szCs w:val="22"/>
        </w:rPr>
        <w:t xml:space="preserve">, не по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НомерСчета</w:t>
      </w:r>
      <w:r>
        <w:rPr>
          <w:rFonts w:ascii="Arial" w:cs="Arial" w:eastAsia="Arial" w:hAnsi="Arial"/>
          <w:sz w:val="22"/>
          <w:szCs w:val="22"/>
        </w:rPr>
        <w:t xml:space="preserve">.
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Настройки полей отдельной формы: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НастройкиПолейФормыСчетаЦифровогоРубля()</w:t>
      </w:r>
      <w:r>
        <w:rPr>
          <w:rFonts w:ascii="Arial" w:cs="Arial" w:eastAsia="Arial" w:hAnsi="Arial"/>
          <w:sz w:val="22"/>
          <w:szCs w:val="22"/>
        </w:rPr>
        <w:t xml:space="preserve"> в менеджерах обоих справочников. Корреспондентский счёт на карточке ЦР не показывается (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ДенежныеСредстваКлиентСервер.ЗаполнитьОсновныеРеквизитыБанка</w:t>
      </w:r>
      <w:r>
        <w:rPr>
          <w:rFonts w:ascii="Arial" w:cs="Arial" w:eastAsia="Arial" w:hAnsi="Arial"/>
          <w:sz w:val="22"/>
          <w:szCs w:val="22"/>
        </w:rPr>
        <w:t xml:space="preserve"> пропускает коррсчёт, если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СчетЦифровогоРубля</w:t>
      </w:r>
      <w:r>
        <w:rPr>
          <w:rFonts w:ascii="Arial" w:cs="Arial" w:eastAsia="Arial" w:hAnsi="Arial"/>
          <w:sz w:val="22"/>
          <w:szCs w:val="22"/>
        </w:rPr>
        <w:t xml:space="preserve">).
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Чем счёт с галочкой отличается от обычного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Обычный счёт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Счёт ЦР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Номер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НомерСчета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(20 цифр)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ИдентификаторСчетаЦифровогоРубля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Наименование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банк + номер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Счет цифрового рубля *XXXX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Банк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банк из классификатора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платформа ЦР, БИК </w:t>
            </w: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044595002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Коррсчёт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есть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 показывается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Дубль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 номеру счёта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 идентификатору ЦР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DirectBank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настраивается на банк счёта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банк с БИК платформы исключается из настройки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Форма элемента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ФормаЭлемента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ФормаЭлементаСчетЦифровогоРубля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В платежном поручении и в счетах на оплату / извещениях при галочке в поле «номер счёта» уходит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идентификатор</w:t>
      </w:r>
      <w:r>
        <w:rPr>
          <w:rFonts w:ascii="Arial" w:cs="Arial" w:eastAsia="Arial" w:hAnsi="Arial"/>
          <w:sz w:val="22"/>
          <w:szCs w:val="22"/>
        </w:rPr>
        <w:t xml:space="preserve">, не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НомерСчета</w:t>
      </w:r>
      <w:r>
        <w:rPr>
          <w:rFonts w:ascii="Arial" w:cs="Arial" w:eastAsia="Arial" w:hAnsi="Arial"/>
          <w:sz w:val="22"/>
          <w:szCs w:val="22"/>
        </w:rPr>
        <w:t xml:space="preserve">. В печатных счетах и извещениях БИК часто пустой.
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Автоподбор счёта контрагента (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Справочник.БанковскиеСчетаКонтрагентов.ПолучитьБанковскийСчетПоУмолчанию</w:t>
      </w:r>
      <w:r>
        <w:rPr>
          <w:rFonts w:ascii="Arial" w:cs="Arial" w:eastAsia="Arial" w:hAnsi="Arial"/>
          <w:sz w:val="22"/>
          <w:szCs w:val="22"/>
        </w:rPr>
        <w:t xml:space="preserve">) берёт только счета того же характера, что и корреспондирующий (ЦР к ЦР, обычный к обычному).
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Главное правило корреспонденции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Допустима только пара одного характера:
</w:t>
      </w:r>
    </w:p>
    <w:p>
      <w:pPr>
        <w:shd w:fill="F5F5F5" w:val="clear"/>
        <w:spacing w:after="120" w:before="1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(оба ЦР) ИЛИ (оба обычные)
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Смесь запрещена. Текст ошибки:
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&gt; Расчетный счет не может корреспондировать со счетом цифрового рубля. Укажите другой счет
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Проверка: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ДенежныеСредстваСерверЛокализация.ПараметрыКорреспонденцииСоСчетомЦифровогорубля</w:t>
      </w:r>
      <w:r>
        <w:rPr>
          <w:rFonts w:ascii="Arial" w:cs="Arial" w:eastAsia="Arial" w:hAnsi="Arial"/>
          <w:sz w:val="22"/>
          <w:szCs w:val="22"/>
        </w:rPr>
        <w:t xml:space="preserve"> и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ПроверитьКорреспонденциюБанковскихСчетов</w:t>
      </w:r>
      <w:r>
        <w:rPr>
          <w:rFonts w:ascii="Arial" w:cs="Arial" w:eastAsia="Arial" w:hAnsi="Arial"/>
          <w:sz w:val="22"/>
          <w:szCs w:val="22"/>
        </w:rPr>
        <w:t xml:space="preserve">.
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Та же логика:
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договоры, в том числе эквайринг (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ПроверитьДоговорНаВозможностьКорреспонденцииСоСчетомЦифровогоРубля</w:t>
      </w:r>
      <w:r>
        <w:rPr>
          <w:rFonts w:ascii="Arial" w:cs="Arial" w:eastAsia="Arial" w:hAnsi="Arial"/>
          <w:sz w:val="22"/>
          <w:szCs w:val="22"/>
        </w:rPr>
        <w:t xml:space="preserve">);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заявка на расходование (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ЗаявкаНаРасходованиеДенежныхСредствЛокализация</w:t>
      </w:r>
      <w:r>
        <w:rPr>
          <w:rFonts w:ascii="Arial" w:cs="Arial" w:eastAsia="Arial" w:hAnsi="Arial"/>
          <w:sz w:val="22"/>
          <w:szCs w:val="22"/>
        </w:rPr>
        <w:t xml:space="preserve">);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заявка на командировку (лицевой счёт,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ЗаявкаНаКомандировкуЛокализация</w:t>
      </w:r>
      <w:r>
        <w:rPr>
          <w:rFonts w:ascii="Arial" w:cs="Arial" w:eastAsia="Arial" w:hAnsi="Arial"/>
          <w:sz w:val="22"/>
          <w:szCs w:val="22"/>
        </w:rPr>
        <w:t xml:space="preserve">).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Примеры:
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организация ЦР + контрагент ЦР — можно;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организация ЦР + обычный счёт контрагента — нельзя;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обычный счёт организации + ЦР контрагента — нельзя.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Какие операции можно и нельзя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Разрешены (если оба счёта одного характера): оплата поставщику, поступление от клиента, возвраты, бюджет, таможня, зарплата на лицевые / по зарплатному проекту, подотчёт, прочая выдача / поступление, переводы между организациями.
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Запрещены даже для пары ЦР↔ЦР:
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наличные (снятие, поступление из кассы);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депозиты;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конвертация валюты;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платёжные карты;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кредиты;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займы сотруднику и выданные займы.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Текст:
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&gt; Счет цифрового рубля не может быть использован для хозяйственной операции «…». Укажите другой счет
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Список запрещённых операций — в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ПроверитьКорреспонденциюБанковскихСчетов</w:t>
      </w:r>
      <w:r>
        <w:rPr>
          <w:rFonts w:ascii="Arial" w:cs="Arial" w:eastAsia="Arial" w:hAnsi="Arial"/>
          <w:sz w:val="22"/>
          <w:szCs w:val="22"/>
        </w:rPr>
        <w:t xml:space="preserve"> (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ДенежныеСредстваСерверЛокализация</w:t>
      </w:r>
      <w:r>
        <w:rPr>
          <w:rFonts w:ascii="Arial" w:cs="Arial" w:eastAsia="Arial" w:hAnsi="Arial"/>
          <w:sz w:val="22"/>
          <w:szCs w:val="22"/>
        </w:rPr>
        <w:t xml:space="preserve">).
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Печать и реквизиты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СписаниеБезналичныхДенежныхСредствЛокализация.СформироватьПлатежноеПоручение</w:t>
      </w:r>
      <w:r>
        <w:rPr>
          <w:rFonts w:ascii="Arial" w:cs="Arial" w:eastAsia="Arial" w:hAnsi="Arial"/>
          <w:sz w:val="22"/>
          <w:szCs w:val="22"/>
        </w:rPr>
        <w:t xml:space="preserve">: если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СчетЦифровогоРубля</w:t>
      </w:r>
      <w:r>
        <w:rPr>
          <w:rFonts w:ascii="Arial" w:cs="Arial" w:eastAsia="Arial" w:hAnsi="Arial"/>
          <w:sz w:val="22"/>
          <w:szCs w:val="22"/>
        </w:rPr>
        <w:t xml:space="preserve">, номер счёта плательщика/получателя =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ИдентификаторСчетаЦифровогоРубля</w:t>
      </w:r>
      <w:r>
        <w:rPr>
          <w:rFonts w:ascii="Arial" w:cs="Arial" w:eastAsia="Arial" w:hAnsi="Arial"/>
          <w:sz w:val="22"/>
          <w:szCs w:val="22"/>
        </w:rPr>
        <w:t xml:space="preserve">.
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Тот же приём в печатных формах счетов на оплату / извещений (заказ клиента, реализация, корректировка, передача и возврат между организациями и др.): номер = идентификатор, БИК часто выводится пустой строкой.
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Реквизиты счёта для кода: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ПолучитьРеквизитыБанковскогоСчетаОрганизации</w:t>
      </w:r>
      <w:r>
        <w:rPr>
          <w:rFonts w:ascii="Arial" w:cs="Arial" w:eastAsia="Arial" w:hAnsi="Arial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ПолучитьРеквизитыБанковскогоСчета</w:t>
      </w:r>
      <w:r>
        <w:rPr>
          <w:rFonts w:ascii="Arial" w:cs="Arial" w:eastAsia="Arial" w:hAnsi="Arial"/>
          <w:sz w:val="22"/>
          <w:szCs w:val="22"/>
        </w:rPr>
        <w:t xml:space="preserve"> возвращают и флаг, и идентификатор.
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DirectBank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ОбменСБанкамиСлужебный.БанкиДляНастройкиОбменаЧерезДиректБанк</w:t>
      </w:r>
      <w:r>
        <w:rPr>
          <w:rFonts w:ascii="Arial" w:cs="Arial" w:eastAsia="Arial" w:hAnsi="Arial"/>
          <w:sz w:val="22"/>
          <w:szCs w:val="22"/>
        </w:rPr>
        <w:t xml:space="preserve"> и помощник создания настройки обмена исключают счета, у которых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Банк.Код = 044595002</w:t>
      </w:r>
      <w:r>
        <w:rPr>
          <w:rFonts w:ascii="Arial" w:cs="Arial" w:eastAsia="Arial" w:hAnsi="Arial"/>
          <w:sz w:val="22"/>
          <w:szCs w:val="22"/>
        </w:rPr>
        <w:t xml:space="preserve">. Платформа ЦР не считается банком для DirectBank.
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Ключевые объекты и процедуры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Место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Роль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Справочник.БанковскиеСчетаОрганизаций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БанковскиеСчетаКонтрагентов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реквизиты и формы ЦР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ФормаЭлементаСчетЦифровогоРубля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карточка кошелька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ДенежныеСредстваКлиентЛокализация.ОткрытьСозданиеБанковскогоСчетаЗавершение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сценарий создания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ДенежныеСредстваСерверЛокализация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корреспонденция, запрет операций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ОбменСБанкамиСлужебный.БИКПлатформыЦифровогоРубля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константа БИК </w:t>
            </w: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044595002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СписаниеБезналичныхДенежныхСредствЛокализация.СформироватьПлатежноеПоручение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номер в ПП = идентификатор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ЗаявкаНаРасходованиеДенежныхСредствЛокализация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проверка счетов в ЗРДС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ЗаявкаНаКомандировкуЛокализация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проверка лицевого счёта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Справочник.ДоговорыЭквайринга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проверка заполнения через корреспонденцию ЦР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Локализационные модули счетов: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БанковскиеСчетаОрганизацийЛокализация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БанковскиеСчетаКонтрагентовЛокализация</w:t>
      </w:r>
      <w:r>
        <w:rPr>
          <w:rFonts w:ascii="Arial" w:cs="Arial" w:eastAsia="Arial" w:hAnsi="Arial"/>
          <w:sz w:val="22"/>
          <w:szCs w:val="22"/>
        </w:rPr>
        <w:t xml:space="preserve">.
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Чего в проекте нет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отдельного документа / регистра / подсистемы «Цифровой рубль»;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значения перечисления «цифровой рубль»;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собственного API обмена с платформой ЦБ.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Стр.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Цифровой рубль в УТ (Aurum.ut)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  <w:lvl w:ilvl="1" w15:tentative="1">
      <w:start w:val="1"/>
      <w:numFmt w:val="bullet"/>
      <w:lvlText w:val="-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404040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00" w:before="200"/>
      <w:outlineLvl w:val="3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Цифровой рубль в УТ (Aurum.ut)</dc:title>
  <dc:creator>Un-named</dc:creator>
  <cp:lastModifiedBy>Un-named</cp:lastModifiedBy>
  <cp:revision>1</cp:revision>
  <dcterms:created xsi:type="dcterms:W3CDTF">2026-09-03T08:50:26.897Z</dcterms:created>
  <dcterms:modified xsi:type="dcterms:W3CDTF">2026-09-03T08:50:26.897Z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