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b/>
          <w:i w:val="0"/>
          <w:sz w:val="28"/>
        </w:rPr>
        <w:t>The Role of Blockchain Infrastructure in Shaping the Digital Society of the European Union</w:t>
      </w:r>
    </w:p>
    <w:p>
      <w:pPr>
        <w:spacing w:line="240" w:lineRule="auto"/>
        <w:jc w:val="center"/>
      </w:pPr>
      <w:r>
        <w:rPr>
          <w:rFonts w:ascii="Times New Roman" w:hAnsi="Times New Roman"/>
          <w:b w:val="0"/>
          <w:i w:val="0"/>
          <w:sz w:val="28"/>
        </w:rPr>
        <w:t>Group 5151003/40001</w:t>
      </w:r>
    </w:p>
    <w:p>
      <w:pPr>
        <w:spacing w:line="240" w:lineRule="auto"/>
        <w:jc w:val="center"/>
      </w:pPr>
      <w:r>
        <w:rPr>
          <w:rFonts w:ascii="Times New Roman" w:hAnsi="Times New Roman"/>
          <w:b w:val="0"/>
          <w:i w:val="0"/>
          <w:sz w:val="28"/>
        </w:rPr>
        <w:t>Totskiy Vjatseslav</w:t>
      </w:r>
    </w:p>
    <w:p>
      <w:pPr>
        <w:spacing w:line="240" w:lineRule="auto" w:before="240" w:after="120"/>
        <w:jc w:val="left"/>
      </w:pPr>
      <w:r>
        <w:rPr>
          <w:rFonts w:ascii="Times New Roman" w:hAnsi="Times New Roman"/>
          <w:b w:val="0"/>
          <w:i/>
          <w:sz w:val="28"/>
        </w:rPr>
        <w:t>Linkers: 13. Total: 576 words.</w:t>
      </w:r>
    </w:p>
    <w:p>
      <w:pPr>
        <w:spacing w:line="240" w:lineRule="auto" w:before="0" w:after="0"/>
        <w:ind w:firstLine="567"/>
        <w:jc w:val="both"/>
      </w:pPr>
      <w:r>
        <w:rPr>
          <w:rFonts w:ascii="Times New Roman" w:hAnsi="Times New Roman"/>
          <w:b w:val="0"/>
          <w:i w:val="0"/>
          <w:sz w:val="28"/>
        </w:rPr>
        <w:t xml:space="preserve">Blockchain technology is a decentralized digital ledger system that records transactions across a network of computers, ensuring transparency, security, and immutability of data. Over the past decade, it has evolved from the foundation of cryptocurrencies into a powerful tool for transforming public services and governance. The European Union has recognized this potential and placed blockchain at the core of its digital transformation strategy. </w:t>
      </w:r>
      <w:r>
        <w:rPr>
          <w:rFonts w:ascii="Times New Roman" w:hAnsi="Times New Roman"/>
          <w:b w:val="0"/>
          <w:i w:val="0"/>
          <w:sz w:val="28"/>
          <w:highlight w:val="yellow"/>
        </w:rPr>
        <w:t>Furthermore</w:t>
      </w:r>
      <w:r>
        <w:rPr>
          <w:rFonts w:ascii="Times New Roman" w:hAnsi="Times New Roman"/>
          <w:b w:val="0"/>
          <w:i w:val="0"/>
          <w:sz w:val="28"/>
        </w:rPr>
        <w:t>, the EU has invested significant resources into developing shared blockchain infrastructure to enhance cross-border cooperation among member states [1]. This essay argues that blockchain infrastructure plays a key role in building a secure, transparent, and efficient digital society in the European Union.</w:t>
      </w:r>
    </w:p>
    <w:p>
      <w:pPr>
        <w:spacing w:line="240" w:lineRule="auto" w:before="0" w:after="0"/>
        <w:ind w:firstLine="567"/>
        <w:jc w:val="both"/>
      </w:pPr>
      <w:r>
        <w:rPr>
          <w:rFonts w:ascii="Times New Roman" w:hAnsi="Times New Roman"/>
          <w:b w:val="0"/>
          <w:i w:val="0"/>
          <w:sz w:val="28"/>
        </w:rPr>
        <w:t xml:space="preserve">The European Union has developed a comprehensive strategy for blockchain adoption. In 2018, all 27 EU member states, along with Norway and Liechtenstein, established the European Blockchain Partnership (EBP) to explore blockchain’s potential for the public sector [1]. </w:t>
      </w:r>
      <w:r>
        <w:rPr>
          <w:rFonts w:ascii="Times New Roman" w:hAnsi="Times New Roman"/>
          <w:b w:val="0"/>
          <w:i w:val="0"/>
          <w:sz w:val="28"/>
          <w:highlight w:val="yellow"/>
        </w:rPr>
        <w:t>As a result</w:t>
      </w:r>
      <w:r>
        <w:rPr>
          <w:rFonts w:ascii="Times New Roman" w:hAnsi="Times New Roman"/>
          <w:b w:val="0"/>
          <w:i w:val="0"/>
          <w:sz w:val="28"/>
        </w:rPr>
        <w:t xml:space="preserve">, the European Blockchain Services Infrastructure (EBSI) was launched. According to the European Commission, “EBSI is a peer-to-peer network of interconnected nodes running a blockchain-based services infrastructure” [1 – para. 1], designed to deliver cross-border public services across Europe. </w:t>
      </w:r>
      <w:r>
        <w:rPr>
          <w:rFonts w:ascii="Times New Roman" w:hAnsi="Times New Roman"/>
          <w:b w:val="0"/>
          <w:i w:val="0"/>
          <w:sz w:val="28"/>
          <w:highlight w:val="yellow"/>
        </w:rPr>
        <w:t>In addition</w:t>
      </w:r>
      <w:r>
        <w:rPr>
          <w:rFonts w:ascii="Times New Roman" w:hAnsi="Times New Roman"/>
          <w:b w:val="0"/>
          <w:i w:val="0"/>
          <w:sz w:val="28"/>
        </w:rPr>
        <w:t xml:space="preserve">, the EU introduced the Markets in Crypto-Assets Regulation (MiCA), which became fully applicable in December 2024. As ESMA states, “MiCA establishes uniform EU market rules for crypto-assets” [2 – para. 1], thereby providing legal certainty for the regulation and supervision of crypto-assets across all member states. </w:t>
      </w:r>
      <w:r>
        <w:rPr>
          <w:rFonts w:ascii="Times New Roman" w:hAnsi="Times New Roman"/>
          <w:b w:val="0"/>
          <w:i w:val="0"/>
          <w:sz w:val="28"/>
          <w:highlight w:val="yellow"/>
        </w:rPr>
        <w:t>Moreover</w:t>
      </w:r>
      <w:r>
        <w:rPr>
          <w:rFonts w:ascii="Times New Roman" w:hAnsi="Times New Roman"/>
          <w:b w:val="0"/>
          <w:i w:val="0"/>
          <w:sz w:val="28"/>
        </w:rPr>
        <w:t>, in May 2024, the European Commission established EUROPEUM-EDIC, a new legal entity tasked with governing EBSI and preparing the infrastructure for full-scale production [3]. These regulatory and institutional developments demonstrate the EU’s commitment to creating a structured and legally sound blockchain ecosystem.</w:t>
      </w:r>
    </w:p>
    <w:p>
      <w:pPr>
        <w:spacing w:line="240" w:lineRule="auto" w:before="0" w:after="0"/>
        <w:ind w:firstLine="567"/>
        <w:jc w:val="both"/>
      </w:pPr>
      <w:r>
        <w:rPr>
          <w:rFonts w:ascii="Times New Roman" w:hAnsi="Times New Roman"/>
          <w:b w:val="0"/>
          <w:i w:val="0"/>
          <w:sz w:val="28"/>
        </w:rPr>
        <w:t xml:space="preserve">Blockchain technology offers numerous practical applications within EU digital services. </w:t>
      </w:r>
      <w:r>
        <w:rPr>
          <w:rFonts w:ascii="Times New Roman" w:hAnsi="Times New Roman"/>
          <w:b w:val="0"/>
          <w:i w:val="0"/>
          <w:sz w:val="28"/>
          <w:highlight w:val="yellow"/>
        </w:rPr>
        <w:t>In particular</w:t>
      </w:r>
      <w:r>
        <w:rPr>
          <w:rFonts w:ascii="Times New Roman" w:hAnsi="Times New Roman"/>
          <w:b w:val="0"/>
          <w:i w:val="0"/>
          <w:sz w:val="28"/>
        </w:rPr>
        <w:t xml:space="preserve">, one of the most significant use cases is digital identity verification through the concept of Self-Sovereign Identity (SSI), which empowers individuals to manage their own digital identities without relying on centralized authorities [4]. </w:t>
      </w:r>
      <w:r>
        <w:rPr>
          <w:rFonts w:ascii="Times New Roman" w:hAnsi="Times New Roman"/>
          <w:b w:val="0"/>
          <w:i w:val="0"/>
          <w:sz w:val="28"/>
          <w:highlight w:val="yellow"/>
        </w:rPr>
        <w:t>For instance</w:t>
      </w:r>
      <w:r>
        <w:rPr>
          <w:rFonts w:ascii="Times New Roman" w:hAnsi="Times New Roman"/>
          <w:b w:val="0"/>
          <w:i w:val="0"/>
          <w:sz w:val="28"/>
        </w:rPr>
        <w:t xml:space="preserve">, EBSI enables cross-border authentication of educational diplomas and professional certificates, allowing citizens to present verifiable credentials recognized across all EU member states. </w:t>
      </w:r>
      <w:r>
        <w:rPr>
          <w:rFonts w:ascii="Times New Roman" w:hAnsi="Times New Roman"/>
          <w:b w:val="0"/>
          <w:i w:val="0"/>
          <w:sz w:val="28"/>
          <w:highlight w:val="yellow"/>
        </w:rPr>
        <w:t>Consequently</w:t>
      </w:r>
      <w:r>
        <w:rPr>
          <w:rFonts w:ascii="Times New Roman" w:hAnsi="Times New Roman"/>
          <w:b w:val="0"/>
          <w:i w:val="0"/>
          <w:sz w:val="28"/>
        </w:rPr>
        <w:t xml:space="preserve">, this reduces bureaucratic procedures and eliminates the need for manual document verification. </w:t>
      </w:r>
      <w:r>
        <w:rPr>
          <w:rFonts w:ascii="Times New Roman" w:hAnsi="Times New Roman"/>
          <w:b w:val="0"/>
          <w:i w:val="0"/>
          <w:sz w:val="28"/>
          <w:highlight w:val="yellow"/>
        </w:rPr>
        <w:t>On the other hand</w:t>
      </w:r>
      <w:r>
        <w:rPr>
          <w:rFonts w:ascii="Times New Roman" w:hAnsi="Times New Roman"/>
          <w:b w:val="0"/>
          <w:i w:val="0"/>
          <w:sz w:val="28"/>
        </w:rPr>
        <w:t>, blockchain also enhances supply chain transparency by creating immutable records of product origins and movements, which is particularly important for food safety and pharmaceutical tracking within the European single market.</w:t>
      </w:r>
    </w:p>
    <w:p>
      <w:pPr>
        <w:spacing w:line="240" w:lineRule="auto" w:before="0" w:after="0"/>
        <w:ind w:firstLine="567"/>
        <w:jc w:val="both"/>
      </w:pPr>
      <w:r>
        <w:rPr>
          <w:rFonts w:ascii="Times New Roman" w:hAnsi="Times New Roman"/>
          <w:b w:val="0"/>
          <w:i w:val="0"/>
          <w:sz w:val="28"/>
          <w:highlight w:val="yellow"/>
        </w:rPr>
        <w:t>However</w:t>
      </w:r>
      <w:r>
        <w:rPr>
          <w:rFonts w:ascii="Times New Roman" w:hAnsi="Times New Roman"/>
          <w:b w:val="0"/>
          <w:i w:val="0"/>
          <w:sz w:val="28"/>
        </w:rPr>
        <w:t xml:space="preserve">, despite these promising developments, several challenges hinder the widespread adoption of blockchain in the EU. Scalability remains a technical concern, as current blockchain networks struggle to process large volumes of transactions efficiently. Energy consumption is another issue, although EBSI addresses this by using a Proof of Authority consensus mechanism rather than energy-intensive Proof of Work [5]. </w:t>
      </w:r>
      <w:r>
        <w:rPr>
          <w:rFonts w:ascii="Times New Roman" w:hAnsi="Times New Roman"/>
          <w:b w:val="0"/>
          <w:i w:val="0"/>
          <w:sz w:val="28"/>
          <w:highlight w:val="yellow"/>
        </w:rPr>
        <w:t>Nevertheless</w:t>
      </w:r>
      <w:r>
        <w:rPr>
          <w:rFonts w:ascii="Times New Roman" w:hAnsi="Times New Roman"/>
          <w:b w:val="0"/>
          <w:i w:val="0"/>
          <w:sz w:val="28"/>
        </w:rPr>
        <w:t xml:space="preserve">, legal and regulatory fragmentation across EU member states presents additional obstacles, as different countries implement MiCA transitional measures at varying speeds [6]. </w:t>
      </w:r>
      <w:r>
        <w:rPr>
          <w:rFonts w:ascii="Times New Roman" w:hAnsi="Times New Roman"/>
          <w:b w:val="0"/>
          <w:i w:val="0"/>
          <w:sz w:val="28"/>
          <w:highlight w:val="yellow"/>
        </w:rPr>
        <w:t>Therefore</w:t>
      </w:r>
      <w:r>
        <w:rPr>
          <w:rFonts w:ascii="Times New Roman" w:hAnsi="Times New Roman"/>
          <w:b w:val="0"/>
          <w:i w:val="0"/>
          <w:sz w:val="28"/>
        </w:rPr>
        <w:t>, achieving full regulatory harmonization remains an ongoing process. Public trust and adoption barriers also persist, as many citizens and organizations lack sufficient understanding of blockchain technology to embrace it fully.</w:t>
      </w:r>
    </w:p>
    <w:p>
      <w:pPr>
        <w:spacing w:line="240" w:lineRule="auto" w:before="0" w:after="0"/>
        <w:ind w:firstLine="567"/>
        <w:jc w:val="both"/>
      </w:pPr>
      <w:r>
        <w:rPr>
          <w:rFonts w:ascii="Times New Roman" w:hAnsi="Times New Roman"/>
          <w:b w:val="0"/>
          <w:i w:val="0"/>
          <w:sz w:val="28"/>
          <w:highlight w:val="yellow"/>
        </w:rPr>
        <w:t>To sum up</w:t>
      </w:r>
      <w:r>
        <w:rPr>
          <w:rFonts w:ascii="Times New Roman" w:hAnsi="Times New Roman"/>
          <w:b w:val="0"/>
          <w:i w:val="0"/>
          <w:sz w:val="28"/>
        </w:rPr>
        <w:t xml:space="preserve">, blockchain infrastructure has the potential to fundamentally reshape the digital society of the European Union by enabling secure identity management, cross-border document verification, and transparent supply chains. The EU has demonstrated strong commitment to this transformation through initiatives such as EBSI, the European Blockchain Partnership, and the MiCA regulation. </w:t>
      </w:r>
      <w:r>
        <w:rPr>
          <w:rFonts w:ascii="Times New Roman" w:hAnsi="Times New Roman"/>
          <w:b w:val="0"/>
          <w:i w:val="0"/>
          <w:sz w:val="28"/>
          <w:highlight w:val="yellow"/>
        </w:rPr>
        <w:t>In conclusion</w:t>
      </w:r>
      <w:r>
        <w:rPr>
          <w:rFonts w:ascii="Times New Roman" w:hAnsi="Times New Roman"/>
          <w:b w:val="0"/>
          <w:i w:val="0"/>
          <w:sz w:val="28"/>
        </w:rPr>
        <w:t>, while challenges related to scalability, regulatory fragmentation, and public adoption remain, the continued investment in blockchain infrastructure and balanced regulation will be essential for realizing the full potential of a decentralized digital Europe.</w:t>
      </w:r>
    </w:p>
    <w:p>
      <w:pPr>
        <w:spacing w:line="240" w:lineRule="auto" w:before="360" w:after="120"/>
        <w:jc w:val="left"/>
      </w:pPr>
      <w:r>
        <w:rPr>
          <w:rFonts w:ascii="Times New Roman" w:hAnsi="Times New Roman"/>
          <w:b/>
          <w:i w:val="0"/>
          <w:sz w:val="28"/>
        </w:rPr>
        <w:t>References</w:t>
      </w:r>
    </w:p>
    <w:p>
      <w:pPr>
        <w:spacing w:line="240" w:lineRule="auto" w:before="0" w:after="40"/>
        <w:ind w:left="425" w:hanging="425"/>
        <w:jc w:val="left"/>
      </w:pPr>
      <w:r>
        <w:rPr>
          <w:rFonts w:ascii="Times New Roman" w:hAnsi="Times New Roman"/>
          <w:b w:val="0"/>
          <w:i w:val="0"/>
          <w:sz w:val="28"/>
        </w:rPr>
        <w:t xml:space="preserve">1. European Commission. (2024). </w:t>
      </w:r>
      <w:r>
        <w:rPr>
          <w:rFonts w:ascii="Times New Roman" w:hAnsi="Times New Roman"/>
          <w:b w:val="0"/>
          <w:i/>
          <w:sz w:val="28"/>
        </w:rPr>
        <w:t>European Blockchain Services Infrastructure</w:t>
      </w:r>
      <w:r>
        <w:rPr>
          <w:rFonts w:ascii="Times New Roman" w:hAnsi="Times New Roman"/>
          <w:b w:val="0"/>
          <w:i w:val="0"/>
          <w:sz w:val="28"/>
        </w:rPr>
        <w:t>. Shaping Europe’s Digital Future. Retrieved from https://digital-strategy.ec.europa.eu/en/policies/european-blockchain-services-infrastructure</w:t>
      </w:r>
    </w:p>
    <w:p>
      <w:pPr>
        <w:spacing w:line="240" w:lineRule="auto" w:before="0" w:after="40"/>
        <w:ind w:left="425" w:hanging="425"/>
        <w:jc w:val="left"/>
      </w:pPr>
      <w:r>
        <w:rPr>
          <w:rFonts w:ascii="Times New Roman" w:hAnsi="Times New Roman"/>
          <w:b w:val="0"/>
          <w:i w:val="0"/>
          <w:sz w:val="28"/>
        </w:rPr>
        <w:t xml:space="preserve">2. ESMA. (2025). </w:t>
      </w:r>
      <w:r>
        <w:rPr>
          <w:rFonts w:ascii="Times New Roman" w:hAnsi="Times New Roman"/>
          <w:b w:val="0"/>
          <w:i/>
          <w:sz w:val="28"/>
        </w:rPr>
        <w:t>Markets in Crypto-Assets Regulation (MiCA)</w:t>
      </w:r>
      <w:r>
        <w:rPr>
          <w:rFonts w:ascii="Times New Roman" w:hAnsi="Times New Roman"/>
          <w:b w:val="0"/>
          <w:i w:val="0"/>
          <w:sz w:val="28"/>
        </w:rPr>
        <w:t>. Retrieved from https://www.esma.europa.eu/esmas-activities/digital-finance-and-innovation/markets-crypto-assets-regulation-mica</w:t>
      </w:r>
    </w:p>
    <w:p>
      <w:pPr>
        <w:spacing w:line="240" w:lineRule="auto" w:before="0" w:after="40"/>
        <w:ind w:left="425" w:hanging="425"/>
        <w:jc w:val="left"/>
      </w:pPr>
      <w:r>
        <w:rPr>
          <w:rFonts w:ascii="Times New Roman" w:hAnsi="Times New Roman"/>
          <w:b w:val="0"/>
          <w:i w:val="0"/>
          <w:sz w:val="28"/>
        </w:rPr>
        <w:t xml:space="preserve">3. European Commission. (2024). </w:t>
      </w:r>
      <w:r>
        <w:rPr>
          <w:rFonts w:ascii="Times New Roman" w:hAnsi="Times New Roman"/>
          <w:b w:val="0"/>
          <w:i/>
          <w:sz w:val="28"/>
        </w:rPr>
        <w:t>About EUROPEUM-EDIC</w:t>
      </w:r>
      <w:r>
        <w:rPr>
          <w:rFonts w:ascii="Times New Roman" w:hAnsi="Times New Roman"/>
          <w:b w:val="0"/>
          <w:i w:val="0"/>
          <w:sz w:val="28"/>
        </w:rPr>
        <w:t>. Retrieved from https://ec.europa.eu/digital-building-blocks/sites/display/EBSI/About+us</w:t>
      </w:r>
    </w:p>
    <w:p>
      <w:pPr>
        <w:spacing w:line="240" w:lineRule="auto" w:before="0" w:after="40"/>
        <w:ind w:left="425" w:hanging="425"/>
        <w:jc w:val="left"/>
      </w:pPr>
      <w:r>
        <w:rPr>
          <w:rFonts w:ascii="Times New Roman" w:hAnsi="Times New Roman"/>
          <w:b w:val="0"/>
          <w:i w:val="0"/>
          <w:sz w:val="28"/>
        </w:rPr>
        <w:t xml:space="preserve">4. EQAR. (2025). </w:t>
      </w:r>
      <w:r>
        <w:rPr>
          <w:rFonts w:ascii="Times New Roman" w:hAnsi="Times New Roman"/>
          <w:b w:val="0"/>
          <w:i/>
          <w:sz w:val="28"/>
        </w:rPr>
        <w:t>European Blockchain Service Infrastructure (EBSI)</w:t>
      </w:r>
      <w:r>
        <w:rPr>
          <w:rFonts w:ascii="Times New Roman" w:hAnsi="Times New Roman"/>
          <w:b w:val="0"/>
          <w:i w:val="0"/>
          <w:sz w:val="28"/>
        </w:rPr>
        <w:t>. Retrieved from https://www.eqar.eu/qa-results/synergies/european-blockchain-service-infrastructure-ebsi/</w:t>
      </w:r>
    </w:p>
    <w:p>
      <w:pPr>
        <w:spacing w:line="240" w:lineRule="auto" w:before="0" w:after="40"/>
        <w:ind w:left="425" w:hanging="425"/>
        <w:jc w:val="left"/>
      </w:pPr>
      <w:r>
        <w:rPr>
          <w:rFonts w:ascii="Times New Roman" w:hAnsi="Times New Roman"/>
          <w:b w:val="0"/>
          <w:i w:val="0"/>
          <w:sz w:val="28"/>
        </w:rPr>
        <w:t xml:space="preserve">5. MITA. (2025). </w:t>
      </w:r>
      <w:r>
        <w:rPr>
          <w:rFonts w:ascii="Times New Roman" w:hAnsi="Times New Roman"/>
          <w:b w:val="0"/>
          <w:i/>
          <w:sz w:val="28"/>
        </w:rPr>
        <w:t>The European Blockchain Services Infrastructure (EBSI)</w:t>
      </w:r>
      <w:r>
        <w:rPr>
          <w:rFonts w:ascii="Times New Roman" w:hAnsi="Times New Roman"/>
          <w:b w:val="0"/>
          <w:i w:val="0"/>
          <w:sz w:val="28"/>
        </w:rPr>
        <w:t>. Retrieved from https://mita.gov.mt/2025/04/28/the-european-blockchain-services-infrastructure-ebsi/</w:t>
      </w:r>
    </w:p>
    <w:p>
      <w:pPr>
        <w:spacing w:line="240" w:lineRule="auto" w:before="0" w:after="40"/>
        <w:ind w:left="425" w:hanging="425"/>
        <w:jc w:val="left"/>
      </w:pPr>
      <w:r>
        <w:rPr>
          <w:rFonts w:ascii="Times New Roman" w:hAnsi="Times New Roman"/>
          <w:b w:val="0"/>
          <w:i w:val="0"/>
          <w:sz w:val="28"/>
        </w:rPr>
        <w:t xml:space="preserve">6. Hogan Lovells. (2025). </w:t>
      </w:r>
      <w:r>
        <w:rPr>
          <w:rFonts w:ascii="Times New Roman" w:hAnsi="Times New Roman"/>
          <w:b w:val="0"/>
          <w:i/>
          <w:sz w:val="28"/>
        </w:rPr>
        <w:t>The EU’s Markets in Crypto-Assets MiCA Regulation — A Status Update</w:t>
      </w:r>
      <w:r>
        <w:rPr>
          <w:rFonts w:ascii="Times New Roman" w:hAnsi="Times New Roman"/>
          <w:b w:val="0"/>
          <w:i w:val="0"/>
          <w:sz w:val="28"/>
        </w:rPr>
        <w:t>. Retrieved from https://www.hoganlovells.com/en/publications/the-eus-markets-in-crypto-assets-mica-regulation-a-status-update</w:t>
      </w:r>
    </w:p>
    <w:p>
      <w:pPr>
        <w:keepNext/>
        <w:spacing w:line="240" w:lineRule="auto" w:before="480" w:after="240"/>
        <w:jc w:val="center"/>
      </w:pPr>
      <w:r>
        <w:rPr>
          <w:rFonts w:ascii="Times New Roman" w:hAnsi="Times New Roman"/>
          <w:b/>
          <w:i w:val="0"/>
          <w:sz w:val="28"/>
        </w:rPr>
        <w:t>Plagiarism Check Results</w:t>
      </w:r>
    </w:p>
    <w:p>
      <w:pPr>
        <w:spacing w:before="120" w:after="40"/>
        <w:jc w:val="center"/>
      </w:pPr>
      <w:r>
        <w:drawing>
          <wp:inline xmlns:a="http://schemas.openxmlformats.org/drawingml/2006/main" xmlns:pic="http://schemas.openxmlformats.org/drawingml/2006/picture">
            <wp:extent cx="5760000" cy="3123571"/>
            <wp:docPr id="1" name="Picture 1"/>
            <wp:cNvGraphicFramePr>
              <a:graphicFrameLocks noChangeAspect="1"/>
            </wp:cNvGraphicFramePr>
            <a:graphic>
              <a:graphicData uri="http://schemas.openxmlformats.org/drawingml/2006/picture">
                <pic:pic>
                  <pic:nvPicPr>
                    <pic:cNvPr id="0" name="check_antiplagiat_ru.png"/>
                    <pic:cNvPicPr/>
                  </pic:nvPicPr>
                  <pic:blipFill>
                    <a:blip r:embed="rId9"/>
                    <a:stretch>
                      <a:fillRect/>
                    </a:stretch>
                  </pic:blipFill>
                  <pic:spPr>
                    <a:xfrm>
                      <a:off x="0" y="0"/>
                      <a:ext cx="5760000" cy="3123571"/>
                    </a:xfrm>
                    <a:prstGeom prst="rect"/>
                  </pic:spPr>
                </pic:pic>
              </a:graphicData>
            </a:graphic>
          </wp:inline>
        </w:drawing>
      </w:r>
    </w:p>
    <w:p>
      <w:pPr>
        <w:spacing w:line="240" w:lineRule="auto" w:after="240"/>
        <w:jc w:val="center"/>
      </w:pPr>
      <w:r>
        <w:rPr>
          <w:rFonts w:ascii="Times New Roman" w:hAnsi="Times New Roman"/>
          <w:b w:val="0"/>
          <w:i/>
          <w:sz w:val="22"/>
        </w:rPr>
        <w:t>Figure 1. Antiplagiat.ru — Originality 100%.</w:t>
      </w:r>
    </w:p>
    <w:p>
      <w:pPr>
        <w:spacing w:before="120" w:after="40"/>
        <w:jc w:val="center"/>
      </w:pPr>
      <w:r>
        <w:drawing>
          <wp:inline xmlns:a="http://schemas.openxmlformats.org/drawingml/2006/main" xmlns:pic="http://schemas.openxmlformats.org/drawingml/2006/picture">
            <wp:extent cx="5760000" cy="3103962"/>
            <wp:docPr id="2" name="Picture 2"/>
            <wp:cNvGraphicFramePr>
              <a:graphicFrameLocks noChangeAspect="1"/>
            </wp:cNvGraphicFramePr>
            <a:graphic>
              <a:graphicData uri="http://schemas.openxmlformats.org/drawingml/2006/picture">
                <pic:pic>
                  <pic:nvPicPr>
                    <pic:cNvPr id="0" name="check_plagiat_ai.png"/>
                    <pic:cNvPicPr/>
                  </pic:nvPicPr>
                  <pic:blipFill>
                    <a:blip r:embed="rId10"/>
                    <a:stretch>
                      <a:fillRect/>
                    </a:stretch>
                  </pic:blipFill>
                  <pic:spPr>
                    <a:xfrm>
                      <a:off x="0" y="0"/>
                      <a:ext cx="5760000" cy="3103962"/>
                    </a:xfrm>
                    <a:prstGeom prst="rect"/>
                  </pic:spPr>
                </pic:pic>
              </a:graphicData>
            </a:graphic>
          </wp:inline>
        </w:drawing>
      </w:r>
    </w:p>
    <w:p>
      <w:pPr>
        <w:spacing w:line="240" w:lineRule="auto" w:after="240"/>
        <w:jc w:val="center"/>
      </w:pPr>
      <w:r>
        <w:rPr>
          <w:rFonts w:ascii="Times New Roman" w:hAnsi="Times New Roman"/>
          <w:b w:val="0"/>
          <w:i/>
          <w:sz w:val="22"/>
        </w:rPr>
        <w:t>Figure 2. Plagiat.ai — Originality 89%, AI-content low.</w:t>
      </w:r>
    </w:p>
    <w:p>
      <w:pPr>
        <w:spacing w:before="120" w:after="40"/>
        <w:jc w:val="center"/>
      </w:pPr>
      <w:r>
        <w:drawing>
          <wp:inline xmlns:a="http://schemas.openxmlformats.org/drawingml/2006/main" xmlns:pic="http://schemas.openxmlformats.org/drawingml/2006/picture">
            <wp:extent cx="5760000" cy="3544615"/>
            <wp:docPr id="3" name="Picture 3"/>
            <wp:cNvGraphicFramePr>
              <a:graphicFrameLocks noChangeAspect="1"/>
            </wp:cNvGraphicFramePr>
            <a:graphic>
              <a:graphicData uri="http://schemas.openxmlformats.org/drawingml/2006/picture">
                <pic:pic>
                  <pic:nvPicPr>
                    <pic:cNvPr id="0" name="plagiarism_result.png"/>
                    <pic:cNvPicPr/>
                  </pic:nvPicPr>
                  <pic:blipFill>
                    <a:blip r:embed="rId11"/>
                    <a:stretch>
                      <a:fillRect/>
                    </a:stretch>
                  </pic:blipFill>
                  <pic:spPr>
                    <a:xfrm>
                      <a:off x="0" y="0"/>
                      <a:ext cx="5760000" cy="3544615"/>
                    </a:xfrm>
                    <a:prstGeom prst="rect"/>
                  </pic:spPr>
                </pic:pic>
              </a:graphicData>
            </a:graphic>
          </wp:inline>
        </w:drawing>
      </w:r>
    </w:p>
    <w:p>
      <w:pPr>
        <w:spacing w:line="240" w:lineRule="auto" w:after="240"/>
        <w:jc w:val="center"/>
      </w:pPr>
      <w:r>
        <w:rPr>
          <w:rFonts w:ascii="Times New Roman" w:hAnsi="Times New Roman"/>
          <w:b w:val="0"/>
          <w:i/>
          <w:sz w:val="22"/>
        </w:rPr>
        <w:t>Figure 3. PlagiarismDetector.net — Unique 100%, plagiarism not found.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