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
        <w:jc w:val="left"/>
      </w:pPr>
      <w:r>
        <w:rPr>
          <w:rFonts w:ascii="Calibri" w:cs="Calibri" w:eastAsia="Calibri" w:hAnsi="Calibri"/>
          <w:b/>
          <w:bCs/>
          <w:color w:val="8A6D1F"/>
          <w:spacing w:val="60"/>
          <w:sz w:val="18"/>
          <w:szCs w:val="18"/>
        </w:rPr>
        <w:t xml:space="preserve">DOCUMENTACIÓN DE INGENIERÍA DE SOFTWARE</w:t>
      </w:r>
    </w:p>
    <w:p>
      <w:pPr>
        <w:pBdr>
          <w:bottom w:val="single" w:color="1F3864" w:sz="12" w:space="4"/>
        </w:pBdr>
        <w:spacing w:after="180"/>
      </w:pPr>
    </w:p>
    <w:p>
      <w:pPr>
        <w:spacing w:after="100"/>
      </w:pPr>
      <w:r>
        <w:rPr>
          <w:rFonts w:ascii="Calibri Light" w:cs="Calibri Light" w:eastAsia="Calibri Light" w:hAnsi="Calibri Light"/>
          <w:b/>
          <w:bCs/>
          <w:color w:val="1F3864"/>
          <w:sz w:val="52"/>
          <w:szCs w:val="52"/>
        </w:rPr>
        <w:t xml:space="preserve">Análisis Funcional y Técnico</w:t>
      </w:r>
    </w:p>
    <w:p>
      <w:pPr>
        <w:spacing w:after="400"/>
      </w:pPr>
      <w:r>
        <w:rPr>
          <w:rFonts w:ascii="Calibri Light" w:cs="Calibri Light" w:eastAsia="Calibri Light" w:hAnsi="Calibri Light"/>
          <w:color w:val="444444"/>
          <w:sz w:val="26"/>
          <w:szCs w:val="26"/>
        </w:rPr>
        <w:t xml:space="preserve">Ingeniería inversa del aplicativo de referencia «Heres CostPro» a partir de video demostrativo</w:t>
      </w:r>
    </w:p>
    <w:tbl>
      <w:tblPr>
        <w:tblW w:type="dxa" w:w="9360"/>
        <w:tblBorders>
          <w:top w:val="none" w:color="FFFFFF" w:sz="0"/>
          <w:left w:val="none" w:color="FFFFFF" w:sz="0"/>
          <w:bottom w:val="none" w:color="FFFFFF" w:sz="0"/>
          <w:right w:val="none" w:color="FFFFFF" w:sz="0"/>
          <w:insideH w:val="single" w:color="D9D9D9" w:sz="2"/>
          <w:insideV w:val="none" w:color="FFFFFF" w:sz="0"/>
        </w:tblBorders>
      </w:tblPr>
      <w:tblGrid>
        <w:gridCol w:w="2600"/>
        <w:gridCol w:w="6760"/>
      </w:tblGrid>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Documento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DOC-01 · Análisis de producto de referencia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Producto analizado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Heres CostPro — Heres Constructora S.A.S. (Bogotá D.C., Colombia)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Fuente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Grabación de pantalla, 15 min 14 s (tutorial narrado + recorrido propio)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Elaborado para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Migue — definición de producto propio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1.0</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Fecha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6 de agosto de 2026</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F3864"/>
                <w:sz w:val="19"/>
                <w:szCs w:val="19"/>
              </w:rPr>
              <w:t xml:space="preserve">Estado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Para revisión y validación de criterio</w:t>
            </w:r>
          </w:p>
        </w:tc>
      </w:tr>
    </w:tbl>
    <w:p>
      <w:r>
        <w:br w:type="page"/>
      </w:r>
    </w:p>
    <w:p>
      <w:pPr>
        <w:pStyle w:val="Heading1"/>
        <w:spacing w:after="160" w:before="320"/>
      </w:pPr>
      <w:r>
        <w:rPr>
          <w:rFonts w:ascii="Calibri" w:cs="Calibri" w:eastAsia="Calibri" w:hAnsi="Calibri"/>
          <w:b/>
          <w:bCs/>
          <w:color w:val="1F3864"/>
          <w:sz w:val="30"/>
          <w:szCs w:val="30"/>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30"/>
          <w:szCs w:val="30"/>
        </w:rPr>
        <w:t xml:space="preserve">1. Resumen ejecutivo</w:t>
      </w:r>
    </w:p>
    <w:p>
      <w:pPr>
        <w:spacing w:after="120" w:line="276"/>
      </w:pPr>
      <w:r>
        <w:rPr>
          <w:rFonts w:ascii="Calibri" w:cs="Calibri" w:eastAsia="Calibri" w:hAnsi="Calibri"/>
          <w:color w:val="1A1A1A"/>
          <w:sz w:val="21"/>
          <w:szCs w:val="21"/>
        </w:rPr>
        <w:t xml:space="preserve">Este documento consolida el análisis del aplicativo de terceros mostrado en el video entregado. El objetivo no es replicar la aplicación, sino extraer con precisión el problema que resuelve, el modelo de dominio que utiliza, las funcionalidades que aportan valor real y las decisiones técnicas que se pueden observar desde afuera, para servir de insumo a la definición de un producto propio.</w:t>
      </w:r>
    </w:p>
    <w:p>
      <w:pPr>
        <w:spacing w:after="120" w:line="276"/>
      </w:pPr>
      <w:r>
        <w:rPr>
          <w:rFonts w:ascii="Calibri" w:cs="Calibri" w:eastAsia="Calibri" w:hAnsi="Calibri"/>
          <w:color w:val="1A1A1A"/>
          <w:sz w:val="21"/>
          <w:szCs w:val="21"/>
        </w:rPr>
        <w:t xml:space="preserve">El aplicativo analizado se llama Heres CostPro. Es una herramienta web para elaborar presupuestos de obra de construcción en Colombia, apoyada en una base de Análisis de Precios Unitarios (APU) reutilizable y en un catálogo de insumos con precios editables. Su promesa central, repetida explícitamente por el narrador, es que un profesional pueda producir un presupuesto de obra completo y presentable en dos o tres minutos, partiendo de actividades ya costeadas en vez de una hoja de cálculo en blanco.</w:t>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Frase clave del narrador (min 6:31)</w:t>
            </w:r>
          </w:p>
          <w:p>
            <w:pPr>
              <w:spacing w:after="40" w:line="260"/>
            </w:pPr>
            <w:r>
              <w:rPr>
                <w:rFonts w:ascii="Calibri" w:cs="Calibri" w:eastAsia="Calibri" w:hAnsi="Calibri"/>
                <w:sz w:val="19"/>
                <w:szCs w:val="19"/>
              </w:rPr>
              <w:t xml:space="preserve">«…y pueden comenzar a hacer presupuestos en 2, 3 minutos, así de fácil como se los mostré.»</w:t>
            </w:r>
          </w:p>
          <w:p>
            <w:pPr>
              <w:spacing w:after="40" w:line="260"/>
            </w:pPr>
            <w:r>
              <w:rPr>
                <w:rFonts w:ascii="Calibri" w:cs="Calibri" w:eastAsia="Calibri" w:hAnsi="Calibri"/>
                <w:sz w:val="19"/>
                <w:szCs w:val="19"/>
              </w:rPr>
              <w:t xml:space="preserve">Toda la arquitectura del producto está subordinada a esa promesa: catálogo precargado, cálculo en cascada automático y exportación inmediata a PDF y Excel.</w:t>
            </w:r>
          </w:p>
        </w:tc>
      </w:tr>
    </w:tbl>
    <w:p>
      <w:pPr>
        <w:spacing w:after="120" w:line="276"/>
      </w:pPr>
      <w:r>
        <w:rPr>
          <w:rFonts w:ascii="Calibri" w:cs="Calibri" w:eastAsia="Calibri" w:hAnsi="Calibri"/>
          <w:color w:val="1A1A1A"/>
          <w:sz w:val="21"/>
          <w:szCs w:val="21"/>
        </w:rPr>
        <w:t xml:space="preserve">El video se divide en dos bloques, y ambos se analizaron por separado:</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500"/>
        <w:gridCol w:w="2100"/>
        <w:gridCol w:w="5760"/>
      </w:tblGrid>
      <w:tr>
        <w:trPr>
          <w:tblHeader/>
        </w:trPr>
        <w:tc>
          <w:tcPr>
            <w:tcW w:type="dxa" w:w="15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Tramo</w:t>
            </w:r>
          </w:p>
        </w:tc>
        <w:tc>
          <w:tcPr>
            <w:tcW w:type="dxa" w:w="21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Bloque</w:t>
            </w:r>
          </w:p>
        </w:tc>
        <w:tc>
          <w:tcPr>
            <w:tcW w:type="dxa" w:w="5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Contenido observado</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00:00 – 06:45</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Tutorial narrado</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Un vocero de la empresa recorre el flujo comercial completo: crear presupuesto, agregar actividades, editar un APU, definir AIU, revisar consolidados y generar PDF. Incluye la lógica de negocio explicada en voz alta y un contador de demo de 5 minutos.</w:t>
            </w:r>
          </w:p>
        </w:tc>
      </w:tr>
      <w:tr>
        <w:tc>
          <w:tcPr>
            <w:tcW w:type="dxa" w:w="1500"/>
            <w:shd w:fill="F4F6FA"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06:45 – 15:14</w:t>
            </w:r>
          </w:p>
        </w:tc>
        <w:tc>
          <w:tcPr>
            <w:tcW w:type="dxa" w:w="2100"/>
            <w:shd w:fill="F4F6FA"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Recorrido propio</w:t>
            </w:r>
          </w:p>
        </w:tc>
        <w:tc>
          <w:tcPr>
            <w:tcW w:type="dxa" w:w="5760"/>
            <w:shd w:fill="F4F6FA" w:val="clear"/>
            <w:tcMar>
              <w:top w:type="dxa" w:w="70"/>
              <w:left w:type="dxa" w:w="110"/>
              <w:bottom w:type="dxa" w:w="70"/>
              <w:right w:type="dxa" w:w="110"/>
            </w:tcMar>
          </w:tcPr>
          <w:p>
            <w:pPr>
              <w:spacing w:after="0" w:line="250"/>
            </w:pPr>
            <w:r>
              <w:rPr>
                <w:rFonts w:ascii="Calibri" w:cs="Calibri" w:eastAsia="Calibri" w:hAnsi="Calibri"/>
                <w:color w:val="1A1A1A"/>
                <w:sz w:val="19"/>
                <w:szCs w:val="19"/>
              </w:rPr>
              <w:t xml:space="preserve">Exploración libre módulo por módulo, incluyendo apertura de herramientas de desarrollador, prueba en viewport móvil y manipulación del módulo de marca hasta romper la interfaz.</w:t>
            </w:r>
          </w:p>
        </w:tc>
      </w:tr>
    </w:tbl>
    <w:p>
      <w:pPr>
        <w:spacing w:after="120" w:line="276"/>
      </w:pPr>
      <w:r>
        <w:rPr>
          <w:rFonts w:ascii="Calibri" w:cs="Calibri" w:eastAsia="Calibri" w:hAnsi="Calibri"/>
          <w:color w:val="1A1A1A"/>
          <w:sz w:val="21"/>
          <w:szCs w:val="21"/>
        </w:rPr>
        <w:t xml:space="preserve"/>
      </w:r>
    </w:p>
    <w:p>
      <w:pPr>
        <w:spacing w:after="120" w:line="276"/>
      </w:pPr>
      <w:r>
        <w:rPr>
          <w:rFonts w:ascii="Calibri" w:cs="Calibri" w:eastAsia="Calibri" w:hAnsi="Calibri"/>
          <w:color w:val="1A1A1A"/>
          <w:sz w:val="21"/>
          <w:szCs w:val="21"/>
        </w:rPr>
        <w:t xml:space="preserve">Del análisis se desprenden tres conclusiones para el producto propio: (a) el valor no está en la interfaz sino en la base de conocimiento de APUs e insumos y en la trazabilidad del cálculo; (b) el motor de cálculo en cascada —insumo → APU → actividad → capítulo → presupuesto → AIU → total— debe ser el núcleo de la arquitectura; y (c) buena parte de lo que el aplicativo expone al usuario final no debería ser editable por él, lo que se detalla en el documento anexo DOC-03.</w:t>
      </w:r>
    </w:p>
    <w:p>
      <w:pPr>
        <w:pStyle w:val="Heading1"/>
        <w:spacing w:after="160" w:before="320"/>
      </w:pPr>
      <w:r>
        <w:rPr>
          <w:rFonts w:ascii="Calibri" w:cs="Calibri" w:eastAsia="Calibri" w:hAnsi="Calibri"/>
          <w:b/>
          <w:bCs/>
          <w:color w:val="1F3864"/>
          <w:sz w:val="30"/>
          <w:szCs w:val="30"/>
        </w:rPr>
        <w:t xml:space="preserve">2. Idea central del aplicativo</w:t>
      </w:r>
    </w:p>
    <w:p>
      <w:pPr>
        <w:pStyle w:val="Heading2"/>
        <w:spacing w:after="120" w:before="260"/>
      </w:pPr>
      <w:r>
        <w:rPr>
          <w:rFonts w:ascii="Calibri" w:cs="Calibri" w:eastAsia="Calibri" w:hAnsi="Calibri"/>
          <w:b/>
          <w:bCs/>
          <w:color w:val="1F3864"/>
          <w:sz w:val="25"/>
          <w:szCs w:val="25"/>
        </w:rPr>
        <w:t xml:space="preserve">2.1 Problema que resuelve</w:t>
      </w:r>
    </w:p>
    <w:p>
      <w:pPr>
        <w:spacing w:after="120" w:line="276"/>
      </w:pPr>
      <w:r>
        <w:rPr>
          <w:rFonts w:ascii="Calibri" w:cs="Calibri" w:eastAsia="Calibri" w:hAnsi="Calibri"/>
          <w:color w:val="1A1A1A"/>
          <w:sz w:val="21"/>
          <w:szCs w:val="21"/>
        </w:rPr>
        <w:t xml:space="preserve">En Colombia, presupuestar una obra exige descomponer cada actividad constructiva en un Análisis de Precios Unitarios: el costo de ejecutar una unidad de esa actividad (un metro cuadrado de mampostería, un metro lineal de tubería), desglosado en materiales, mano de obra, equipo y transporte. Ese trabajo se hace tradicionalmente en Excel, con tres consecuencias conocidas: los APUs no se reutilizan entre proyectos, una actualización de precio de un insumo no se propaga a los presupuestos que lo usan, y el documento que se entrega al cliente se arma a mano.</w:t>
      </w:r>
    </w:p>
    <w:p>
      <w:pPr>
        <w:pStyle w:val="Heading2"/>
        <w:spacing w:after="120" w:before="260"/>
      </w:pPr>
      <w:r>
        <w:rPr>
          <w:rFonts w:ascii="Calibri" w:cs="Calibri" w:eastAsia="Calibri" w:hAnsi="Calibri"/>
          <w:b/>
          <w:bCs/>
          <w:color w:val="1F3864"/>
          <w:sz w:val="25"/>
          <w:szCs w:val="25"/>
        </w:rPr>
        <w:t xml:space="preserve">2.2 Propuesta de valor observada</w:t>
      </w:r>
    </w:p>
    <w:p>
      <w:pPr>
        <w:spacing w:after="120" w:line="276"/>
      </w:pPr>
      <w:r>
        <w:rPr>
          <w:rFonts w:ascii="Calibri" w:cs="Calibri" w:eastAsia="Calibri" w:hAnsi="Calibri"/>
          <w:color w:val="1A1A1A"/>
          <w:sz w:val="21"/>
          <w:szCs w:val="21"/>
        </w:rPr>
        <w:t xml:space="preserve">El aplicativo convierte ese proceso en una operación de catálogo. El usuario no construye el APU: lo selecciona de una base precargada, indica la cantidad y el sistema calcula todo hacia arriba. Los precios de insumos son un maestro único, de modo que corregir el valor de una lámina de yeso recalcula automáticamente todos los APUs y todas las actividades que la contienen.</w:t>
      </w:r>
    </w:p>
    <w:p>
      <w:pPr>
        <w:pStyle w:val="ListParagraph"/>
        <w:numPr>
          <w:ilvl w:val="0"/>
          <w:numId w:val="2"/>
        </w:numPr>
        <w:spacing w:after="60" w:line="276"/>
      </w:pPr>
      <w:r>
        <w:rPr>
          <w:rFonts w:ascii="Calibri" w:cs="Calibri" w:eastAsia="Calibri" w:hAnsi="Calibri"/>
          <w:b/>
          <w:bCs/>
          <w:color w:val="1A1A1A"/>
          <w:sz w:val="21"/>
          <w:szCs w:val="21"/>
        </w:rPr>
        <w:t xml:space="preserve">Reutilización: </w:t>
      </w:r>
      <w:r>
        <w:rPr>
          <w:rFonts w:ascii="Calibri" w:cs="Calibri" w:eastAsia="Calibri" w:hAnsi="Calibri"/>
          <w:color w:val="1A1A1A"/>
          <w:sz w:val="21"/>
          <w:szCs w:val="21"/>
        </w:rPr>
        <w:t xml:space="preserve">base de APUs y de insumos persistente e independiente del proyecto activo.</w:t>
      </w:r>
    </w:p>
    <w:p>
      <w:pPr>
        <w:pStyle w:val="ListParagraph"/>
        <w:numPr>
          <w:ilvl w:val="0"/>
          <w:numId w:val="2"/>
        </w:numPr>
        <w:spacing w:after="60" w:line="276"/>
      </w:pPr>
      <w:r>
        <w:rPr>
          <w:rFonts w:ascii="Calibri" w:cs="Calibri" w:eastAsia="Calibri" w:hAnsi="Calibri"/>
          <w:b/>
          <w:bCs/>
          <w:color w:val="1A1A1A"/>
          <w:sz w:val="21"/>
          <w:szCs w:val="21"/>
        </w:rPr>
        <w:t xml:space="preserve">Cálculo en cascada: </w:t>
      </w:r>
      <w:r>
        <w:rPr>
          <w:rFonts w:ascii="Calibri" w:cs="Calibri" w:eastAsia="Calibri" w:hAnsi="Calibri"/>
          <w:color w:val="1A1A1A"/>
          <w:sz w:val="21"/>
          <w:szCs w:val="21"/>
        </w:rPr>
        <w:t xml:space="preserve">un cambio en cualquier nivel se propaga hacia arriba sin intervención manual.</w:t>
      </w:r>
    </w:p>
    <w:p>
      <w:pPr>
        <w:pStyle w:val="ListParagraph"/>
        <w:numPr>
          <w:ilvl w:val="0"/>
          <w:numId w:val="2"/>
        </w:numPr>
        <w:spacing w:after="60" w:line="276"/>
      </w:pPr>
      <w:r>
        <w:rPr>
          <w:rFonts w:ascii="Calibri" w:cs="Calibri" w:eastAsia="Calibri" w:hAnsi="Calibri"/>
          <w:b/>
          <w:bCs/>
          <w:color w:val="1A1A1A"/>
          <w:sz w:val="21"/>
          <w:szCs w:val="21"/>
        </w:rPr>
        <w:t xml:space="preserve">Velocidad: </w:t>
      </w:r>
      <w:r>
        <w:rPr>
          <w:rFonts w:ascii="Calibri" w:cs="Calibri" w:eastAsia="Calibri" w:hAnsi="Calibri"/>
          <w:color w:val="1A1A1A"/>
          <w:sz w:val="21"/>
          <w:szCs w:val="21"/>
        </w:rPr>
        <w:t xml:space="preserve">plantillas de proyecto y actividades precosteadas eliminan el arranque desde cero.</w:t>
      </w:r>
    </w:p>
    <w:p>
      <w:pPr>
        <w:pStyle w:val="ListParagraph"/>
        <w:numPr>
          <w:ilvl w:val="0"/>
          <w:numId w:val="2"/>
        </w:numPr>
        <w:spacing w:after="60" w:line="276"/>
      </w:pPr>
      <w:r>
        <w:rPr>
          <w:rFonts w:ascii="Calibri" w:cs="Calibri" w:eastAsia="Calibri" w:hAnsi="Calibri"/>
          <w:b/>
          <w:bCs/>
          <w:color w:val="1A1A1A"/>
          <w:sz w:val="21"/>
          <w:szCs w:val="21"/>
        </w:rPr>
        <w:t xml:space="preserve">Entregable inmediato: </w:t>
      </w:r>
      <w:r>
        <w:rPr>
          <w:rFonts w:ascii="Calibri" w:cs="Calibri" w:eastAsia="Calibri" w:hAnsi="Calibri"/>
          <w:color w:val="1A1A1A"/>
          <w:sz w:val="21"/>
          <w:szCs w:val="21"/>
        </w:rPr>
        <w:t xml:space="preserve">el mismo dato produce el presupuesto interno, la propuesta al cliente en PDF, la cotización a proveedores y los archivos Excel.</w:t>
      </w:r>
    </w:p>
    <w:p>
      <w:pPr>
        <w:pStyle w:val="ListParagraph"/>
        <w:numPr>
          <w:ilvl w:val="0"/>
          <w:numId w:val="2"/>
        </w:numPr>
        <w:spacing w:after="60" w:line="276"/>
      </w:pPr>
      <w:r>
        <w:rPr>
          <w:rFonts w:ascii="Calibri" w:cs="Calibri" w:eastAsia="Calibri" w:hAnsi="Calibri"/>
          <w:b/>
          <w:bCs/>
          <w:color w:val="1A1A1A"/>
          <w:sz w:val="21"/>
          <w:szCs w:val="21"/>
        </w:rPr>
        <w:t xml:space="preserve">Doble lectura: </w:t>
      </w:r>
      <w:r>
        <w:rPr>
          <w:rFonts w:ascii="Calibri" w:cs="Calibri" w:eastAsia="Calibri" w:hAnsi="Calibri"/>
          <w:color w:val="1A1A1A"/>
          <w:sz w:val="21"/>
          <w:szCs w:val="21"/>
        </w:rPr>
        <w:t xml:space="preserve">un presupuesto comercial para el cliente y un módulo de inteligencia de costos para el control interno del margen.</w:t>
      </w:r>
    </w:p>
    <w:p>
      <w:pPr>
        <w:pStyle w:val="Heading2"/>
        <w:spacing w:after="120" w:before="260"/>
      </w:pPr>
      <w:r>
        <w:rPr>
          <w:rFonts w:ascii="Calibri" w:cs="Calibri" w:eastAsia="Calibri" w:hAnsi="Calibri"/>
          <w:b/>
          <w:bCs/>
          <w:color w:val="1F3864"/>
          <w:sz w:val="25"/>
          <w:szCs w:val="25"/>
        </w:rPr>
        <w:t xml:space="preserve">2.3 Usuarios objetivo inferidos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400"/>
        <w:gridCol w:w="6960"/>
      </w:tblGrid>
      <w:tr>
        <w:trPr>
          <w:tblHeader/>
        </w:trPr>
        <w:tc>
          <w:tcPr>
            <w:tcW w:type="dxa" w:w="24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Perfil</w:t>
            </w:r>
          </w:p>
        </w:tc>
        <w:tc>
          <w:tcPr>
            <w:tcW w:type="dxa" w:w="69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Rol dentro del flujo</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Presupuestador / ingeniero de costos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Usuario principal. Arma el presupuesto, ajusta APUs, controla rendimientos y define el AIU.</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Director de obra o gerente</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Consume el Panel Principal y el módulo de inteligencia de costos: costo por m², participación de capítulos, margen.</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Área comercial / propietario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 la propuesta en PDF con la marca de la empresa y la envía al cliente.</w:t>
            </w:r>
          </w:p>
        </w:tc>
      </w:tr>
      <w:tr>
        <w:tc>
          <w:tcPr>
            <w:tcW w:type="dxa" w:w="24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Compras</w:t>
            </w:r>
          </w:p>
        </w:tc>
        <w:tc>
          <w:tcPr>
            <w:tcW w:type="dxa" w:w="69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Usa la cotización de materiales consolidada para pedir precios a proveedores.</w:t>
            </w:r>
          </w:p>
        </w:tc>
      </w:tr>
    </w:tbl>
    <w:p>
      <w:r>
        <w:br w:type="page"/>
      </w:r>
    </w:p>
    <w:p>
      <w:pPr>
        <w:pStyle w:val="Heading1"/>
        <w:spacing w:after="160" w:before="320"/>
      </w:pPr>
      <w:r>
        <w:rPr>
          <w:rFonts w:ascii="Calibri" w:cs="Calibri" w:eastAsia="Calibri" w:hAnsi="Calibri"/>
          <w:b/>
          <w:bCs/>
          <w:color w:val="1F3864"/>
          <w:sz w:val="30"/>
          <w:szCs w:val="30"/>
        </w:rPr>
        <w:t xml:space="preserve">3. Modelo de dominio observado</w:t>
      </w:r>
    </w:p>
    <w:p>
      <w:pPr>
        <w:spacing w:after="120" w:line="276"/>
      </w:pPr>
      <w:r>
        <w:rPr>
          <w:rFonts w:ascii="Calibri" w:cs="Calibri" w:eastAsia="Calibri" w:hAnsi="Calibri"/>
          <w:color w:val="1A1A1A"/>
          <w:sz w:val="21"/>
          <w:szCs w:val="21"/>
        </w:rPr>
        <w:t xml:space="preserve">Toda la aplicación gira alrededor de una jerarquía de seis niveles. Entender esta jerarquía es el aporte más reutilizable del análisis, porque define el motor de cálculo y, con él, el modelo de datos.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100"/>
        <w:gridCol w:w="2200"/>
        <w:gridCol w:w="6060"/>
      </w:tblGrid>
      <w:tr>
        <w:trPr>
          <w:tblHeader/>
        </w:trPr>
        <w:tc>
          <w:tcPr>
            <w:tcW w:type="dxa" w:w="11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Nivel</w:t>
            </w:r>
          </w:p>
        </w:tc>
        <w:tc>
          <w:tcPr>
            <w:tcW w:type="dxa" w:w="2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Entidad</w:t>
            </w:r>
          </w:p>
        </w:tc>
        <w:tc>
          <w:tcPr>
            <w:tcW w:type="dxa" w:w="60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Definición y evidencia en el video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1</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Insumo</w:t>
            </w:r>
          </w:p>
        </w:tc>
        <w:tc>
          <w:tcPr>
            <w:tcW w:type="dxa" w:w="6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Unidad mínima de costo. Tiene descripción, unidad de medida, grupo (Material, Mano de obra, Equipo, Transporte) y valor unitario. Ejemplo observado: «Lámina de yeso 3/8"», und, $41.200. El catálogo del proyecto demo tenía 120 insumos.</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2</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APU</w:t>
            </w:r>
          </w:p>
        </w:tc>
        <w:tc>
          <w:tcPr>
            <w:tcW w:type="dxa" w:w="6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Análisis de Precios Unitarios: receta que combina insumos con un rendimiento (cantidad de insumo por unidad de actividad). Su costo es la suma de sus insumos, agrupada en Materiales, Mano de Obra y Equipo. Ejemplo: «Cielo raso en board con pintura epóxica», M2, $84.829,91.</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3</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Actividad</w:t>
            </w:r>
          </w:p>
        </w:tc>
        <w:tc>
          <w:tcPr>
            <w:tcW w:type="dxa" w:w="6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APU incorporado a un presupuesto concreto con una cantidad de obra. Valor parcial = valor unitario del APU × cantidad. Ejemplo: 62 m² de cielo raso = $5.259.454,42.</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4</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w:t>
            </w:r>
          </w:p>
        </w:tc>
        <w:tc>
          <w:tcPr>
            <w:tcW w:type="dxa" w:w="6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Agrupación de actividades por especialidad (Preliminares, Demoliciones, Mampostería, Revoques y Acabados, Pisos, Inst. Hidrosanitarias, Inst. Eléctricas, Aparatos Sanitarios, Carpintería, Cubiertas, Concretos, Acero, Movimientos de Tierra, Urbanismo). Se observaron 15 capítulos.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5</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w:t>
            </w:r>
          </w:p>
        </w:tc>
        <w:tc>
          <w:tcPr>
            <w:tcW w:type="dxa" w:w="6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Suma de capítulos = Costo Directo. En el proyecto demo: $58.696.983,45 sobre 19 actividades.</w:t>
            </w:r>
          </w:p>
        </w:tc>
      </w:tr>
      <w:tr>
        <w:tc>
          <w:tcPr>
            <w:tcW w:type="dxa" w:w="1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6</w:t>
            </w:r>
          </w:p>
        </w:tc>
        <w:tc>
          <w:tcPr>
            <w:tcW w:type="dxa" w:w="2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0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Contenedor comercial: nombre, cliente, ubicación, área en m², tipo de obra, fecha y descuento opcional. Sobre el costo directo se aplican AIU e IVA para obtener el Total Proyecto ($72.197.289,64 en el demo).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3.1 Motor de cálculo</w:t>
      </w:r>
    </w:p>
    <w:p>
      <w:pPr>
        <w:spacing w:after="120" w:line="276"/>
      </w:pPr>
      <w:r>
        <w:rPr>
          <w:rFonts w:ascii="Calibri" w:cs="Calibri" w:eastAsia="Calibri" w:hAnsi="Calibri"/>
          <w:color w:val="1A1A1A"/>
          <w:sz w:val="21"/>
          <w:szCs w:val="21"/>
        </w:rPr>
        <w:t xml:space="preserve">Las fórmulas se dedujeron de los valores visibles en pantalla y son consistentes en todas las vistas:</w:t>
      </w:r>
    </w:p>
    <w:p>
      <w:pPr>
        <w:shd w:fill="F2F2F2" w:val="clear"/>
        <w:spacing w:after="40" w:line="240"/>
        <w:ind w:left="240"/>
      </w:pPr>
      <w:r>
        <w:rPr>
          <w:rFonts w:ascii="Consolas" w:cs="Consolas" w:eastAsia="Consolas" w:hAnsi="Consolas"/>
          <w:color w:val="20304A"/>
          <w:sz w:val="18"/>
          <w:szCs w:val="18"/>
        </w:rPr>
        <w:t xml:space="preserve">Costo APU        = Σ (cantidad_insumo × valor_unitario_insumo)</w:t>
      </w:r>
    </w:p>
    <w:p>
      <w:pPr>
        <w:shd w:fill="F2F2F2" w:val="clear"/>
        <w:spacing w:after="40" w:line="240"/>
        <w:ind w:left="240"/>
      </w:pPr>
      <w:r>
        <w:rPr>
          <w:rFonts w:ascii="Consolas" w:cs="Consolas" w:eastAsia="Consolas" w:hAnsi="Consolas"/>
          <w:color w:val="20304A"/>
          <w:sz w:val="18"/>
          <w:szCs w:val="18"/>
        </w:rPr>
        <w:t xml:space="preserve">Valor parcial    = Costo APU × cantidad_de_obra</w:t>
      </w:r>
    </w:p>
    <w:p>
      <w:pPr>
        <w:shd w:fill="F2F2F2" w:val="clear"/>
        <w:spacing w:after="40" w:line="240"/>
        <w:ind w:left="240"/>
      </w:pPr>
      <w:r>
        <w:rPr>
          <w:rFonts w:ascii="Consolas" w:cs="Consolas" w:eastAsia="Consolas" w:hAnsi="Consolas"/>
          <w:color w:val="20304A"/>
          <w:sz w:val="18"/>
          <w:szCs w:val="18"/>
        </w:rPr>
        <w:t xml:space="preserve">Total capítulo   = Σ valores parciales de sus actividades</w:t>
      </w:r>
    </w:p>
    <w:p>
      <w:pPr>
        <w:shd w:fill="F2F2F2" w:val="clear"/>
        <w:spacing w:after="40" w:line="240"/>
        <w:ind w:left="240"/>
      </w:pPr>
      <w:r>
        <w:rPr>
          <w:rFonts w:ascii="Consolas" w:cs="Consolas" w:eastAsia="Consolas" w:hAnsi="Consolas"/>
          <w:color w:val="20304A"/>
          <w:sz w:val="18"/>
          <w:szCs w:val="18"/>
        </w:rPr>
        <w:t xml:space="preserve">Costo Directo    = Σ totales de capítulos</w:t>
      </w:r>
    </w:p>
    <w:p>
      <w:pPr>
        <w:shd w:fill="F2F2F2" w:val="clear"/>
        <w:spacing w:after="40" w:line="240"/>
        <w:ind w:left="240"/>
      </w:pPr>
      <w:r>
        <w:rPr>
          <w:rFonts w:ascii="Consolas" w:cs="Consolas" w:eastAsia="Consolas" w:hAnsi="Consolas"/>
          <w:color w:val="20304A"/>
          <w:sz w:val="18"/>
          <w:szCs w:val="18"/>
        </w:rPr>
        <w:t xml:space="preserve">Administración   = Costo Directo × %A        (demo: 15 %  → $8.804.547,52)</w:t>
      </w:r>
    </w:p>
    <w:p>
      <w:pPr>
        <w:shd w:fill="F2F2F2" w:val="clear"/>
        <w:spacing w:after="40" w:line="240"/>
        <w:ind w:left="240"/>
      </w:pPr>
      <w:r>
        <w:rPr>
          <w:rFonts w:ascii="Consolas" w:cs="Consolas" w:eastAsia="Consolas" w:hAnsi="Consolas"/>
          <w:color w:val="20304A"/>
          <w:sz w:val="18"/>
          <w:szCs w:val="18"/>
        </w:rPr>
        <w:t xml:space="preserve">Imprevistos      = Costo Directo × %I        (demo:  3 %  → $1.760.909,50)</w:t>
      </w:r>
    </w:p>
    <w:p>
      <w:pPr>
        <w:shd w:fill="F2F2F2" w:val="clear"/>
        <w:spacing w:after="40" w:line="240"/>
        <w:ind w:left="240"/>
      </w:pPr>
      <w:r>
        <w:rPr>
          <w:rFonts w:ascii="Consolas" w:cs="Consolas" w:eastAsia="Consolas" w:hAnsi="Consolas"/>
          <w:color w:val="20304A"/>
          <w:sz w:val="18"/>
          <w:szCs w:val="18"/>
        </w:rPr>
        <w:t xml:space="preserve">Utilidad         = Costo Directo × %U        (demo:  5 %  → $2.934.849,17)</w:t>
      </w:r>
    </w:p>
    <w:p>
      <w:pPr>
        <w:shd w:fill="F2F2F2" w:val="clear"/>
        <w:spacing w:after="40" w:line="240"/>
        <w:ind w:left="240"/>
      </w:pPr>
      <w:r>
        <w:rPr>
          <w:rFonts w:ascii="Consolas" w:cs="Consolas" w:eastAsia="Consolas" w:hAnsi="Consolas"/>
          <w:color w:val="20304A"/>
          <w:sz w:val="18"/>
          <w:szCs w:val="18"/>
        </w:rPr>
        <w:t xml:space="preserve">AIU Total        = A + I + U                 (demo: 23 %  → $13.500.306,19)</w:t>
      </w:r>
    </w:p>
    <w:p>
      <w:pPr>
        <w:shd w:fill="F2F2F2" w:val="clear"/>
        <w:spacing w:after="40" w:line="240"/>
        <w:ind w:left="240"/>
      </w:pPr>
      <w:r>
        <w:rPr>
          <w:rFonts w:ascii="Consolas" w:cs="Consolas" w:eastAsia="Consolas" w:hAnsi="Consolas"/>
          <w:color w:val="20304A"/>
          <w:sz w:val="18"/>
          <w:szCs w:val="18"/>
        </w:rPr>
        <w:t xml:space="preserve">Total Proyecto   = Costo Directo + AIU (+ IVA opcional 19 % − descuento)</w:t>
      </w:r>
    </w:p>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Verificación numérica</w:t>
            </w:r>
          </w:p>
          <w:p>
            <w:pPr>
              <w:spacing w:after="40" w:line="260"/>
            </w:pPr>
            <w:r>
              <w:rPr>
                <w:rFonts w:ascii="Calibri" w:cs="Calibri" w:eastAsia="Calibri" w:hAnsi="Calibri"/>
                <w:sz w:val="19"/>
                <w:szCs w:val="19"/>
              </w:rPr>
              <w:t xml:space="preserve">58.696.983,45 × 0,15 = 8.804.547,52 ✓   × 0,03 = 1.760.909,50 ✓   × 0,05 = 2.934.849,17 ✓</w:t>
            </w:r>
          </w:p>
          <w:p>
            <w:pPr>
              <w:spacing w:after="40" w:line="260"/>
            </w:pPr>
            <w:r>
              <w:rPr>
                <w:rFonts w:ascii="Calibri" w:cs="Calibri" w:eastAsia="Calibri" w:hAnsi="Calibri"/>
                <w:sz w:val="19"/>
                <w:szCs w:val="19"/>
              </w:rPr>
              <w:t xml:space="preserve">58.696.983,45 + 13.500.306,19 = 72.197.289,64 ✓ (coincide con el Total Proyecto mostrado en el Panel Principal)</w:t>
            </w:r>
          </w:p>
          <w:p>
            <w:pPr>
              <w:spacing w:after="40" w:line="260"/>
            </w:pPr>
            <w:r>
              <w:rPr>
                <w:rFonts w:ascii="Calibri" w:cs="Calibri" w:eastAsia="Calibri" w:hAnsi="Calibri"/>
                <w:sz w:val="19"/>
                <w:szCs w:val="19"/>
              </w:rPr>
              <w:t xml:space="preserve">Conclusión: el AIU se calcula sobre el costo directo, no en cascada sobre el subtotal acumulado.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3.2 Indicadores derivados</w:t>
      </w:r>
    </w:p>
    <w:p>
      <w:pPr>
        <w:spacing w:after="120" w:line="276"/>
      </w:pPr>
      <w:r>
        <w:rPr>
          <w:rFonts w:ascii="Calibri" w:cs="Calibri" w:eastAsia="Calibri" w:hAnsi="Calibri"/>
          <w:color w:val="1A1A1A"/>
          <w:sz w:val="21"/>
          <w:szCs w:val="21"/>
        </w:rPr>
        <w:t xml:space="preserve">El aplicativo divide sistemáticamente los costos por el área del proyecto (80 m² en el demo) para producir indicadores comparables entre obras:</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3100"/>
        <w:gridCol w:w="2000"/>
        <w:gridCol w:w="4260"/>
      </w:tblGrid>
      <w:tr>
        <w:trPr>
          <w:tblHeader/>
        </w:trPr>
        <w:tc>
          <w:tcPr>
            <w:tcW w:type="dxa" w:w="31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Indicador</w:t>
            </w:r>
          </w:p>
        </w:tc>
        <w:tc>
          <w:tcPr>
            <w:tcW w:type="dxa" w:w="2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 demo</w:t>
            </w:r>
          </w:p>
        </w:tc>
        <w:tc>
          <w:tcPr>
            <w:tcW w:type="dxa" w:w="42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Lectura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Costo directo por m²</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$733.712,29</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maestro de comparación entre proyectos</w:t>
            </w:r>
          </w:p>
        </w:tc>
      </w:tr>
      <w:tr>
        <w:tc>
          <w:tcPr>
            <w:tcW w:type="dxa" w:w="3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Materiales por m²</w:t>
            </w:r>
          </w:p>
        </w:tc>
        <w:tc>
          <w:tcPr>
            <w:tcW w:type="dxa" w:w="2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$306.418,10</w:t>
            </w:r>
          </w:p>
        </w:tc>
        <w:tc>
          <w:tcPr>
            <w:tcW w:type="dxa" w:w="4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41,76 % del costo directo</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Mano de obra por m²</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$394.485,67</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53,77 % del costo directo</w:t>
            </w:r>
          </w:p>
        </w:tc>
      </w:tr>
      <w:tr>
        <w:tc>
          <w:tcPr>
            <w:tcW w:type="dxa" w:w="31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Equipos + transporte por m²</w:t>
            </w:r>
          </w:p>
        </w:tc>
        <w:tc>
          <w:tcPr>
            <w:tcW w:type="dxa" w:w="2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$32.808,52</w:t>
            </w:r>
          </w:p>
        </w:tc>
        <w:tc>
          <w:tcPr>
            <w:tcW w:type="dxa" w:w="4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4,47 % del costo directo</w:t>
            </w:r>
          </w:p>
        </w:tc>
      </w:tr>
    </w:tbl>
    <w:p>
      <w:r>
        <w:br w:type="page"/>
      </w:r>
    </w:p>
    <w:p>
      <w:pPr>
        <w:pStyle w:val="Heading1"/>
        <w:spacing w:after="160" w:before="320"/>
      </w:pPr>
      <w:r>
        <w:rPr>
          <w:rFonts w:ascii="Calibri" w:cs="Calibri" w:eastAsia="Calibri" w:hAnsi="Calibri"/>
          <w:b/>
          <w:bCs/>
          <w:color w:val="1F3864"/>
          <w:sz w:val="30"/>
          <w:szCs w:val="30"/>
        </w:rPr>
        <w:t xml:space="preserve">4. Mapa de módulos</w:t>
      </w:r>
    </w:p>
    <w:p>
      <w:pPr>
        <w:spacing w:after="120" w:line="276"/>
      </w:pPr>
      <w:r>
        <w:rPr>
          <w:rFonts w:ascii="Calibri" w:cs="Calibri" w:eastAsia="Calibri" w:hAnsi="Calibri"/>
          <w:color w:val="1A1A1A"/>
          <w:sz w:val="21"/>
          <w:szCs w:val="21"/>
        </w:rPr>
        <w:t xml:space="preserve">La navegación lateral expone trece módulos. La siguiente tabla los describe con lo efectivamente observado; se marca explícitamente cuándo un módulo se mencionó pero no se pudo verificar en pantalla.</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1800"/>
        <w:gridCol w:w="4560"/>
        <w:gridCol w:w="3000"/>
      </w:tblGrid>
      <w:tr>
        <w:trPr>
          <w:tblHeader/>
        </w:trPr>
        <w:tc>
          <w:tcPr>
            <w:tcW w:type="dxa" w:w="18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Módulo</w:t>
            </w:r>
          </w:p>
        </w:tc>
        <w:tc>
          <w:tcPr>
            <w:tcW w:type="dxa" w:w="45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 observada</w:t>
            </w:r>
          </w:p>
        </w:tc>
        <w:tc>
          <w:tcPr>
            <w:tcW w:type="dxa" w:w="30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Dashboard</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Principal. Tarjetas de resumen (n.º actividades, costo directo, AIU aplicado, total proyecto), desglose por tipo de recurso y lectura por capítulos ordenada por participación, con porcentaje y barra.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8:58)</w:t>
            </w:r>
          </w:p>
        </w:tc>
      </w:tr>
      <w:tr>
        <w:tc>
          <w:tcPr>
            <w:tcW w:type="dxa" w:w="18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Presupuesto</w:t>
            </w:r>
          </w:p>
        </w:tc>
        <w:tc>
          <w:tcPr>
            <w:tcW w:type="dxa" w:w="45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Vista de trabajo principal: tabla de actividades agrupadas por capítulo, con cantidad editable en línea, valor unitario, valor parcial, acceso al APU, memorias de cálculo y eliminación.</w:t>
            </w:r>
          </w:p>
        </w:tc>
        <w:tc>
          <w:tcPr>
            <w:tcW w:type="dxa" w:w="3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1:07 y 7:00)</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Costos APU</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Módulo de Inteligencia de Costos APU: auditoría técnica de APUs, costo por m², control materiales vs. mano de obra, análisis de subcontratos, rentabilidad por capítulos y alertas de desviación.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9:05)</w:t>
            </w:r>
          </w:p>
        </w:tc>
      </w:tr>
      <w:tr>
        <w:tc>
          <w:tcPr>
            <w:tcW w:type="dxa" w:w="18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Resumen Completo</w:t>
            </w:r>
          </w:p>
        </w:tc>
        <w:tc>
          <w:tcPr>
            <w:tcW w:type="dxa" w:w="45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profesional del presupuesto con el detalle de todos los APUs desplegados debajo. Es el documento maestro que alimenta las exportaciones.</w:t>
            </w:r>
          </w:p>
        </w:tc>
        <w:tc>
          <w:tcPr>
            <w:tcW w:type="dxa" w:w="3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9:20)</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Insumos</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insumos con precio editable en línea, unidad, grupo, contador de «uso en APUs», importación desde Excel y alta de insumos nuevos.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7:58)</w:t>
            </w:r>
          </w:p>
        </w:tc>
      </w:tr>
      <w:tr>
        <w:tc>
          <w:tcPr>
            <w:tcW w:type="dxa" w:w="18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AIU</w:t>
            </w:r>
          </w:p>
        </w:tc>
        <w:tc>
          <w:tcPr>
            <w:tcW w:type="dxa" w:w="45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Administración, Imprevistos y Utilidad. En la práctica se opera desde el resumen financiero fijo del panel lateral, con porcentajes editables e IVA opcional.</w:t>
            </w:r>
          </w:p>
        </w:tc>
        <w:tc>
          <w:tcPr>
            <w:tcW w:type="dxa" w:w="3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4:18)</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Base APU</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 Datos APU: catálogo maestro con buscador, filtro por capítulo, creación de APU nuevo, edición, análisis, duplicación e importación/exportación Excel.</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4:00 y 12:45)</w:t>
            </w:r>
          </w:p>
        </w:tc>
      </w:tr>
      <w:tr>
        <w:tc>
          <w:tcPr>
            <w:tcW w:type="dxa" w:w="18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Marca</w:t>
            </w:r>
          </w:p>
        </w:tc>
        <w:tc>
          <w:tcPr>
            <w:tcW w:type="dxa" w:w="45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Configuración de Marca: datos comerciales, logos, colores de aplicación y de PDF y ajustes dimensionales del encabezado.</w:t>
            </w:r>
          </w:p>
        </w:tc>
        <w:tc>
          <w:tcPr>
            <w:tcW w:type="dxa" w:w="3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13:00) — ver DOC-03</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IA Heres Pro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Asistente conversacional para consultar precios, crear APUs completos importables, comparar APUs de la base y armar especificaciones técnicas.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7:00)</w:t>
            </w:r>
          </w:p>
        </w:tc>
      </w:tr>
      <w:tr>
        <w:tc>
          <w:tcPr>
            <w:tcW w:type="dxa" w:w="18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Cotización</w:t>
            </w:r>
          </w:p>
        </w:tc>
        <w:tc>
          <w:tcPr>
            <w:tcW w:type="dxa" w:w="45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Cotización de Materiales: consolidado de insumos con cantidad total del proyecto, campo de proveedor, campo de precio cotizado y estado «pendiente». Exporta a Excel y PDF.</w:t>
            </w:r>
          </w:p>
        </w:tc>
        <w:tc>
          <w:tcPr>
            <w:tcW w:type="dxa" w:w="3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8:39)</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Contrato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Generación de contrato a partir del presupuesto, con el logo de la empresa. Existe el botón en la barra de acciones.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abierto en el video</w:t>
            </w:r>
          </w:p>
        </w:tc>
      </w:tr>
      <w:tr>
        <w:tc>
          <w:tcPr>
            <w:tcW w:type="dxa" w:w="18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Capítulos</w:t>
            </w:r>
          </w:p>
        </w:tc>
        <w:tc>
          <w:tcPr>
            <w:tcW w:type="dxa" w:w="45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Gestor de Capítulos y APUs: lista de capítulos con conteo de APUs, actividades e insumos, edición y creación de capítulos nuevos.</w:t>
            </w:r>
          </w:p>
        </w:tc>
        <w:tc>
          <w:tcPr>
            <w:tcW w:type="dxa" w:w="30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(min 8:45)</w:t>
            </w:r>
          </w:p>
        </w:tc>
      </w:tr>
      <w:tr>
        <w:tc>
          <w:tcPr>
            <w:tcW w:type="dxa" w:w="18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Proyectos</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Gestión de Proyectos: listado de proyectos guardados y plantillas de proyecto precargadas.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Verificado parcialmente</w:t>
            </w:r>
          </w:p>
        </w:tc>
      </w:tr>
    </w:tbl>
    <w:p>
      <w:pPr>
        <w:spacing w:after="120" w:line="276"/>
      </w:pPr>
      <w:r>
        <w:rPr>
          <w:rFonts w:ascii="Calibri" w:cs="Calibri" w:eastAsia="Calibri" w:hAnsi="Calibri"/>
          <w:color w:val="1A1A1A"/>
          <w:sz w:val="21"/>
          <w:szCs w:val="21"/>
        </w:rPr>
        <w:t xml:space="preserve"/>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Funcionalidad mencionada sin evidencia visual</w:t>
            </w:r>
          </w:p>
          <w:p>
            <w:pPr>
              <w:spacing w:after="40" w:line="260"/>
            </w:pPr>
            <w:r>
              <w:rPr>
                <w:rFonts w:ascii="Calibri" w:cs="Calibri" w:eastAsia="Calibri" w:hAnsi="Calibri"/>
                <w:sz w:val="19"/>
                <w:szCs w:val="19"/>
              </w:rPr>
              <w:t xml:space="preserve">En el minuto 6:13 el narrador afirma: «ustedes pueden hacer contratos, pueden hacer cronograma».</w:t>
            </w:r>
          </w:p>
          <w:p>
            <w:pPr>
              <w:spacing w:after="40" w:line="260"/>
            </w:pPr>
            <w:r>
              <w:rPr>
                <w:rFonts w:ascii="Calibri" w:cs="Calibri" w:eastAsia="Calibri" w:hAnsi="Calibri"/>
                <w:sz w:val="19"/>
                <w:szCs w:val="19"/>
              </w:rPr>
              <w:t xml:space="preserve">En la barra del presupuesto existen los botones «Contrato» y «Cronograma», pero ninguno se abrió durante la grabación.</w:t>
            </w:r>
          </w:p>
          <w:p>
            <w:pPr>
              <w:spacing w:after="40" w:line="260"/>
            </w:pPr>
            <w:r>
              <w:rPr>
                <w:rFonts w:ascii="Calibri" w:cs="Calibri" w:eastAsia="Calibri" w:hAnsi="Calibri"/>
                <w:sz w:val="19"/>
                <w:szCs w:val="19"/>
              </w:rPr>
              <w:t xml:space="preserve">Recomendación: no derivar requisitos de estos dos módulos hasta contar con evidencia; quedan registrados como pendientes en DOC-03.</w:t>
            </w:r>
          </w:p>
        </w:tc>
      </w:tr>
    </w:tbl>
    <w:p>
      <w:r>
        <w:br w:type="page"/>
      </w:r>
    </w:p>
    <w:p>
      <w:pPr>
        <w:pStyle w:val="Heading1"/>
        <w:spacing w:after="160" w:before="320"/>
      </w:pPr>
      <w:r>
        <w:rPr>
          <w:rFonts w:ascii="Calibri" w:cs="Calibri" w:eastAsia="Calibri" w:hAnsi="Calibri"/>
          <w:b/>
          <w:bCs/>
          <w:color w:val="1F3864"/>
          <w:sz w:val="30"/>
          <w:szCs w:val="30"/>
        </w:rPr>
        <w:t xml:space="preserve">5. Inventario de funcionalidades</w:t>
      </w:r>
    </w:p>
    <w:p>
      <w:pPr>
        <w:spacing w:after="120" w:line="276"/>
      </w:pPr>
      <w:r>
        <w:rPr>
          <w:rFonts w:ascii="Calibri" w:cs="Calibri" w:eastAsia="Calibri" w:hAnsi="Calibri"/>
          <w:color w:val="1A1A1A"/>
          <w:sz w:val="21"/>
          <w:szCs w:val="21"/>
        </w:rPr>
        <w:t xml:space="preserve">Detalle de lo que efectivamente hace el aplicativo, agrupado por área funcional. Este inventario es la base de las historias de usuario del documento DOC-02.</w:t>
      </w:r>
    </w:p>
    <w:p>
      <w:pPr>
        <w:pStyle w:val="Heading2"/>
        <w:spacing w:after="120" w:before="260"/>
      </w:pPr>
      <w:r>
        <w:rPr>
          <w:rFonts w:ascii="Calibri" w:cs="Calibri" w:eastAsia="Calibri" w:hAnsi="Calibri"/>
          <w:b/>
          <w:bCs/>
          <w:color w:val="1F3864"/>
          <w:sz w:val="25"/>
          <w:szCs w:val="25"/>
        </w:rPr>
        <w:t xml:space="preserve">5.1 Configuración del proyecto</w:t>
      </w:r>
    </w:p>
    <w:p>
      <w:pPr>
        <w:pStyle w:val="ListParagraph"/>
        <w:numPr>
          <w:ilvl w:val="0"/>
          <w:numId w:val="2"/>
        </w:numPr>
        <w:spacing w:after="60" w:line="276"/>
      </w:pPr>
      <w:r>
        <w:rPr>
          <w:rFonts w:ascii="Calibri" w:cs="Calibri" w:eastAsia="Calibri" w:hAnsi="Calibri"/>
          <w:color w:val="1A1A1A"/>
          <w:sz w:val="21"/>
          <w:szCs w:val="21"/>
        </w:rPr>
        <w:t xml:space="preserve">Encabezado de proyecto con nombre de obra, cliente, ubicación, área en m², tipo de obra (lista desplegable: Remodelación, entre otros), fecha y descuento opcional.</w:t>
      </w:r>
    </w:p>
    <w:p>
      <w:pPr>
        <w:pStyle w:val="ListParagraph"/>
        <w:numPr>
          <w:ilvl w:val="0"/>
          <w:numId w:val="2"/>
        </w:numPr>
        <w:spacing w:after="60" w:line="276"/>
      </w:pPr>
      <w:r>
        <w:rPr>
          <w:rFonts w:ascii="Calibri" w:cs="Calibri" w:eastAsia="Calibri" w:hAnsi="Calibri"/>
          <w:color w:val="1A1A1A"/>
          <w:sz w:val="21"/>
          <w:szCs w:val="21"/>
        </w:rPr>
        <w:t xml:space="preserve">Plantillas de proyecto precargadas con presupuesto base y valor de referencia: Apartamento 60 m² ($…), Casa 100 m², Remodelación apartamento 80 m² ($58.521.753,18) y Adecuación local comercial 50 m² ($575.324,40).</w:t>
      </w:r>
    </w:p>
    <w:p>
      <w:pPr>
        <w:pStyle w:val="ListParagraph"/>
        <w:numPr>
          <w:ilvl w:val="0"/>
          <w:numId w:val="2"/>
        </w:numPr>
        <w:spacing w:after="60" w:line="276"/>
      </w:pPr>
      <w:r>
        <w:rPr>
          <w:rFonts w:ascii="Calibri" w:cs="Calibri" w:eastAsia="Calibri" w:hAnsi="Calibri"/>
          <w:color w:val="1A1A1A"/>
          <w:sz w:val="21"/>
          <w:szCs w:val="21"/>
        </w:rPr>
        <w:t xml:space="preserve">Selector de proyecto activo y persistencia del proyecto entre módulos: el encabezado del proyecto acompaña todas las vistas.</w:t>
      </w:r>
    </w:p>
    <w:p>
      <w:pPr>
        <w:pStyle w:val="Heading2"/>
        <w:spacing w:after="120" w:before="260"/>
      </w:pPr>
      <w:r>
        <w:rPr>
          <w:rFonts w:ascii="Calibri" w:cs="Calibri" w:eastAsia="Calibri" w:hAnsi="Calibri"/>
          <w:b/>
          <w:bCs/>
          <w:color w:val="1F3864"/>
          <w:sz w:val="25"/>
          <w:szCs w:val="25"/>
        </w:rPr>
        <w:t xml:space="preserve">5.2 Construcción del presupuesto</w:t>
      </w:r>
    </w:p>
    <w:p>
      <w:pPr>
        <w:pStyle w:val="ListParagraph"/>
        <w:numPr>
          <w:ilvl w:val="0"/>
          <w:numId w:val="2"/>
        </w:numPr>
        <w:spacing w:after="60" w:line="276"/>
      </w:pPr>
      <w:r>
        <w:rPr>
          <w:rFonts w:ascii="Calibri" w:cs="Calibri" w:eastAsia="Calibri" w:hAnsi="Calibri"/>
          <w:color w:val="1A1A1A"/>
          <w:sz w:val="21"/>
          <w:szCs w:val="21"/>
        </w:rPr>
        <w:t xml:space="preserve">Modal «Agregar Actividad al Presupuesto» con filtro por capítulo, filtro por fuente, buscador por texto y contador de resultados («Mostrando 30 de 30 actividades»).</w:t>
      </w:r>
    </w:p>
    <w:p>
      <w:pPr>
        <w:pStyle w:val="ListParagraph"/>
        <w:numPr>
          <w:ilvl w:val="0"/>
          <w:numId w:val="2"/>
        </w:numPr>
        <w:spacing w:after="60" w:line="276"/>
      </w:pPr>
      <w:r>
        <w:rPr>
          <w:rFonts w:ascii="Calibri" w:cs="Calibri" w:eastAsia="Calibri" w:hAnsi="Calibri"/>
          <w:color w:val="1A1A1A"/>
          <w:sz w:val="21"/>
          <w:szCs w:val="21"/>
        </w:rPr>
        <w:t xml:space="preserve">Cada resultado muestra su capítulo, unidad y precio unitario antes de seleccionarlo.</w:t>
      </w:r>
    </w:p>
    <w:p>
      <w:pPr>
        <w:pStyle w:val="ListParagraph"/>
        <w:numPr>
          <w:ilvl w:val="0"/>
          <w:numId w:val="2"/>
        </w:numPr>
        <w:spacing w:after="60" w:line="276"/>
      </w:pPr>
      <w:r>
        <w:rPr>
          <w:rFonts w:ascii="Calibri" w:cs="Calibri" w:eastAsia="Calibri" w:hAnsi="Calibri"/>
          <w:color w:val="1A1A1A"/>
          <w:sz w:val="21"/>
          <w:szCs w:val="21"/>
        </w:rPr>
        <w:t xml:space="preserve">Al seleccionar una actividad se despliega el APU completo —materiales, mano de obra y equipo con cantidad, costo unitario y subtotal— y se pide la cantidad de obra; el total se recalcula en vivo.</w:t>
      </w:r>
    </w:p>
    <w:p>
      <w:pPr>
        <w:pStyle w:val="ListParagraph"/>
        <w:numPr>
          <w:ilvl w:val="0"/>
          <w:numId w:val="2"/>
        </w:numPr>
        <w:spacing w:after="60" w:line="276"/>
      </w:pPr>
      <w:r>
        <w:rPr>
          <w:rFonts w:ascii="Calibri" w:cs="Calibri" w:eastAsia="Calibri" w:hAnsi="Calibri"/>
          <w:color w:val="1A1A1A"/>
          <w:sz w:val="21"/>
          <w:szCs w:val="21"/>
        </w:rPr>
        <w:t xml:space="preserve">Confirmación con «Agregar al Presupuesto» y notificación de «Actividad agregada».</w:t>
      </w:r>
    </w:p>
    <w:p>
      <w:pPr>
        <w:pStyle w:val="ListParagraph"/>
        <w:numPr>
          <w:ilvl w:val="0"/>
          <w:numId w:val="2"/>
        </w:numPr>
        <w:spacing w:after="60" w:line="276"/>
      </w:pPr>
      <w:r>
        <w:rPr>
          <w:rFonts w:ascii="Calibri" w:cs="Calibri" w:eastAsia="Calibri" w:hAnsi="Calibri"/>
          <w:color w:val="1A1A1A"/>
          <w:sz w:val="21"/>
          <w:szCs w:val="21"/>
        </w:rPr>
        <w:t xml:space="preserve">Tabla del presupuesto agrupada por capítulos, con subtotal por capítulo, ítems numerados, unidad de medida, valor unitario, cantidad editable directamente en la celda y valor parcial.</w:t>
      </w:r>
    </w:p>
    <w:p>
      <w:pPr>
        <w:pStyle w:val="ListParagraph"/>
        <w:numPr>
          <w:ilvl w:val="0"/>
          <w:numId w:val="2"/>
        </w:numPr>
        <w:spacing w:after="60" w:line="276"/>
      </w:pPr>
      <w:r>
        <w:rPr>
          <w:rFonts w:ascii="Calibri" w:cs="Calibri" w:eastAsia="Calibri" w:hAnsi="Calibri"/>
          <w:color w:val="1A1A1A"/>
          <w:sz w:val="21"/>
          <w:szCs w:val="21"/>
        </w:rPr>
        <w:t xml:space="preserve">Acciones por fila: ver/editar APU, ver memorias de cálculo (MEM) y eliminar actividad, con notificación de «Actividad eliminada».</w:t>
      </w:r>
    </w:p>
    <w:p>
      <w:pPr>
        <w:pStyle w:val="ListParagraph"/>
        <w:numPr>
          <w:ilvl w:val="0"/>
          <w:numId w:val="2"/>
        </w:numPr>
        <w:spacing w:after="60" w:line="276"/>
      </w:pPr>
      <w:r>
        <w:rPr>
          <w:rFonts w:ascii="Calibri" w:cs="Calibri" w:eastAsia="Calibri" w:hAnsi="Calibri"/>
          <w:color w:val="1A1A1A"/>
          <w:sz w:val="21"/>
          <w:szCs w:val="21"/>
        </w:rPr>
        <w:t xml:space="preserve">Colapsar y expandir capítulos para revisar subcapítulos.</w:t>
      </w:r>
    </w:p>
    <w:p>
      <w:pPr>
        <w:pStyle w:val="ListParagraph"/>
        <w:numPr>
          <w:ilvl w:val="0"/>
          <w:numId w:val="2"/>
        </w:numPr>
        <w:spacing w:after="60" w:line="276"/>
      </w:pPr>
      <w:r>
        <w:rPr>
          <w:rFonts w:ascii="Calibri" w:cs="Calibri" w:eastAsia="Calibri" w:hAnsi="Calibri"/>
          <w:color w:val="1A1A1A"/>
          <w:sz w:val="21"/>
          <w:szCs w:val="21"/>
        </w:rPr>
        <w:t xml:space="preserve">Barra de acciones del presupuesto: Actividad, Nuevo APU, IA, Cotizar, Contrato, Cronograma, Exportar Excel, Insumos Excel, APUs Excel, PDF Cliente, Costos APU, Limpiar y PDF Interno.</w:t>
      </w:r>
    </w:p>
    <w:p>
      <w:pPr>
        <w:pStyle w:val="Heading2"/>
        <w:spacing w:after="120" w:before="260"/>
      </w:pPr>
      <w:r>
        <w:rPr>
          <w:rFonts w:ascii="Calibri" w:cs="Calibri" w:eastAsia="Calibri" w:hAnsi="Calibri"/>
          <w:b/>
          <w:bCs/>
          <w:color w:val="1F3864"/>
          <w:sz w:val="25"/>
          <w:szCs w:val="25"/>
        </w:rPr>
        <w:t xml:space="preserve">5.3 Gestión de APUs</w:t>
      </w:r>
    </w:p>
    <w:p>
      <w:pPr>
        <w:pStyle w:val="ListParagraph"/>
        <w:numPr>
          <w:ilvl w:val="0"/>
          <w:numId w:val="2"/>
        </w:numPr>
        <w:spacing w:after="60" w:line="276"/>
      </w:pPr>
      <w:r>
        <w:rPr>
          <w:rFonts w:ascii="Calibri" w:cs="Calibri" w:eastAsia="Calibri" w:hAnsi="Calibri"/>
          <w:color w:val="1A1A1A"/>
          <w:sz w:val="21"/>
          <w:szCs w:val="21"/>
        </w:rPr>
        <w:t xml:space="preserve">Base de Datos APU con buscador, filtro por capítulo y contador de resultados (30 APUs en el proyecto demo).</w:t>
      </w:r>
    </w:p>
    <w:p>
      <w:pPr>
        <w:pStyle w:val="ListParagraph"/>
        <w:numPr>
          <w:ilvl w:val="0"/>
          <w:numId w:val="2"/>
        </w:numPr>
        <w:spacing w:after="60" w:line="276"/>
      </w:pPr>
      <w:r>
        <w:rPr>
          <w:rFonts w:ascii="Calibri" w:cs="Calibri" w:eastAsia="Calibri" w:hAnsi="Calibri"/>
          <w:color w:val="1A1A1A"/>
          <w:sz w:val="21"/>
          <w:szCs w:val="21"/>
        </w:rPr>
        <w:t xml:space="preserve">Acciones por APU: Editar, Analizar, Duplicar (Dup) y expandir para ver componentes.</w:t>
      </w:r>
    </w:p>
    <w:p>
      <w:pPr>
        <w:pStyle w:val="ListParagraph"/>
        <w:numPr>
          <w:ilvl w:val="0"/>
          <w:numId w:val="2"/>
        </w:numPr>
        <w:spacing w:after="60" w:line="276"/>
      </w:pPr>
      <w:r>
        <w:rPr>
          <w:rFonts w:ascii="Calibri" w:cs="Calibri" w:eastAsia="Calibri" w:hAnsi="Calibri"/>
          <w:color w:val="1A1A1A"/>
          <w:sz w:val="21"/>
          <w:szCs w:val="21"/>
        </w:rPr>
        <w:t xml:space="preserve">Edición del APU desde dentro del presupuesto: agregar o quitar materiales, mano de obra y equipo, cambiar cantidades y renombrar la actividad.</w:t>
      </w:r>
    </w:p>
    <w:p>
      <w:pPr>
        <w:pStyle w:val="ListParagraph"/>
        <w:numPr>
          <w:ilvl w:val="0"/>
          <w:numId w:val="2"/>
        </w:numPr>
        <w:spacing w:after="60" w:line="276"/>
      </w:pPr>
      <w:r>
        <w:rPr>
          <w:rFonts w:ascii="Calibri" w:cs="Calibri" w:eastAsia="Calibri" w:hAnsi="Calibri"/>
          <w:color w:val="1A1A1A"/>
          <w:sz w:val="21"/>
          <w:szCs w:val="21"/>
        </w:rPr>
        <w:t xml:space="preserve">Al guardar, el recálculo se propaga inmediatamente al presupuesto (demostrado en min 3:30 agregando un andamio tubular a un APU de cielo raso).</w:t>
      </w:r>
    </w:p>
    <w:p>
      <w:pPr>
        <w:pStyle w:val="ListParagraph"/>
        <w:numPr>
          <w:ilvl w:val="0"/>
          <w:numId w:val="2"/>
        </w:numPr>
        <w:spacing w:after="60" w:line="276"/>
      </w:pPr>
      <w:r>
        <w:rPr>
          <w:rFonts w:ascii="Calibri" w:cs="Calibri" w:eastAsia="Calibri" w:hAnsi="Calibri"/>
          <w:color w:val="1A1A1A"/>
          <w:sz w:val="21"/>
          <w:szCs w:val="21"/>
        </w:rPr>
        <w:t xml:space="preserve">Creación de APU nuevo e importación/exportación de APUs en Excel.</w:t>
      </w:r>
    </w:p>
    <w:p>
      <w:pPr>
        <w:pStyle w:val="ListParagraph"/>
        <w:numPr>
          <w:ilvl w:val="0"/>
          <w:numId w:val="2"/>
        </w:numPr>
        <w:spacing w:after="60" w:line="276"/>
      </w:pPr>
      <w:r>
        <w:rPr>
          <w:rFonts w:ascii="Calibri" w:cs="Calibri" w:eastAsia="Calibri" w:hAnsi="Calibri"/>
          <w:color w:val="1A1A1A"/>
          <w:sz w:val="21"/>
          <w:szCs w:val="21"/>
        </w:rPr>
        <w:t xml:space="preserve">Gestor de Capítulos y APUs: 15 capítulos con conteo de APUs, actividades e insumos asociados, edición de capítulo y creación de capítulos nuevos.</w:t>
      </w:r>
    </w:p>
    <w:p>
      <w:pPr>
        <w:pStyle w:val="Heading2"/>
        <w:spacing w:after="120" w:before="260"/>
      </w:pPr>
      <w:r>
        <w:rPr>
          <w:rFonts w:ascii="Calibri" w:cs="Calibri" w:eastAsia="Calibri" w:hAnsi="Calibri"/>
          <w:b/>
          <w:bCs/>
          <w:color w:val="1F3864"/>
          <w:sz w:val="25"/>
          <w:szCs w:val="25"/>
        </w:rPr>
        <w:t xml:space="preserve">5.4 Gestión de insumos</w:t>
      </w:r>
    </w:p>
    <w:p>
      <w:pPr>
        <w:pStyle w:val="ListParagraph"/>
        <w:numPr>
          <w:ilvl w:val="0"/>
          <w:numId w:val="2"/>
        </w:numPr>
        <w:spacing w:after="60" w:line="276"/>
      </w:pPr>
      <w:r>
        <w:rPr>
          <w:rFonts w:ascii="Calibri" w:cs="Calibri" w:eastAsia="Calibri" w:hAnsi="Calibri"/>
          <w:color w:val="1A1A1A"/>
          <w:sz w:val="21"/>
          <w:szCs w:val="21"/>
        </w:rPr>
        <w:t xml:space="preserve">Lista de insumos con descripción editable, unidad, grupo (Material / Mano de obra / Equipo), contador de «uso en APUs» y valor unitario editable en línea.</w:t>
      </w:r>
    </w:p>
    <w:p>
      <w:pPr>
        <w:pStyle w:val="ListParagraph"/>
        <w:numPr>
          <w:ilvl w:val="0"/>
          <w:numId w:val="2"/>
        </w:numPr>
        <w:spacing w:after="60" w:line="276"/>
      </w:pPr>
      <w:r>
        <w:rPr>
          <w:rFonts w:ascii="Calibri" w:cs="Calibri" w:eastAsia="Calibri" w:hAnsi="Calibri"/>
          <w:color w:val="1A1A1A"/>
          <w:sz w:val="21"/>
          <w:szCs w:val="21"/>
        </w:rPr>
        <w:t xml:space="preserve">Alta de insumo nuevo, importación desde Excel y guardado explícito de cambios.</w:t>
      </w:r>
    </w:p>
    <w:p>
      <w:pPr>
        <w:pStyle w:val="ListParagraph"/>
        <w:numPr>
          <w:ilvl w:val="0"/>
          <w:numId w:val="2"/>
        </w:numPr>
        <w:spacing w:after="60" w:line="276"/>
      </w:pPr>
      <w:r>
        <w:rPr>
          <w:rFonts w:ascii="Calibri" w:cs="Calibri" w:eastAsia="Calibri" w:hAnsi="Calibri"/>
          <w:color w:val="1A1A1A"/>
          <w:sz w:val="21"/>
          <w:szCs w:val="21"/>
        </w:rPr>
        <w:t xml:space="preserve">El aplicativo permite además adjuntar una imagen a cada insumo para que aparezca en la propuesta (min 5:19). Esta función se registra como observada pero queda fuera del alcance del producto propio.</w:t>
      </w:r>
    </w:p>
    <w:p>
      <w:pPr>
        <w:pStyle w:val="ListParagraph"/>
        <w:numPr>
          <w:ilvl w:val="0"/>
          <w:numId w:val="2"/>
        </w:numPr>
        <w:spacing w:after="60" w:line="276"/>
      </w:pPr>
      <w:r>
        <w:rPr>
          <w:rFonts w:ascii="Calibri" w:cs="Calibri" w:eastAsia="Calibri" w:hAnsi="Calibri"/>
          <w:color w:val="1A1A1A"/>
          <w:sz w:val="21"/>
          <w:szCs w:val="21"/>
        </w:rPr>
        <w:t xml:space="preserve">Buscador y filtro por grupo.</w:t>
      </w:r>
    </w:p>
    <w:p>
      <w:pPr>
        <w:pStyle w:val="Heading2"/>
        <w:spacing w:after="120" w:before="260"/>
      </w:pPr>
      <w:r>
        <w:rPr>
          <w:rFonts w:ascii="Calibri" w:cs="Calibri" w:eastAsia="Calibri" w:hAnsi="Calibri"/>
          <w:b/>
          <w:bCs/>
          <w:color w:val="1F3864"/>
          <w:sz w:val="25"/>
          <w:szCs w:val="25"/>
        </w:rPr>
        <w:t xml:space="preserve">5.5 Cierre financiero</w:t>
      </w:r>
    </w:p>
    <w:p>
      <w:pPr>
        <w:pStyle w:val="ListParagraph"/>
        <w:numPr>
          <w:ilvl w:val="0"/>
          <w:numId w:val="2"/>
        </w:numPr>
        <w:spacing w:after="60" w:line="276"/>
      </w:pPr>
      <w:r>
        <w:rPr>
          <w:rFonts w:ascii="Calibri" w:cs="Calibri" w:eastAsia="Calibri" w:hAnsi="Calibri"/>
          <w:color w:val="1A1A1A"/>
          <w:sz w:val="21"/>
          <w:szCs w:val="21"/>
        </w:rPr>
        <w:t xml:space="preserve">Panel de resumen financiero permanente en la barra lateral: Costos Directos, % Administración, % Imprevistos, % Utilidad, AIU Total, casilla de IVA con porcentaje y Total.</w:t>
      </w:r>
    </w:p>
    <w:p>
      <w:pPr>
        <w:pStyle w:val="ListParagraph"/>
        <w:numPr>
          <w:ilvl w:val="0"/>
          <w:numId w:val="2"/>
        </w:numPr>
        <w:spacing w:after="60" w:line="276"/>
      </w:pPr>
      <w:r>
        <w:rPr>
          <w:rFonts w:ascii="Calibri" w:cs="Calibri" w:eastAsia="Calibri" w:hAnsi="Calibri"/>
          <w:color w:val="1A1A1A"/>
          <w:sz w:val="21"/>
          <w:szCs w:val="21"/>
        </w:rPr>
        <w:t xml:space="preserve">Modificación de los porcentajes con recálculo inmediato del total (demostrado en min 4:18 cambiando administración a 15 %, imprevistos a 8 % y utilidad a 5 %).</w:t>
      </w:r>
    </w:p>
    <w:p>
      <w:pPr>
        <w:pStyle w:val="ListParagraph"/>
        <w:numPr>
          <w:ilvl w:val="0"/>
          <w:numId w:val="2"/>
        </w:numPr>
        <w:spacing w:after="60" w:line="276"/>
      </w:pPr>
      <w:r>
        <w:rPr>
          <w:rFonts w:ascii="Calibri" w:cs="Calibri" w:eastAsia="Calibri" w:hAnsi="Calibri"/>
          <w:color w:val="1A1A1A"/>
          <w:sz w:val="21"/>
          <w:szCs w:val="21"/>
        </w:rPr>
        <w:t xml:space="preserve">Descuento opcional a nivel de proyecto.</w:t>
      </w:r>
    </w:p>
    <w:p>
      <w:pPr>
        <w:pStyle w:val="Heading2"/>
        <w:spacing w:after="120" w:before="260"/>
      </w:pPr>
      <w:r>
        <w:rPr>
          <w:rFonts w:ascii="Calibri" w:cs="Calibri" w:eastAsia="Calibri" w:hAnsi="Calibri"/>
          <w:b/>
          <w:bCs/>
          <w:color w:val="1F3864"/>
          <w:sz w:val="25"/>
          <w:szCs w:val="25"/>
        </w:rPr>
        <w:t xml:space="preserve">5.6 Analítica y control</w:t>
      </w:r>
    </w:p>
    <w:p>
      <w:pPr>
        <w:pStyle w:val="ListParagraph"/>
        <w:numPr>
          <w:ilvl w:val="0"/>
          <w:numId w:val="2"/>
        </w:numPr>
        <w:spacing w:after="60" w:line="276"/>
      </w:pPr>
      <w:r>
        <w:rPr>
          <w:rFonts w:ascii="Calibri" w:cs="Calibri" w:eastAsia="Calibri" w:hAnsi="Calibri"/>
          <w:color w:val="1A1A1A"/>
          <w:sz w:val="21"/>
          <w:szCs w:val="21"/>
        </w:rPr>
        <w:t xml:space="preserve">Panel Principal con tarjetas de actividades, costo directo, AIU aplicado y total, más desglose por tipo de recurso y participación por capítulo ordenada de mayor a menor.</w:t>
      </w:r>
    </w:p>
    <w:p>
      <w:pPr>
        <w:pStyle w:val="ListParagraph"/>
        <w:numPr>
          <w:ilvl w:val="0"/>
          <w:numId w:val="2"/>
        </w:numPr>
        <w:spacing w:after="60" w:line="276"/>
      </w:pPr>
      <w:r>
        <w:rPr>
          <w:rFonts w:ascii="Calibri" w:cs="Calibri" w:eastAsia="Calibri" w:hAnsi="Calibri"/>
          <w:color w:val="1A1A1A"/>
          <w:sz w:val="21"/>
          <w:szCs w:val="21"/>
        </w:rPr>
        <w:t xml:space="preserve">Módulo de Inteligencia de Costos APU: balance general de costos directos, costo por m² por tipo de recurso, participación porcentual, auditoría técnica de APUs, control materiales vs. mano de obra, análisis de subcontratos, rentabilidad por capítulos y alertas de desviación.</w:t>
      </w:r>
    </w:p>
    <w:p>
      <w:pPr>
        <w:pStyle w:val="ListParagraph"/>
        <w:numPr>
          <w:ilvl w:val="0"/>
          <w:numId w:val="2"/>
        </w:numPr>
        <w:spacing w:after="60" w:line="276"/>
      </w:pPr>
      <w:r>
        <w:rPr>
          <w:rFonts w:ascii="Calibri" w:cs="Calibri" w:eastAsia="Calibri" w:hAnsi="Calibri"/>
          <w:color w:val="1A1A1A"/>
          <w:sz w:val="21"/>
          <w:szCs w:val="21"/>
        </w:rPr>
        <w:t xml:space="preserve">Consolidado general de materiales, de mano de obra y de equipos: cada insumo con su cantidad total agregada en todo el proyecto y su costo total (min 4:58).</w:t>
      </w:r>
    </w:p>
    <w:p>
      <w:pPr>
        <w:pStyle w:val="ListParagraph"/>
        <w:numPr>
          <w:ilvl w:val="0"/>
          <w:numId w:val="2"/>
        </w:numPr>
        <w:spacing w:after="60" w:line="276"/>
      </w:pPr>
      <w:r>
        <w:rPr>
          <w:rFonts w:ascii="Calibri" w:cs="Calibri" w:eastAsia="Calibri" w:hAnsi="Calibri"/>
          <w:color w:val="1A1A1A"/>
          <w:sz w:val="21"/>
          <w:szCs w:val="21"/>
        </w:rPr>
        <w:t xml:space="preserve">Botón de actualización manual de los indicadores («ustedes le tienen que dar aquí a actualizar», min 4:36).</w:t>
      </w:r>
    </w:p>
    <w:p>
      <w:pPr>
        <w:pStyle w:val="Heading2"/>
        <w:spacing w:after="120" w:before="260"/>
      </w:pPr>
      <w:r>
        <w:rPr>
          <w:rFonts w:ascii="Calibri" w:cs="Calibri" w:eastAsia="Calibri" w:hAnsi="Calibri"/>
          <w:b/>
          <w:bCs/>
          <w:color w:val="1F3864"/>
          <w:sz w:val="25"/>
          <w:szCs w:val="25"/>
        </w:rPr>
        <w:t xml:space="preserve">5.7 Entregables y exportación</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600"/>
        <w:gridCol w:w="6760"/>
      </w:tblGrid>
      <w:tr>
        <w:trPr>
          <w:tblHeader/>
        </w:trPr>
        <w:tc>
          <w:tcPr>
            <w:tcW w:type="dxa" w:w="2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Entregable</w:t>
            </w:r>
          </w:p>
        </w:tc>
        <w:tc>
          <w:tcPr>
            <w:tcW w:type="dxa" w:w="6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Contenido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PDF Cliente / PDF Propuesta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comercial con la marca de la empresa, el encabezado del proyecto y el cuadro de presupuesto agrupado por capítulos, con los metrajes de cada actividad.</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PDF Interno</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 de uso interno del presupuesto.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PDF Costos APU</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Exportación del módulo de inteligencia de costos.</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PDF Cotización</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cotización de materiales para proveedores.</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Exportar Excel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Presupuesto completo en hoja de cálculo.</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Insumos Excel</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Catálogo de insumos con cantidades del proyecto.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APUs Excel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 APUs exportada.</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Imprimir</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Impresión directa del resumen completo.</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5.8 Cotización a proveedores</w:t>
      </w:r>
    </w:p>
    <w:p>
      <w:pPr>
        <w:pStyle w:val="ListParagraph"/>
        <w:numPr>
          <w:ilvl w:val="0"/>
          <w:numId w:val="2"/>
        </w:numPr>
        <w:spacing w:after="60" w:line="276"/>
      </w:pPr>
      <w:r>
        <w:rPr>
          <w:rFonts w:ascii="Calibri" w:cs="Calibri" w:eastAsia="Calibri" w:hAnsi="Calibri"/>
          <w:color w:val="1A1A1A"/>
          <w:sz w:val="21"/>
          <w:szCs w:val="21"/>
        </w:rPr>
        <w:t xml:space="preserve">Consolidado automático de todos los insumos del proyecto con su cantidad total, unidad y precio de referencia.</w:t>
      </w:r>
    </w:p>
    <w:p>
      <w:pPr>
        <w:pStyle w:val="ListParagraph"/>
        <w:numPr>
          <w:ilvl w:val="0"/>
          <w:numId w:val="2"/>
        </w:numPr>
        <w:spacing w:after="60" w:line="276"/>
      </w:pPr>
      <w:r>
        <w:rPr>
          <w:rFonts w:ascii="Calibri" w:cs="Calibri" w:eastAsia="Calibri" w:hAnsi="Calibri"/>
          <w:color w:val="1A1A1A"/>
          <w:sz w:val="21"/>
          <w:szCs w:val="21"/>
        </w:rPr>
        <w:t xml:space="preserve">Campos editables por fila: nombre del proveedor y precio cotizado.</w:t>
      </w:r>
    </w:p>
    <w:p>
      <w:pPr>
        <w:pStyle w:val="ListParagraph"/>
        <w:numPr>
          <w:ilvl w:val="0"/>
          <w:numId w:val="2"/>
        </w:numPr>
        <w:spacing w:after="60" w:line="276"/>
      </w:pPr>
      <w:r>
        <w:rPr>
          <w:rFonts w:ascii="Calibri" w:cs="Calibri" w:eastAsia="Calibri" w:hAnsi="Calibri"/>
          <w:color w:val="1A1A1A"/>
          <w:sz w:val="21"/>
          <w:szCs w:val="21"/>
        </w:rPr>
        <w:t xml:space="preserve">Estado por insumo: «pendiente» mientras no se registre cotización.</w:t>
      </w:r>
    </w:p>
    <w:p>
      <w:pPr>
        <w:pStyle w:val="ListParagraph"/>
        <w:numPr>
          <w:ilvl w:val="0"/>
          <w:numId w:val="2"/>
        </w:numPr>
        <w:spacing w:after="60" w:line="276"/>
      </w:pPr>
      <w:r>
        <w:rPr>
          <w:rFonts w:ascii="Calibri" w:cs="Calibri" w:eastAsia="Calibri" w:hAnsi="Calibri"/>
          <w:color w:val="1A1A1A"/>
          <w:sz w:val="21"/>
          <w:szCs w:val="21"/>
        </w:rPr>
        <w:t xml:space="preserve">Exportación a Excel y a PDF de cotización.</w:t>
      </w:r>
    </w:p>
    <w:p>
      <w:pPr>
        <w:pStyle w:val="Heading2"/>
        <w:spacing w:after="120" w:before="260"/>
      </w:pPr>
      <w:r>
        <w:rPr>
          <w:rFonts w:ascii="Calibri" w:cs="Calibri" w:eastAsia="Calibri" w:hAnsi="Calibri"/>
          <w:b/>
          <w:bCs/>
          <w:color w:val="1F3864"/>
          <w:sz w:val="25"/>
          <w:szCs w:val="25"/>
        </w:rPr>
        <w:t xml:space="preserve">5.9 Asistente de inteligencia artificial</w:t>
      </w:r>
    </w:p>
    <w:p>
      <w:pPr>
        <w:spacing w:after="120" w:line="276"/>
      </w:pPr>
      <w:r>
        <w:rPr>
          <w:rFonts w:ascii="Calibri" w:cs="Calibri" w:eastAsia="Calibri" w:hAnsi="Calibri"/>
          <w:color w:val="1A1A1A"/>
          <w:sz w:val="21"/>
          <w:szCs w:val="21"/>
        </w:rPr>
        <w:t xml:space="preserve">Es la funcionalidad más diferenciadora del aplicativo y merece descripción detallada. Se presenta como «Asistente IA Heres CostPro — modo local gratis · IA Pro opcional · APUs y presupuestos».</w:t>
      </w:r>
    </w:p>
    <w:p>
      <w:pPr>
        <w:pStyle w:val="ListParagraph"/>
        <w:numPr>
          <w:ilvl w:val="0"/>
          <w:numId w:val="2"/>
        </w:numPr>
        <w:spacing w:after="60" w:line="276"/>
      </w:pPr>
      <w:r>
        <w:rPr>
          <w:rFonts w:ascii="Calibri" w:cs="Calibri" w:eastAsia="Calibri" w:hAnsi="Calibri"/>
          <w:color w:val="1A1A1A"/>
          <w:sz w:val="21"/>
          <w:szCs w:val="21"/>
        </w:rPr>
        <w:t xml:space="preserve">Preguntas rápidas sugeridas en forma de chips: «APU: concreto 21 MPa fundido en sitio», «APU: mampostería en ladrillo tolete», «APU: piso en porcelanato 60x60», «APU: punto eléctrico…».</w:t>
      </w:r>
    </w:p>
    <w:p>
      <w:pPr>
        <w:pStyle w:val="ListParagraph"/>
        <w:numPr>
          <w:ilvl w:val="0"/>
          <w:numId w:val="2"/>
        </w:numPr>
        <w:spacing w:after="60" w:line="276"/>
      </w:pPr>
      <w:r>
        <w:rPr>
          <w:rFonts w:ascii="Calibri" w:cs="Calibri" w:eastAsia="Calibri" w:hAnsi="Calibri"/>
          <w:color w:val="1A1A1A"/>
          <w:sz w:val="21"/>
          <w:szCs w:val="21"/>
        </w:rPr>
        <w:t xml:space="preserve">Cuatro capacidades declaradas: crear APUs completos listos para importar, consultar precios de materiales, mano de obra y equipos, comparar APUs e insumos de la base activa, y armar especificaciones técnicas para presupuesto.</w:t>
      </w:r>
    </w:p>
    <w:p>
      <w:pPr>
        <w:pStyle w:val="ListParagraph"/>
        <w:numPr>
          <w:ilvl w:val="0"/>
          <w:numId w:val="2"/>
        </w:numPr>
        <w:spacing w:after="60" w:line="276"/>
      </w:pPr>
      <w:r>
        <w:rPr>
          <w:rFonts w:ascii="Calibri" w:cs="Calibri" w:eastAsia="Calibri" w:hAnsi="Calibri"/>
          <w:color w:val="1A1A1A"/>
          <w:sz w:val="21"/>
          <w:szCs w:val="21"/>
        </w:rPr>
        <w:t xml:space="preserve">Modo local gratuito: responde consultando la base interna de la aplicación. En la respuesta observada devolvió APUs relacionados y actividades del presupuesto con su precio y capítulo, y cerró con la advertencia «Estos valores salen de la base local actual de la app».</w:t>
      </w:r>
    </w:p>
    <w:p>
      <w:pPr>
        <w:pStyle w:val="ListParagraph"/>
        <w:numPr>
          <w:ilvl w:val="0"/>
          <w:numId w:val="2"/>
        </w:numPr>
        <w:spacing w:after="60" w:line="276"/>
      </w:pPr>
      <w:r>
        <w:rPr>
          <w:rFonts w:ascii="Calibri" w:cs="Calibri" w:eastAsia="Calibri" w:hAnsi="Calibri"/>
          <w:color w:val="1A1A1A"/>
          <w:sz w:val="21"/>
          <w:szCs w:val="21"/>
        </w:rPr>
        <w:t xml:space="preserve">Modo IA Pro: se activa pegando una clave de API propia del usuario en un campo del propio chat (el marcador de posición muestra el formato «sk-ant-…», correspondiente a Anthropic).</w:t>
      </w:r>
    </w:p>
    <w:p>
      <w:pPr>
        <w:pStyle w:val="ListParagraph"/>
        <w:numPr>
          <w:ilvl w:val="0"/>
          <w:numId w:val="2"/>
        </w:numPr>
        <w:spacing w:after="60" w:line="276"/>
      </w:pPr>
      <w:r>
        <w:rPr>
          <w:rFonts w:ascii="Calibri" w:cs="Calibri" w:eastAsia="Calibri" w:hAnsi="Calibri"/>
          <w:color w:val="1A1A1A"/>
          <w:sz w:val="21"/>
          <w:szCs w:val="21"/>
        </w:rPr>
        <w:t xml:space="preserve">Los APUs generados por el asistente pueden importarse a la base de la aplicación.</w:t>
      </w:r>
    </w:p>
    <w:tbl>
      <w:tblPr>
        <w:tblW w:type="dxa" w:w="9360"/>
        <w:tblBorders>
          <w:top w:val="single" w:color="8A6D1F" w:sz="4"/>
          <w:left w:val="single" w:color="8A6D1F" w:sz="18"/>
          <w:bottom w:val="single" w:color="8A6D1F" w:sz="4"/>
          <w:right w:val="single" w:color="8A6D1F" w:sz="4"/>
          <w:insideH w:val="none" w:color="FFFFFF" w:sz="0"/>
          <w:insideV w:val="none" w:color="FFFFFF" w:sz="0"/>
        </w:tblBorders>
      </w:tblPr>
      <w:tblGrid>
        <w:gridCol w:w="9360"/>
      </w:tblGrid>
      <w:tr>
        <w:tc>
          <w:tcPr>
            <w:tcW w:type="dxa" w:w="9360"/>
            <w:shd w:fill="FFF8E1" w:val="clear"/>
            <w:tcMar>
              <w:top w:type="dxa" w:w="140"/>
              <w:left w:type="dxa" w:w="180"/>
              <w:bottom w:type="dxa" w:w="140"/>
              <w:right w:type="dxa" w:w="160"/>
            </w:tcMar>
          </w:tcPr>
          <w:p>
            <w:pPr>
              <w:spacing w:after="60"/>
            </w:pPr>
            <w:r>
              <w:rPr>
                <w:rFonts w:ascii="Calibri" w:cs="Calibri" w:eastAsia="Calibri" w:hAnsi="Calibri"/>
                <w:b/>
                <w:bCs/>
                <w:color w:val="8A6D1F"/>
                <w:sz w:val="20"/>
                <w:szCs w:val="20"/>
              </w:rPr>
              <w:t xml:space="preserve">Lectura para el producto propio</w:t>
            </w:r>
          </w:p>
          <w:p>
            <w:pPr>
              <w:spacing w:after="40" w:line="260"/>
            </w:pPr>
            <w:r>
              <w:rPr>
                <w:rFonts w:ascii="Calibri" w:cs="Calibri" w:eastAsia="Calibri" w:hAnsi="Calibri"/>
                <w:sz w:val="19"/>
                <w:szCs w:val="19"/>
              </w:rPr>
              <w:t xml:space="preserve">La combinación «modo local determinista + modo IA opcional» es inteligente: garantiza una respuesta útil sin costo y sin alucinación cuando no hay clave, y ofrece capacidad generativa cuando sí la hay.</w:t>
            </w:r>
          </w:p>
          <w:p>
            <w:pPr>
              <w:spacing w:after="40" w:line="260"/>
            </w:pPr>
            <w:r>
              <w:rPr>
                <w:rFonts w:ascii="Calibri" w:cs="Calibri" w:eastAsia="Calibri" w:hAnsi="Calibri"/>
                <w:sz w:val="19"/>
                <w:szCs w:val="19"/>
              </w:rPr>
              <w:t xml:space="preserve">El mecanismo de entrega de la clave, en cambio, es problemático y se analiza en DOC-03 (hallazgo H-04).</w:t>
            </w:r>
          </w:p>
        </w:tc>
      </w:tr>
    </w:tbl>
    <w:p>
      <w:r>
        <w:br w:type="page"/>
      </w:r>
    </w:p>
    <w:p>
      <w:pPr>
        <w:pStyle w:val="Heading1"/>
        <w:spacing w:after="160" w:before="320"/>
      </w:pPr>
      <w:r>
        <w:rPr>
          <w:rFonts w:ascii="Calibri" w:cs="Calibri" w:eastAsia="Calibri" w:hAnsi="Calibri"/>
          <w:b/>
          <w:bCs/>
          <w:color w:val="1F3864"/>
          <w:sz w:val="30"/>
          <w:szCs w:val="30"/>
        </w:rPr>
        <w:t xml:space="preserve">6. Herramientas y stack técnico detectado</w:t>
      </w:r>
    </w:p>
    <w:p>
      <w:pPr>
        <w:spacing w:after="120" w:line="276"/>
      </w:pPr>
      <w:r>
        <w:rPr>
          <w:rFonts w:ascii="Calibri" w:cs="Calibri" w:eastAsia="Calibri" w:hAnsi="Calibri"/>
          <w:color w:val="1A1A1A"/>
          <w:sz w:val="21"/>
          <w:szCs w:val="21"/>
        </w:rPr>
        <w:t xml:space="preserve">Durante el recorrido se abrieron las herramientas de desarrollador del navegador, lo que permitió observar directamente la estructura del aplicativo. Lo siguiente es evidencia, no suposición.</w:t>
      </w:r>
    </w:p>
    <w:p>
      <w:pPr>
        <w:pStyle w:val="Heading2"/>
        <w:spacing w:after="120" w:before="260"/>
      </w:pPr>
      <w:r>
        <w:rPr>
          <w:rFonts w:ascii="Calibri" w:cs="Calibri" w:eastAsia="Calibri" w:hAnsi="Calibri"/>
          <w:b/>
          <w:bCs/>
          <w:color w:val="1F3864"/>
          <w:sz w:val="25"/>
          <w:szCs w:val="25"/>
        </w:rPr>
        <w:t xml:space="preserve">6.1 Evidencia directa</w:t>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2600"/>
        <w:gridCol w:w="6760"/>
      </w:tblGrid>
      <w:tr>
        <w:trPr>
          <w:tblHeader/>
        </w:trPr>
        <w:tc>
          <w:tcPr>
            <w:tcW w:type="dxa" w:w="26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Aspecto</w:t>
            </w:r>
          </w:p>
        </w:tc>
        <w:tc>
          <w:tcPr>
            <w:tcW w:type="dxa" w:w="67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Evidencia observada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Tipo de aplicación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Aplicación web de página única (SPA) servida en navegador. Probada en Microsoft Edge sobre Windows 11.</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URL observada</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https://demo.heresconstructora.com.co/costpro-demo/?access=HCP-DE-4T9K3V6P — subdominio de demostración con token de acceso en la cadena de consulta.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Estructura del DOM</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único documento con .topbar, .layout (CSS Grid), .sidebar (Flexbox) y .content. Dentro de .content conviven todas las vistas como divs hermanos: #view-dash, #view-pres, #view-costosapu, #view-resumen, #view-ins, #view-aiu, #view-apubase, #view-branding, #view-projects, más un bloque comentado «MODAL AGREGAR ACTIVIDAD».</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Navegación</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enrutador ni carga diferida: la vista activa se marca con la clase «on» sobre el div correspondiente. Todo el HTML de todos los módulos está presente desde el primer render.</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Framework</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observó ninguna marca de React, Vue o Angular en el árbol de elementos (sin atributos data-reactroot, ng-, v-, ni componentes hidratados). Los nombres de clase son semánticos y escritos a mano (.ph, .ph-title, .ph-sub, .ph-actions, .tbl, .dash-stats-grid, .dash-type-stats, #cap-summary.dash-cap-summary). Todo apunta a HTML, CSS y JavaScript sin framework.</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Persistencia</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tarjeta STORAGE del módulo de marca declara la clave «hcp_branding_config» con la leyenda «persistencia local editable», es decir localStorage del navegador. El comportamiento del resto de módulos (proyectos, insumos y APUs editables que sobreviven a la navegación) es consistente con almacenamiento local.</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Comentarios en el código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HTML conserva comentarios de sección en mayúsculas (&lt;!-- TOPBAR --&gt;, &lt;!-- SIDEBAR --&gt;, &lt;!-- DASHBOARD --&gt;, &lt;!-- PRESUPUESTO --&gt;, &lt;!-- RESUMEN --&gt;, &lt;!-- INSUMOS --&gt;, &lt;!-- AIU --&gt;, &lt;!-- BASE APU --&gt;, &lt;!-- BRANDING --&gt;, &lt;!-- PROJECTS --&gt;), típicos de un archivo escrito a mano y no de un empaquetador.</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Estado de la consola</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consola del navegador reportaba 2 errores, 6 advertencias y más de 99 mensajes durante la sesión.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Integración de 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Cliente que acepta una clave de API con formato «sk-ant-…» introducida por el usuario, con un modo local alternativo que no requiere clave.</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Exportación</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Generación de PDF y de Excel del lado del cliente; el PDF se abre en una vista previa dentro de la misma pestaña con opciones de descarga e impresión.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Canal comercial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 que abre una conversación de WhatsApp para solicitar la activación de la licencia.</w:t>
            </w:r>
          </w:p>
        </w:tc>
      </w:tr>
      <w:tr>
        <w:tc>
          <w:tcPr>
            <w:tcW w:type="dxa" w:w="26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Control de demo</w:t>
            </w:r>
          </w:p>
        </w:tc>
        <w:tc>
          <w:tcPr>
            <w:tcW w:type="dxa" w:w="67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Temporizador visible en la esquina superior derecha («Demo gratuita de Cliente · Ver tutorial · 09:47») que cuenta hacia atrás desde 10 minutos; el narrador menciona 5 minutos, lo que sugiere que el tiempo es parametrizable.</w:t>
            </w:r>
          </w:p>
        </w:tc>
      </w:tr>
    </w:tbl>
    <w:p>
      <w:pPr>
        <w:spacing w:after="120" w:line="276"/>
      </w:pPr>
      <w:r>
        <w:rPr>
          <w:rFonts w:ascii="Calibri" w:cs="Calibri" w:eastAsia="Calibri" w:hAnsi="Calibri"/>
          <w:color w:val="1A1A1A"/>
          <w:sz w:val="21"/>
          <w:szCs w:val="21"/>
        </w:rPr>
        <w:t xml:space="preserve"/>
      </w:r>
    </w:p>
    <w:p>
      <w:pPr>
        <w:pStyle w:val="Heading2"/>
        <w:spacing w:after="120" w:before="260"/>
      </w:pPr>
      <w:r>
        <w:rPr>
          <w:rFonts w:ascii="Calibri" w:cs="Calibri" w:eastAsia="Calibri" w:hAnsi="Calibri"/>
          <w:b/>
          <w:bCs/>
          <w:color w:val="1F3864"/>
          <w:sz w:val="25"/>
          <w:szCs w:val="25"/>
        </w:rPr>
        <w:t xml:space="preserve">6.2 Interpretación arquitectónica</w:t>
      </w:r>
    </w:p>
    <w:p>
      <w:pPr>
        <w:spacing w:after="120" w:line="276"/>
      </w:pPr>
      <w:r>
        <w:rPr>
          <w:rFonts w:ascii="Calibri" w:cs="Calibri" w:eastAsia="Calibri" w:hAnsi="Calibri"/>
          <w:color w:val="1A1A1A"/>
          <w:sz w:val="21"/>
          <w:szCs w:val="21"/>
        </w:rPr>
        <w:t xml:space="preserve">El aplicativo es, con alta probabilidad, un front-end monolítico de archivo único o de muy pocos archivos, sin capa de servidor propia para los datos del usuario, con toda la lógica de cálculo y de persistencia ejecutándose en el navegador. Esa decisión explica al mismo tiempo su virtud y su límite: arranca instantáneamente y no necesita infraestructura, pero no soporta multiusuario, no tiene auditoría, no permite trabajo colaborativo y los datos viven únicamente en el equipo donde se abrió.</w:t>
      </w:r>
    </w:p>
    <w:tbl>
      <w:tblPr>
        <w:tblW w:type="dxa" w:w="9360"/>
        <w:tblBorders>
          <w:top w:val="single" w:color="C0392B" w:sz="4"/>
          <w:left w:val="single" w:color="C0392B" w:sz="18"/>
          <w:bottom w:val="single" w:color="C0392B" w:sz="4"/>
          <w:right w:val="single" w:color="C0392B" w:sz="4"/>
          <w:insideH w:val="none" w:color="FFFFFF" w:sz="0"/>
          <w:insideV w:val="none" w:color="FFFFFF" w:sz="0"/>
        </w:tblBorders>
      </w:tblPr>
      <w:tblGrid>
        <w:gridCol w:w="9360"/>
      </w:tblGrid>
      <w:tr>
        <w:tc>
          <w:tcPr>
            <w:tcW w:type="dxa" w:w="9360"/>
            <w:shd w:fill="FDECEA" w:val="clear"/>
            <w:tcMar>
              <w:top w:type="dxa" w:w="140"/>
              <w:left w:type="dxa" w:w="180"/>
              <w:bottom w:type="dxa" w:w="140"/>
              <w:right w:type="dxa" w:w="160"/>
            </w:tcMar>
          </w:tcPr>
          <w:p>
            <w:pPr>
              <w:spacing w:after="60"/>
            </w:pPr>
            <w:r>
              <w:rPr>
                <w:rFonts w:ascii="Calibri" w:cs="Calibri" w:eastAsia="Calibri" w:hAnsi="Calibri"/>
                <w:b/>
                <w:bCs/>
                <w:color w:val="C0392B"/>
                <w:sz w:val="20"/>
                <w:szCs w:val="20"/>
              </w:rPr>
              <w:t xml:space="preserve">Consecuencia para el producto propio</w:t>
            </w:r>
          </w:p>
          <w:p>
            <w:pPr>
              <w:spacing w:after="40" w:line="260"/>
            </w:pPr>
            <w:r>
              <w:rPr>
                <w:rFonts w:ascii="Calibri" w:cs="Calibri" w:eastAsia="Calibri" w:hAnsi="Calibri"/>
                <w:sz w:val="19"/>
                <w:szCs w:val="19"/>
              </w:rPr>
              <w:t xml:space="preserve">Replicar el dominio y el motor de cálculo: sí.</w:t>
            </w:r>
          </w:p>
          <w:p>
            <w:pPr>
              <w:spacing w:after="40" w:line="260"/>
            </w:pPr>
            <w:r>
              <w:rPr>
                <w:rFonts w:ascii="Calibri" w:cs="Calibri" w:eastAsia="Calibri" w:hAnsi="Calibri"/>
                <w:sz w:val="19"/>
                <w:szCs w:val="19"/>
              </w:rPr>
              <w:t xml:space="preserve">Replicar la arquitectura: no. Un producto que aspire a tener clientes con varios usuarios, historial de precios y presupuestos auditables necesita servidor, base de datos relacional y autenticación real desde el primer día.</w:t>
            </w:r>
          </w:p>
          <w:p>
            <w:pPr>
              <w:spacing w:after="40" w:line="260"/>
            </w:pPr>
            <w:r>
              <w:rPr>
                <w:rFonts w:ascii="Calibri" w:cs="Calibri" w:eastAsia="Calibri" w:hAnsi="Calibri"/>
                <w:sz w:val="19"/>
                <w:szCs w:val="19"/>
              </w:rPr>
              <w:t xml:space="preserve">El detalle de esta recomendación está en DOC-03, hallazgos H-01 a H-05.</w:t>
            </w:r>
          </w:p>
        </w:tc>
      </w:tr>
    </w:tbl>
    <w:p>
      <w:r>
        <w:br w:type="page"/>
      </w:r>
    </w:p>
    <w:p>
      <w:pPr>
        <w:pStyle w:val="Heading1"/>
        <w:spacing w:after="160" w:before="320"/>
      </w:pPr>
      <w:r>
        <w:rPr>
          <w:rFonts w:ascii="Calibri" w:cs="Calibri" w:eastAsia="Calibri" w:hAnsi="Calibri"/>
          <w:b/>
          <w:bCs/>
          <w:color w:val="1F3864"/>
          <w:sz w:val="30"/>
          <w:szCs w:val="30"/>
        </w:rPr>
        <w:t xml:space="preserve">7. Flujo principal de uso</w:t>
      </w:r>
    </w:p>
    <w:p>
      <w:pPr>
        <w:spacing w:after="120" w:line="276"/>
      </w:pPr>
      <w:r>
        <w:rPr>
          <w:rFonts w:ascii="Calibri" w:cs="Calibri" w:eastAsia="Calibri" w:hAnsi="Calibri"/>
          <w:color w:val="1A1A1A"/>
          <w:sz w:val="21"/>
          <w:szCs w:val="21"/>
        </w:rPr>
        <w:t xml:space="preserve">Secuencia completa tal como la ejecutó el narrador, con los tiempos de referencia del video. Es el flujo que cualquier producto equivalente debe soportar de extremo a extremo.</w:t>
      </w:r>
    </w:p>
    <w:p>
      <w:pPr>
        <w:pStyle w:val="ListParagraph"/>
        <w:numPr>
          <w:ilvl w:val="0"/>
          <w:numId w:val="3"/>
        </w:numPr>
        <w:spacing w:after="60" w:line="276"/>
      </w:pPr>
      <w:r>
        <w:rPr>
          <w:rFonts w:ascii="Calibri" w:cs="Calibri" w:eastAsia="Calibri" w:hAnsi="Calibri"/>
          <w:sz w:val="21"/>
          <w:szCs w:val="21"/>
        </w:rPr>
        <w:t xml:space="preserve">Abrir la aplicación y revisar el Panel Principal, que arranca en cero para un proyecto nuevo (min 0:52).</w:t>
      </w:r>
    </w:p>
    <w:p>
      <w:pPr>
        <w:pStyle w:val="ListParagraph"/>
        <w:numPr>
          <w:ilvl w:val="0"/>
          <w:numId w:val="3"/>
        </w:numPr>
        <w:spacing w:after="60" w:line="276"/>
      </w:pPr>
      <w:r>
        <w:rPr>
          <w:rFonts w:ascii="Calibri" w:cs="Calibri" w:eastAsia="Calibri" w:hAnsi="Calibri"/>
          <w:sz w:val="21"/>
          <w:szCs w:val="21"/>
        </w:rPr>
        <w:t xml:space="preserve">Cargar o seleccionar el proyecto y completar su encabezado: nombre, cliente, ubicación, área, tipo y fecha (min 1:19).</w:t>
      </w:r>
    </w:p>
    <w:p>
      <w:pPr>
        <w:pStyle w:val="ListParagraph"/>
        <w:numPr>
          <w:ilvl w:val="0"/>
          <w:numId w:val="3"/>
        </w:numPr>
        <w:spacing w:after="60" w:line="276"/>
      </w:pPr>
      <w:r>
        <w:rPr>
          <w:rFonts w:ascii="Calibri" w:cs="Calibri" w:eastAsia="Calibri" w:hAnsi="Calibri"/>
          <w:sz w:val="21"/>
          <w:szCs w:val="21"/>
        </w:rPr>
        <w:t xml:space="preserve">Entrar a Presupuesto y pulsar «Actividad» para abrir el catálogo (min 1:27).</w:t>
      </w:r>
    </w:p>
    <w:p>
      <w:pPr>
        <w:pStyle w:val="ListParagraph"/>
        <w:numPr>
          <w:ilvl w:val="0"/>
          <w:numId w:val="3"/>
        </w:numPr>
        <w:spacing w:after="60" w:line="276"/>
      </w:pPr>
      <w:r>
        <w:rPr>
          <w:rFonts w:ascii="Calibri" w:cs="Calibri" w:eastAsia="Calibri" w:hAnsi="Calibri"/>
          <w:sz w:val="21"/>
          <w:szCs w:val="21"/>
        </w:rPr>
        <w:t xml:space="preserve">Buscar la actividad, revisar el APU desplegado, digitar la cantidad de obra y agregarla al presupuesto (min 1:34 – 2:07).</w:t>
      </w:r>
    </w:p>
    <w:p>
      <w:pPr>
        <w:pStyle w:val="ListParagraph"/>
        <w:numPr>
          <w:ilvl w:val="0"/>
          <w:numId w:val="3"/>
        </w:numPr>
        <w:spacing w:after="60" w:line="276"/>
      </w:pPr>
      <w:r>
        <w:rPr>
          <w:rFonts w:ascii="Calibri" w:cs="Calibri" w:eastAsia="Calibri" w:hAnsi="Calibri"/>
          <w:sz w:val="21"/>
          <w:szCs w:val="21"/>
        </w:rPr>
        <w:t xml:space="preserve">Repetir hasta completar el alcance; el presupuesto acumula y agrupa por capítulos automáticamente (min 2:09).</w:t>
      </w:r>
    </w:p>
    <w:p>
      <w:pPr>
        <w:pStyle w:val="ListParagraph"/>
        <w:numPr>
          <w:ilvl w:val="0"/>
          <w:numId w:val="3"/>
        </w:numPr>
        <w:spacing w:after="60" w:line="276"/>
      </w:pPr>
      <w:r>
        <w:rPr>
          <w:rFonts w:ascii="Calibri" w:cs="Calibri" w:eastAsia="Calibri" w:hAnsi="Calibri"/>
          <w:sz w:val="21"/>
          <w:szCs w:val="21"/>
        </w:rPr>
        <w:t xml:space="preserve">Expandir capítulos para revisar cantidades, valor unitario y valor parcial de cada ítem (min 2:28).</w:t>
      </w:r>
    </w:p>
    <w:p>
      <w:pPr>
        <w:pStyle w:val="ListParagraph"/>
        <w:numPr>
          <w:ilvl w:val="0"/>
          <w:numId w:val="3"/>
        </w:numPr>
        <w:spacing w:after="60" w:line="276"/>
      </w:pPr>
      <w:r>
        <w:rPr>
          <w:rFonts w:ascii="Calibri" w:cs="Calibri" w:eastAsia="Calibri" w:hAnsi="Calibri"/>
          <w:sz w:val="21"/>
          <w:szCs w:val="21"/>
        </w:rPr>
        <w:t xml:space="preserve">Abrir el APU de una actividad y editarlo: renombrar, agregar un equipo o herramienta menor, ajustar cantidades y guardar; el presupuesto se recalcula solo (min 2:45 – 3:57).</w:t>
      </w:r>
    </w:p>
    <w:p>
      <w:pPr>
        <w:pStyle w:val="ListParagraph"/>
        <w:numPr>
          <w:ilvl w:val="0"/>
          <w:numId w:val="3"/>
        </w:numPr>
        <w:spacing w:after="60" w:line="276"/>
      </w:pPr>
      <w:r>
        <w:rPr>
          <w:rFonts w:ascii="Calibri" w:cs="Calibri" w:eastAsia="Calibri" w:hAnsi="Calibri"/>
          <w:sz w:val="21"/>
          <w:szCs w:val="21"/>
        </w:rPr>
        <w:t xml:space="preserve">Alternativamente, duplicar un APU existente para crear una variante sin alterar el original (min 4:03).</w:t>
      </w:r>
    </w:p>
    <w:p>
      <w:pPr>
        <w:pStyle w:val="ListParagraph"/>
        <w:numPr>
          <w:ilvl w:val="0"/>
          <w:numId w:val="3"/>
        </w:numPr>
        <w:spacing w:after="60" w:line="276"/>
      </w:pPr>
      <w:r>
        <w:rPr>
          <w:rFonts w:ascii="Calibri" w:cs="Calibri" w:eastAsia="Calibri" w:hAnsi="Calibri"/>
          <w:sz w:val="21"/>
          <w:szCs w:val="21"/>
        </w:rPr>
        <w:t xml:space="preserve">Definir el AIU: administración, imprevistos y utilidad, y opcionalmente el IVA (min 4:18).</w:t>
      </w:r>
    </w:p>
    <w:p>
      <w:pPr>
        <w:pStyle w:val="ListParagraph"/>
        <w:numPr>
          <w:ilvl w:val="0"/>
          <w:numId w:val="3"/>
        </w:numPr>
        <w:spacing w:after="60" w:line="276"/>
      </w:pPr>
      <w:r>
        <w:rPr>
          <w:rFonts w:ascii="Calibri" w:cs="Calibri" w:eastAsia="Calibri" w:hAnsi="Calibri"/>
          <w:sz w:val="21"/>
          <w:szCs w:val="21"/>
        </w:rPr>
        <w:t xml:space="preserve">Pulsar «Actualizar» y revisar el módulo de inteligencia de costos: costo directo por m², participación de materiales, mano de obra y equipos (min 4:36 – 4:55).</w:t>
      </w:r>
    </w:p>
    <w:p>
      <w:pPr>
        <w:pStyle w:val="ListParagraph"/>
        <w:numPr>
          <w:ilvl w:val="0"/>
          <w:numId w:val="3"/>
        </w:numPr>
        <w:spacing w:after="60" w:line="276"/>
      </w:pPr>
      <w:r>
        <w:rPr>
          <w:rFonts w:ascii="Calibri" w:cs="Calibri" w:eastAsia="Calibri" w:hAnsi="Calibri"/>
          <w:sz w:val="21"/>
          <w:szCs w:val="21"/>
        </w:rPr>
        <w:t xml:space="preserve">Revisar los consolidados generales de materiales, mano de obra y equipos con las cantidades agregadas de todo el proyecto (min 4:58 – 5:12).</w:t>
      </w:r>
    </w:p>
    <w:p>
      <w:pPr>
        <w:pStyle w:val="ListParagraph"/>
        <w:numPr>
          <w:ilvl w:val="0"/>
          <w:numId w:val="3"/>
        </w:numPr>
        <w:spacing w:after="60" w:line="276"/>
      </w:pPr>
      <w:r>
        <w:rPr>
          <w:rFonts w:ascii="Calibri" w:cs="Calibri" w:eastAsia="Calibri" w:hAnsi="Calibri"/>
          <w:sz w:val="21"/>
          <w:szCs w:val="21"/>
        </w:rPr>
        <w:t xml:space="preserve">Entrar a Insumos y corregir los precios que estén desactualizados; el cambio se propaga a todos los APUs que los usan (min 5:15 – 5:37).</w:t>
      </w:r>
    </w:p>
    <w:p>
      <w:pPr>
        <w:pStyle w:val="ListParagraph"/>
        <w:numPr>
          <w:ilvl w:val="0"/>
          <w:numId w:val="3"/>
        </w:numPr>
        <w:spacing w:after="60" w:line="276"/>
      </w:pPr>
      <w:r>
        <w:rPr>
          <w:rFonts w:ascii="Calibri" w:cs="Calibri" w:eastAsia="Calibri" w:hAnsi="Calibri"/>
          <w:sz w:val="21"/>
          <w:szCs w:val="21"/>
        </w:rPr>
        <w:t xml:space="preserve">Generar «PDF Cliente» y revisar la vista previa del documento con la marca de la empresa (min 5:39 – 5:47).</w:t>
      </w:r>
    </w:p>
    <w:p>
      <w:pPr>
        <w:pStyle w:val="ListParagraph"/>
        <w:numPr>
          <w:ilvl w:val="0"/>
          <w:numId w:val="3"/>
        </w:numPr>
        <w:spacing w:after="60" w:line="276"/>
      </w:pPr>
      <w:r>
        <w:rPr>
          <w:rFonts w:ascii="Calibri" w:cs="Calibri" w:eastAsia="Calibri" w:hAnsi="Calibri"/>
          <w:sz w:val="21"/>
          <w:szCs w:val="21"/>
        </w:rPr>
        <w:t xml:space="preserve">Exportar a Excel si se requiere trabajo posterior en hoja de cálculo (min 5:43).</w:t>
      </w:r>
    </w:p>
    <w:p>
      <w:r>
        <w:br w:type="page"/>
      </w:r>
    </w:p>
    <w:p>
      <w:pPr>
        <w:pStyle w:val="Heading1"/>
        <w:spacing w:after="160" w:before="320"/>
      </w:pPr>
      <w:r>
        <w:rPr>
          <w:rFonts w:ascii="Calibri" w:cs="Calibri" w:eastAsia="Calibri" w:hAnsi="Calibri"/>
          <w:b/>
          <w:bCs/>
          <w:color w:val="1F3864"/>
          <w:sz w:val="30"/>
          <w:szCs w:val="30"/>
        </w:rPr>
        <w:t xml:space="preserve">8. Correcciones adoptadas sobre el diseño de referencia</w:t>
      </w:r>
    </w:p>
    <w:p>
      <w:pPr>
        <w:spacing w:after="120" w:line="276"/>
      </w:pPr>
      <w:r>
        <w:rPr>
          <w:rFonts w:ascii="Calibri" w:cs="Calibri" w:eastAsia="Calibri" w:hAnsi="Calibri"/>
          <w:color w:val="1A1A1A"/>
          <w:sz w:val="21"/>
          <w:szCs w:val="21"/>
        </w:rPr>
        <w:t xml:space="preserve">Nueve de los defectos detectados durante el análisis ya tienen una solución acordada, y esa solución forma parte de la especificación funcional del producto propio. Se resumen aquí porque cambian la descripción de las funcionalidades del capítulo 5: lo que el producto va a hacer no es exactamente lo que hace el aplicativo de referencia.</w:t>
      </w:r>
    </w:p>
    <w:p>
      <w:pPr>
        <w:spacing w:after="120" w:line="276"/>
      </w:pPr>
      <w:r>
        <w:rPr>
          <w:rFonts w:ascii="Calibri" w:cs="Calibri" w:eastAsia="Calibri" w:hAnsi="Calibri"/>
          <w:color w:val="1A1A1A"/>
          <w:sz w:val="21"/>
          <w:szCs w:val="21"/>
        </w:rPr>
        <w:t xml:space="preserve">El detalle técnico de cada una está en el capítulo «Decisiones de diseño adoptadas» del DOC-02, y el análisis del problema que las origina en el DOC-03.</w:t>
      </w:r>
    </w:p>
    <w:p>
      <w:pPr>
        <w:spacing w:after="120" w:line="276"/>
      </w:pPr>
      <w:r>
        <w:rPr>
          <w:rFonts w:ascii="Calibri" w:cs="Calibri" w:eastAsia="Calibri" w:hAnsi="Calibri"/>
          <w:color w:val="1A1A1A"/>
          <w:sz w:val="21"/>
          <w:szCs w:val="21"/>
        </w:rPr>
        <w:t xml:space="preserve"/>
      </w:r>
    </w:p>
    <w:tbl>
      <w:tblPr>
        <w:tblW w:type="dxa" w:w="9360"/>
        <w:tblBorders>
          <w:top w:val="single" w:color="9AA7BF" w:sz="4"/>
          <w:left w:val="single" w:color="9AA7BF" w:sz="4"/>
          <w:bottom w:val="single" w:color="9AA7BF" w:sz="4"/>
          <w:right w:val="single" w:color="9AA7BF" w:sz="4"/>
          <w:insideH w:val="single" w:color="C6CEDD" w:sz="2"/>
          <w:insideV w:val="single" w:color="C6CEDD" w:sz="2"/>
        </w:tblBorders>
      </w:tblPr>
      <w:tblGrid>
        <w:gridCol w:w="900"/>
        <w:gridCol w:w="3260"/>
        <w:gridCol w:w="5200"/>
      </w:tblGrid>
      <w:tr>
        <w:trPr>
          <w:tblHeader/>
        </w:trPr>
        <w:tc>
          <w:tcPr>
            <w:tcW w:type="dxa" w:w="9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w:t>
            </w:r>
          </w:p>
        </w:tc>
        <w:tc>
          <w:tcPr>
            <w:tcW w:type="dxa" w:w="326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Corrección</w:t>
            </w:r>
          </w:p>
        </w:tc>
        <w:tc>
          <w:tcPr>
            <w:tcW w:type="dxa" w:w="5200"/>
            <w:shd w:fill="1F3864"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queda en el producto propio</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H-07</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Edición de APU con alcance de proyecto</w:t>
            </w:r>
          </w:p>
        </w:tc>
        <w:tc>
          <w:tcPr>
            <w:tcW w:type="dxa" w:w="5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agregar un APU al presupuesto, el proyecto guarda su propia copia. Editar desde el presupuesto solo afecta a ese proyecto. Para llevar la mejora a la base existe una acción aparte, «Promover al catálogo», con permiso de administrador y aviso de impacto.</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H-08</w:t>
            </w:r>
          </w:p>
        </w:tc>
        <w:tc>
          <w:tcPr>
            <w:tcW w:type="dxa" w:w="3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Precio de insumo como serie histórica</w:t>
            </w:r>
          </w:p>
        </w:tc>
        <w:tc>
          <w:tcPr>
            <w:tcW w:type="dxa" w:w="5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precio deja de ser un campo del insumo y pasa a una tabla de precios con fecha, usuario y motivo. Antes de guardar se muestra el impacto concreto en APUs y presupuestos, y una variación superior al 30 % exige confirmación reforzada. Los presupuestos aprobados congelan sus precios.</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H-09</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Acciones destructivas reversibles</w:t>
            </w:r>
          </w:p>
        </w:tc>
        <w:tc>
          <w:tcPr>
            <w:tcW w:type="dxa" w:w="5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Borrado lógico en lugar de borrado físico, deshacer de diez segundos en toda eliminación individual, confirmación escribiendo el nombre del proyecto para las acciones globales, y separación visual de lo destructivo.</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H-10</w:t>
            </w:r>
          </w:p>
        </w:tc>
        <w:tc>
          <w:tcPr>
            <w:tcW w:type="dxa" w:w="3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 móvil definido por módulo</w:t>
            </w:r>
          </w:p>
        </w:tc>
        <w:tc>
          <w:tcPr>
            <w:tcW w:type="dxa" w:w="5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Consulta de presupuesto, insumos, consolidados y documentos funcionan desde 360 píxeles. Por debajo de 768 las tablas se convierten en tarjeta por fila. La edición intensiva queda en escritorio con un mensaje explícito.</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H-11</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Consola limpia y registro en servidor</w:t>
            </w:r>
          </w:p>
        </w:tc>
        <w:tc>
          <w:tcPr>
            <w:tcW w:type="dxa" w:w="5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Corrección de los errores existentes, eliminación de trazas de depuración en producción, capturador global que envía los fallos a un servicio de registro y mensajes de error accionables para el usuario.</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H-12</w:t>
            </w:r>
          </w:p>
        </w:tc>
        <w:tc>
          <w:tcPr>
            <w:tcW w:type="dxa" w:w="3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Barra de acciones jerarquizada</w:t>
            </w:r>
          </w:p>
        </w:tc>
        <w:tc>
          <w:tcPr>
            <w:tcW w:type="dxa" w:w="5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sola acción primaria («Agregar actividad»), las siete exportaciones agrupadas en un menú «Exportar», «Contrato» y «Cronograma» movidos al menú lateral y «Limpiar» al menú de acciones destructivas.</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H-13</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Contadores desde una única fuente</w:t>
            </w:r>
          </w:p>
        </w:tc>
        <w:tc>
          <w:tcPr>
            <w:tcW w:type="dxa" w:w="5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indicadores con etiqueta inequívoca —APUs del catálogo, APUs de este proyecto y APUs personalizados— calculados siempre desde la misma consulta y coherentes con lo que se comunique comercialmente.</w:t>
            </w:r>
          </w:p>
        </w:tc>
      </w:tr>
      <w:tr>
        <w:tc>
          <w:tcPr>
            <w:tcW w:type="dxa" w:w="900"/>
            <w:shd w:fill="F4F6FA"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H-14</w:t>
            </w:r>
          </w:p>
        </w:tc>
        <w:tc>
          <w:tcPr>
            <w:tcW w:type="dxa" w:w="326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Analítica siempre vigente</w:t>
            </w:r>
          </w:p>
        </w:tc>
        <w:tc>
          <w:tcPr>
            <w:tcW w:type="dxa" w:w="5200"/>
            <w:shd w:fill="F4F6FA"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Recálculo automático al entrar al módulo y ante cualquier cambio del presupuesto, estado «calculando…» cuando el cálculo es costoso, marca de tiempo del último cálculo y el botón «Actualizar» solo como recálculo forzado.</w:t>
            </w:r>
          </w:p>
        </w:tc>
      </w:tr>
      <w:tr>
        <w:tc>
          <w:tcPr>
            <w:tcW w:type="dxa" w:w="900"/>
            <w:shd w:fill="FFFFFF"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H-16</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Validación dura y validación blanda</w:t>
            </w:r>
          </w:p>
        </w:tc>
        <w:tc>
          <w:tcPr>
            <w:tcW w:type="dxa" w:w="5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de tipo, rango y decimales en todo campo numérico, más avisos de coherencia que comparan la cantidad digitada contra el área del proyecto y contra el valor anterior, resaltando las actividades desproporcionadas.</w:t>
            </w:r>
          </w:p>
        </w:tc>
      </w:tr>
    </w:tbl>
    <w:p>
      <w:pPr>
        <w:spacing w:after="120" w:line="276"/>
      </w:pPr>
      <w:r>
        <w:rPr>
          <w:rFonts w:ascii="Calibri" w:cs="Calibri" w:eastAsia="Calibri" w:hAnsi="Calibri"/>
          <w:color w:val="1A1A1A"/>
          <w:sz w:val="21"/>
          <w:szCs w:val="21"/>
        </w:rPr>
        <w:t xml:space="preserve"/>
      </w:r>
    </w:p>
    <w:tbl>
      <w:tblPr>
        <w:tblW w:type="dxa" w:w="9360"/>
        <w:tblBorders>
          <w:top w:val="single" w:color="2E7D32" w:sz="4"/>
          <w:left w:val="single" w:color="2E7D32" w:sz="18"/>
          <w:bottom w:val="single" w:color="2E7D32" w:sz="4"/>
          <w:right w:val="single" w:color="2E7D32" w:sz="4"/>
          <w:insideH w:val="none" w:color="FFFFFF" w:sz="0"/>
          <w:insideV w:val="none" w:color="FFFFFF" w:sz="0"/>
        </w:tblBorders>
      </w:tblPr>
      <w:tblGrid>
        <w:gridCol w:w="9360"/>
      </w:tblGrid>
      <w:tr>
        <w:tc>
          <w:tcPr>
            <w:tcW w:type="dxa" w:w="9360"/>
            <w:shd w:fill="EAF3EA" w:val="clear"/>
            <w:tcMar>
              <w:top w:type="dxa" w:w="140"/>
              <w:left w:type="dxa" w:w="180"/>
              <w:bottom w:type="dxa" w:w="140"/>
              <w:right w:type="dxa" w:w="160"/>
            </w:tcMar>
          </w:tcPr>
          <w:p>
            <w:pPr>
              <w:spacing w:after="60"/>
            </w:pPr>
            <w:r>
              <w:rPr>
                <w:rFonts w:ascii="Calibri" w:cs="Calibri" w:eastAsia="Calibri" w:hAnsi="Calibri"/>
                <w:b/>
                <w:bCs/>
                <w:color w:val="2E7D32"/>
                <w:sz w:val="20"/>
                <w:szCs w:val="20"/>
              </w:rPr>
              <w:t xml:space="preserve">Efecto sobre el inventario del capítulo 5</w:t>
            </w:r>
          </w:p>
          <w:p>
            <w:pPr>
              <w:spacing w:after="40" w:line="260"/>
            </w:pPr>
            <w:r>
              <w:rPr>
                <w:rFonts w:ascii="Calibri" w:cs="Calibri" w:eastAsia="Calibri" w:hAnsi="Calibri"/>
                <w:sz w:val="19"/>
                <w:szCs w:val="19"/>
              </w:rPr>
              <w:t xml:space="preserve">La edición de APUs (5.3) pasa a tener dos alcances explícitos en lugar de uno implícito.</w:t>
            </w:r>
          </w:p>
          <w:p>
            <w:pPr>
              <w:spacing w:after="40" w:line="260"/>
            </w:pPr>
            <w:r>
              <w:rPr>
                <w:rFonts w:ascii="Calibri" w:cs="Calibri" w:eastAsia="Calibri" w:hAnsi="Calibri"/>
                <w:sz w:val="19"/>
                <w:szCs w:val="19"/>
              </w:rPr>
              <w:t xml:space="preserve">La edición de precios (5.4) incorpora historial y aviso de impacto.</w:t>
            </w:r>
          </w:p>
          <w:p>
            <w:pPr>
              <w:spacing w:after="40" w:line="260"/>
            </w:pPr>
            <w:r>
              <w:rPr>
                <w:rFonts w:ascii="Calibri" w:cs="Calibri" w:eastAsia="Calibri" w:hAnsi="Calibri"/>
                <w:sz w:val="19"/>
                <w:szCs w:val="19"/>
              </w:rPr>
              <w:t xml:space="preserve">La analítica (5.6) deja de requerir actualización manual.</w:t>
            </w:r>
          </w:p>
          <w:p>
            <w:pPr>
              <w:spacing w:after="40" w:line="260"/>
            </w:pPr>
            <w:r>
              <w:rPr>
                <w:rFonts w:ascii="Calibri" w:cs="Calibri" w:eastAsia="Calibri" w:hAnsi="Calibri"/>
                <w:sz w:val="19"/>
                <w:szCs w:val="19"/>
              </w:rPr>
              <w:t xml:space="preserve">Los entregables (5.7) se agrupan en un único menú de exportación.</w:t>
            </w:r>
          </w:p>
          <w:p>
            <w:pPr>
              <w:spacing w:after="40" w:line="260"/>
            </w:pPr>
            <w:r>
              <w:rPr>
                <w:rFonts w:ascii="Calibri" w:cs="Calibri" w:eastAsia="Calibri" w:hAnsi="Calibri"/>
                <w:sz w:val="19"/>
                <w:szCs w:val="19"/>
              </w:rPr>
              <w:t xml:space="preserve">La función de adjuntar imágenes a los insumos queda fuera del alcance del producto propio.</w:t>
            </w:r>
          </w:p>
        </w:tc>
      </w:tr>
    </w:tbl>
    <w:p>
      <w:r>
        <w:br w:type="page"/>
      </w:r>
    </w:p>
    <w:p>
      <w:pPr>
        <w:pStyle w:val="Heading1"/>
        <w:spacing w:after="160" w:before="320"/>
      </w:pPr>
      <w:r>
        <w:rPr>
          <w:rFonts w:ascii="Calibri" w:cs="Calibri" w:eastAsia="Calibri" w:hAnsi="Calibri"/>
          <w:b/>
          <w:bCs/>
          <w:color w:val="1F3864"/>
          <w:sz w:val="30"/>
          <w:szCs w:val="30"/>
        </w:rPr>
        <w:t xml:space="preserve">9. Qué conservar y qué no</w:t>
      </w:r>
    </w:p>
    <w:p>
      <w:pPr>
        <w:pStyle w:val="Heading2"/>
        <w:spacing w:after="120" w:before="260"/>
      </w:pPr>
      <w:r>
        <w:rPr>
          <w:rFonts w:ascii="Calibri" w:cs="Calibri" w:eastAsia="Calibri" w:hAnsi="Calibri"/>
          <w:b/>
          <w:bCs/>
          <w:color w:val="1F3864"/>
          <w:sz w:val="25"/>
          <w:szCs w:val="25"/>
        </w:rPr>
        <w:t xml:space="preserve">9.1 Ideas que sí vale la pena adoptar</w:t>
      </w:r>
    </w:p>
    <w:p>
      <w:pPr>
        <w:pStyle w:val="ListParagraph"/>
        <w:numPr>
          <w:ilvl w:val="0"/>
          <w:numId w:val="2"/>
        </w:numPr>
        <w:spacing w:after="60" w:line="276"/>
      </w:pPr>
      <w:r>
        <w:rPr>
          <w:rFonts w:ascii="Calibri" w:cs="Calibri" w:eastAsia="Calibri" w:hAnsi="Calibri"/>
          <w:color w:val="1A1A1A"/>
          <w:sz w:val="21"/>
          <w:szCs w:val="21"/>
        </w:rPr>
        <w:t xml:space="preserve">La jerarquía Insumo → APU → Actividad → Capítulo → Presupuesto → Proyecto como núcleo del modelo de datos.</w:t>
      </w:r>
    </w:p>
    <w:p>
      <w:pPr>
        <w:pStyle w:val="ListParagraph"/>
        <w:numPr>
          <w:ilvl w:val="0"/>
          <w:numId w:val="2"/>
        </w:numPr>
        <w:spacing w:after="60" w:line="276"/>
      </w:pPr>
      <w:r>
        <w:rPr>
          <w:rFonts w:ascii="Calibri" w:cs="Calibri" w:eastAsia="Calibri" w:hAnsi="Calibri"/>
          <w:color w:val="1A1A1A"/>
          <w:sz w:val="21"/>
          <w:szCs w:val="21"/>
        </w:rPr>
        <w:t xml:space="preserve">El catálogo maestro de insumos con precio único y propagación automática del cambio a todo lo que lo usa.</w:t>
      </w:r>
    </w:p>
    <w:p>
      <w:pPr>
        <w:pStyle w:val="ListParagraph"/>
        <w:numPr>
          <w:ilvl w:val="0"/>
          <w:numId w:val="2"/>
        </w:numPr>
        <w:spacing w:after="60" w:line="276"/>
      </w:pPr>
      <w:r>
        <w:rPr>
          <w:rFonts w:ascii="Calibri" w:cs="Calibri" w:eastAsia="Calibri" w:hAnsi="Calibri"/>
          <w:color w:val="1A1A1A"/>
          <w:sz w:val="21"/>
          <w:szCs w:val="21"/>
        </w:rPr>
        <w:t xml:space="preserve">Las plantillas de proyecto con presupuesto base y valor de referencia, que eliminan el arranque desde cero.</w:t>
      </w:r>
    </w:p>
    <w:p>
      <w:pPr>
        <w:pStyle w:val="ListParagraph"/>
        <w:numPr>
          <w:ilvl w:val="0"/>
          <w:numId w:val="2"/>
        </w:numPr>
        <w:spacing w:after="60" w:line="276"/>
      </w:pPr>
      <w:r>
        <w:rPr>
          <w:rFonts w:ascii="Calibri" w:cs="Calibri" w:eastAsia="Calibri" w:hAnsi="Calibri"/>
          <w:color w:val="1A1A1A"/>
          <w:sz w:val="21"/>
          <w:szCs w:val="21"/>
        </w:rPr>
        <w:t xml:space="preserve">La doble salida del mismo dato: documento comercial para el cliente y analítica interna de costos y margen.</w:t>
      </w:r>
    </w:p>
    <w:p>
      <w:pPr>
        <w:pStyle w:val="ListParagraph"/>
        <w:numPr>
          <w:ilvl w:val="0"/>
          <w:numId w:val="2"/>
        </w:numPr>
        <w:spacing w:after="60" w:line="276"/>
      </w:pPr>
      <w:r>
        <w:rPr>
          <w:rFonts w:ascii="Calibri" w:cs="Calibri" w:eastAsia="Calibri" w:hAnsi="Calibri"/>
          <w:color w:val="1A1A1A"/>
          <w:sz w:val="21"/>
          <w:szCs w:val="21"/>
        </w:rPr>
        <w:t xml:space="preserve">Los indicadores normalizados por metro cuadrado como lenguaje común de comparación entre obras.</w:t>
      </w:r>
    </w:p>
    <w:p>
      <w:pPr>
        <w:pStyle w:val="ListParagraph"/>
        <w:numPr>
          <w:ilvl w:val="0"/>
          <w:numId w:val="2"/>
        </w:numPr>
        <w:spacing w:after="60" w:line="276"/>
      </w:pPr>
      <w:r>
        <w:rPr>
          <w:rFonts w:ascii="Calibri" w:cs="Calibri" w:eastAsia="Calibri" w:hAnsi="Calibri"/>
          <w:color w:val="1A1A1A"/>
          <w:sz w:val="21"/>
          <w:szCs w:val="21"/>
        </w:rPr>
        <w:t xml:space="preserve">La cotización a proveedores generada automáticamente desde el presupuesto, con seguimiento de estado.</w:t>
      </w:r>
    </w:p>
    <w:p>
      <w:pPr>
        <w:pStyle w:val="ListParagraph"/>
        <w:numPr>
          <w:ilvl w:val="0"/>
          <w:numId w:val="2"/>
        </w:numPr>
        <w:spacing w:after="60" w:line="276"/>
      </w:pPr>
      <w:r>
        <w:rPr>
          <w:rFonts w:ascii="Calibri" w:cs="Calibri" w:eastAsia="Calibri" w:hAnsi="Calibri"/>
          <w:color w:val="1A1A1A"/>
          <w:sz w:val="21"/>
          <w:szCs w:val="21"/>
        </w:rPr>
        <w:t xml:space="preserve">El asistente de IA con modo determinista gratuito sobre la base propia y modo generativo opcional.</w:t>
      </w:r>
    </w:p>
    <w:p>
      <w:pPr>
        <w:pStyle w:val="ListParagraph"/>
        <w:numPr>
          <w:ilvl w:val="0"/>
          <w:numId w:val="2"/>
        </w:numPr>
        <w:spacing w:after="60" w:line="276"/>
      </w:pPr>
      <w:r>
        <w:rPr>
          <w:rFonts w:ascii="Calibri" w:cs="Calibri" w:eastAsia="Calibri" w:hAnsi="Calibri"/>
          <w:color w:val="1A1A1A"/>
          <w:sz w:val="21"/>
          <w:szCs w:val="21"/>
        </w:rPr>
        <w:t xml:space="preserve">La personalización comercial del documento entregable (logo, razón social, NIT, datos de contacto) con alcance limitado.</w:t>
      </w:r>
    </w:p>
    <w:p>
      <w:pPr>
        <w:pStyle w:val="Heading2"/>
        <w:spacing w:after="120" w:before="260"/>
      </w:pPr>
      <w:r>
        <w:rPr>
          <w:rFonts w:ascii="Calibri" w:cs="Calibri" w:eastAsia="Calibri" w:hAnsi="Calibri"/>
          <w:b/>
          <w:bCs/>
          <w:color w:val="1F3864"/>
          <w:sz w:val="25"/>
          <w:szCs w:val="25"/>
        </w:rPr>
        <w:t xml:space="preserve">9.2 Decisiones que no conviene repetir</w:t>
      </w:r>
    </w:p>
    <w:p>
      <w:pPr>
        <w:spacing w:after="120" w:line="276"/>
      </w:pPr>
      <w:r>
        <w:rPr>
          <w:rFonts w:ascii="Calibri" w:cs="Calibri" w:eastAsia="Calibri" w:hAnsi="Calibri"/>
          <w:color w:val="1A1A1A"/>
          <w:sz w:val="21"/>
          <w:szCs w:val="21"/>
        </w:rPr>
        <w:t xml:space="preserve">Se identificaron diecisiete hallazgos entre defectos, decisiones cuestionables y funciones que no deberían estar en manos del usuario final; nueve de ellos ya tienen solución adoptada y están resumidos en el capítulo 8. Cada uno se documenta en DOC-03 con su evidencia, su riesgo, un veredicto sugerido y una alternativa concreta, dejando la decisión final a criterio del propietario del producto.</w:t>
      </w:r>
    </w:p>
    <w:p>
      <w:pPr>
        <w:pBdr>
          <w:bottom w:val="single" w:color="BFBFBF" w:sz="6" w:space="1"/>
        </w:pBdr>
        <w:spacing w:after="160" w:before="80"/>
      </w:pPr>
    </w:p>
    <w:p>
      <w:pPr>
        <w:spacing w:after="120" w:line="276"/>
      </w:pPr>
      <w:r>
        <w:rPr>
          <w:rFonts w:ascii="Calibri" w:cs="Calibri" w:eastAsia="Calibri" w:hAnsi="Calibri"/>
          <w:i/>
          <w:iCs/>
          <w:color w:val="666666"/>
          <w:sz w:val="21"/>
          <w:szCs w:val="21"/>
        </w:rPr>
        <w:t xml:space="preserve">Fin del documento DOC-01. Continúa en DOC-02 «Historias de Usuario», DOC-03 «Anexo de hallazgos» y DOC-04 «Guía de Interfaz y Navegación».</w:t>
      </w:r>
    </w:p>
    <w:sectPr>
      <w:footerReference w:type="default" r:id="rId7"/>
      <w:pgSz w:w="12240" w:h="15840"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before="120"/>
      <w:jc w:val="center"/>
    </w:pPr>
    <w:r>
      <w:rPr>
        <w:rFonts w:ascii="Calibri" w:cs="Calibri" w:eastAsia="Calibri" w:hAnsi="Calibri"/>
        <w:color w:val="444444"/>
        <w:sz w:val="16"/>
        <w:szCs w:val="16"/>
      </w:rPr>
      <w:t xml:space="preserve">DOC-01 · Análisis Funcional y Técnico   |   Pág.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de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1F3864"/>
      </w:rPr>
    </w:lvl>
    <w:lvl w:ilvl="1" w15:tentative="1">
      <w:start w:val="1"/>
      <w:numFmt w:val="bullet"/>
      <w:lvlText w:val="○"/>
      <w:lvlJc w:val="left"/>
      <w:pPr>
        <w:ind w:left="760" w:hanging="200"/>
      </w:pPr>
      <w:rPr>
        <w:color w:val="8A6D1F"/>
      </w:rPr>
    </w:lvl>
    <w:lvl w:ilvl="2" w15:tentative="1">
      <w:start w:val="1"/>
      <w:numFmt w:val="bullet"/>
      <w:lvlText w:val="▪"/>
      <w:lvlJc w:val="left"/>
      <w:pPr>
        <w:ind w:left="1120" w:hanging="200"/>
      </w:pPr>
    </w:lvl>
  </w:abstractNum>
  <w:abstractNum w:abstractNumId="3" w15:restartNumberingAfterBreak="0">
    <w:multiLevelType w:val="hybridMultilevel"/>
    <w:lvl w:ilvl="0" w15:tentative="1">
      <w:start w:val="1"/>
      <w:numFmt w:val="decimal"/>
      <w:lvlText w:val="%1."/>
      <w:lvlJc w:val="left"/>
      <w:pPr>
        <w:ind w:left="400" w:hanging="220"/>
      </w:pPr>
      <w:rPr>
        <w:b/>
        <w:bCs/>
        <w:color w:val="1F3864"/>
      </w:r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Funcional y Técnico — Heres CostPro</dc:title>
  <dc:creator>Análisis de producto</dc:creator>
  <dc:description>Ingeniería inversa a partir de video demostrativo</dc:description>
  <cp:lastModifiedBy>Un-named</cp:lastModifiedBy>
  <cp:revision>1</cp:revision>
  <dcterms:created xsi:type="dcterms:W3CDTF">2026-08-07T20:14:40.134Z</dcterms:created>
  <dcterms:modified xsi:type="dcterms:W3CDTF">2026-08-07T20:14:40.134Z</dcterms:modified>
</cp:coreProperties>
</file>

<file path=docProps/custom.xml><?xml version="1.0" encoding="utf-8"?>
<Properties xmlns="http://schemas.openxmlformats.org/officeDocument/2006/custom-properties" xmlns:vt="http://schemas.openxmlformats.org/officeDocument/2006/docPropsVTypes"/>
</file>