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Improvement in joint-specific scores one year after hip and knee replacement: a two-site cohort study</w:t>
      </w:r>
    </w:p>
    <w:p>
      <w:pPr>
        <w:pStyle w:val="Subtitle"/>
      </w:pPr>
      <w:r>
        <w:t xml:space="preserve">Synthetic data for teaching. Every patient in this report is invented.</w:t>
      </w:r>
    </w:p>
    <w:bookmarkStart w:id="9" w:name="aim"/>
    <w:p>
      <w:pPr>
        <w:pStyle w:val="Heading2"/>
      </w:pPr>
      <w:r>
        <w:t xml:space="preserve">Aim</w:t>
      </w:r>
    </w:p>
    <w:p>
      <w:pPr>
        <w:pStyle w:val="FirstParagraph"/>
      </w:pPr>
      <w:r>
        <w:t xml:space="preserve">To compare the improvement in joint-specific patient-reported scores from before surgery to 1 year after primary total hip arthroplasty (THA) and total knee arthroplasty (TKA), and to describe the cumulative incidence of revision.</w:t>
      </w:r>
    </w:p>
    <w:bookmarkEnd w:id="9"/>
    <w:bookmarkStart w:id="10" w:name="methods"/>
    <w:p>
      <w:pPr>
        <w:pStyle w:val="Heading2"/>
      </w:pPr>
      <w:r>
        <w:t xml:space="preserve">Methods</w:t>
      </w:r>
    </w:p>
    <w:p>
      <w:pPr>
        <w:pStyle w:val="FirstParagraph"/>
      </w:pPr>
      <w:r>
        <w:rPr>
          <w:b/>
          <w:bCs/>
        </w:rPr>
        <w:t xml:space="preserve">Patients and data.</w:t>
      </w:r>
      <w:r>
        <w:t xml:space="preserve"> </w:t>
      </w:r>
      <w:r>
        <w:t xml:space="preserve">We studied 120 primary THAs and TKAs performed at two sites (60 at each) between January 2015 and November 2024. Patients’ characteristics, the procedure and patient-reported scores were abstracted from the medical record into a standard sheet. Follow-up for revision and death came from the joint registry, linked by study ID.</w:t>
      </w:r>
    </w:p>
    <w:p>
      <w:pPr>
        <w:pStyle w:val="BodyText"/>
      </w:pPr>
      <w:r>
        <w:rPr>
          <w:b/>
          <w:bCs/>
        </w:rPr>
        <w:t xml:space="preserve">Outcomes.</w:t>
      </w:r>
      <w:r>
        <w:t xml:space="preserve"> </w:t>
      </w:r>
      <w:r>
        <w:t xml:space="preserve">The primary outcome was the change in the joint-specific score from before surgery to 1 year: the HOOS JR after THA and the KOOS JR after TKA, each scored from 0 to 100 (higher is better). Because the two are different instruments, the comparison is of points on each joint’s own scale. The secondary outcome was revision of any component.</w:t>
      </w:r>
    </w:p>
    <w:p>
      <w:pPr>
        <w:pStyle w:val="BodyText"/>
      </w:pPr>
      <w:r>
        <w:rPr>
          <w:b/>
          <w:bCs/>
        </w:rPr>
        <w:t xml:space="preserve">Statistical analysis.</w:t>
      </w:r>
      <w:r>
        <w:t xml:space="preserve"> </w:t>
      </w:r>
      <w:r>
        <w:t xml:space="preserve">Continuous variables are reported as mean (SD) and categorical variables as n (%); differences between procedures at baseline are described with standardized mean differences. The change in score was compared between procedures with Welch’s t test in patients with both scores, and summarized as the mean difference with its 95% CI and Hedges’ g. For revision, time was measured from the date of surgery to revision, death without revision (a competing event) or the end of registry follow-up (censored). Median follow-up was estimated with the reverse Kaplan-Meier method. The cumulative incidence of revision was estimated with the Aalen-Johansen method, treating death as a competing risk. Tests were two-sided. Analyses used R 4.6 and Python 3.13.</w:t>
      </w:r>
    </w:p>
    <w:bookmarkEnd w:id="10"/>
    <w:bookmarkStart w:id="16" w:name="results"/>
    <w:p>
      <w:pPr>
        <w:pStyle w:val="Heading2"/>
      </w:pPr>
      <w:r>
        <w:t xml:space="preserve">Results</w:t>
      </w:r>
    </w:p>
    <w:p>
      <w:pPr>
        <w:pStyle w:val="FirstParagraph"/>
      </w:pPr>
      <w:r>
        <w:t xml:space="preserve">Of the 120 patients, 53 (44.2%) had a THA and 67 (55.8%) a TKA (</w:t>
      </w:r>
      <w:hyperlink w:anchor="tbl-baseline">
        <w:r>
          <w:rPr>
            <w:rStyle w:val="Hyperlink"/>
          </w:rPr>
          <w:t xml:space="preserve">Table 1</w:t>
        </w:r>
      </w:hyperlink>
      <w:r>
        <w:t xml:space="preserve">). THA patients were more often women (38 of 53, 71.7%, against 33 of 67, 49.3%; SMD 0.47), and TKA patients started with a pre-op score 2.9 points higher (51.0 against 48.1 points; SMD 0.26).</w:t>
      </w:r>
    </w:p>
    <w:p>
      <w:pPr>
        <w:pStyle w:val="BodyText"/>
      </w:pPr>
      <w:r>
        <w:t xml:space="preserve">Both scores were available for 93 patients (77.5%): 46 of 53 after THA (86.8%) and 47 of 67 after TKA (70.1%). The score improved by a mean of 42.4 points (SD 13.0) after THA and 33.4 points (SD 13.9) after TKA, a difference of 9.0 points (95% CI 3.5 to 14.6; Hedges’ g 0.66, 95% CI 0.25 to 1.08; p = 0.002). At 1 year, 15 of 46 THA patients (32.6%) and 7 of 47 TKA patients (14.9%) had the maximum score.</w:t>
      </w:r>
    </w:p>
    <w:p>
      <w:pPr>
        <w:pStyle w:val="BodyText"/>
      </w:pPr>
      <w:r>
        <w:t xml:space="preserve">Over a median follow-up of 6.05 years (IQR 4.16 to 8.27), 18 patients had a revision and 18 died without one. The cumulative incidence of revision was 3.4% (95% CI 1.1% to 7.8%) at 2 years and 12.6% (95% CI 7.0% to 19.8%) at 5 years (</w:t>
      </w:r>
      <w:hyperlink w:anchor="fig-revision">
        <w:r>
          <w:rPr>
            <w:rStyle w:val="Hyperlink"/>
          </w:rPr>
          <w:t xml:space="preserve">Figure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baselin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Patients’ characteristics before surgery, by procedure. Mean (SD) or n (%); SMD, absolute standardized mean difference.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4848"/>
              <w:gridCol w:w="1475"/>
              <w:gridCol w:w="1475"/>
              <w:gridCol w:w="900"/>
            </w:tblGrid>
            <w:tr>
              <w:trPr>
                <w:trHeight w:val="902" w:hRule="auto"/>
                <w:tblHeader/>
              </w:trPr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Characteristic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THA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 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 = 53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22"/>
                      <w:szCs w:val="22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TKA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 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 = 67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22"/>
                      <w:szCs w:val="22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SMD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22"/>
                      <w:szCs w:val="22"/>
                      <w:color w:val="000000"/>
                    </w:rPr>
                    <w:t xml:space="preserve">2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Age, years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64.4 (9.5)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64.9 (8.0)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0.05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Sex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0.47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Female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38 (72%)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33 (49%)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Male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 (28%)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34 (51%)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BMI, kg/m²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29.6 (5.6)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29.6 (5.0)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Missing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ASA class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0.29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 (13%)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 (7.7%)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29 (56%)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32 (49%)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 (31%)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28 (43%)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Missing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Diabetes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 (5.7%)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 (7.5%)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0.07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Hypertension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30 (57%)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34 (51%)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0.12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Sleep apnea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 (13%)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17 (25%)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0.31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Site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0.03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Site A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27 (51%)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33 (49%)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Site B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26 (49%)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34 (51%)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Pre-op score (HOOS JR or KOOS JR), points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48.1 (11.5)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51.0 (11.8)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0.26</w:t>
                  </w:r>
                </w:p>
              </w:tc>
            </w:tr>
            <w:tr>
              <w:trPr>
                <w:trHeight w:val="623" w:hRule="auto"/>
              </w:trPr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Missing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gridSpan w:val="4"/>
                  <w:tcBorders>
                    <w:bottom w:val="none" w:sz="0" w:space="0" w:color="FFFFFF"/>
                    <w:top w:val="single" w:sz="8" w:space="0" w:color="000000"/>
                    <w:left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22"/>
                      <w:szCs w:val="22"/>
                      <w:color w:val="000000"/>
                    </w:rPr>
                    <w:t xml:space="preserve">1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Mean (SD); n (%)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gridSpan w:val="4"/>
                  <w:tcBorders>
                    <w:bottom w:val="none" w:sz="0" w:space="0" w:color="FFFFFF"/>
                    <w:top w:val="none" w:sz="0" w:space="0" w:color="FFFFFF"/>
                    <w:left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22"/>
                      <w:szCs w:val="22"/>
                      <w:color w:val="000000"/>
                    </w:rPr>
                    <w:t xml:space="preserve">2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Standardized Mean Difference</w:t>
                  </w:r>
                </w:p>
              </w:tc>
            </w:tr>
          </w:tbl>
          <w:bookmarkEnd w:id="11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revision"/>
          <w:p>
            <w:pPr>
              <w:pStyle w:val="Compact"/>
              <w:jc w:val="center"/>
            </w:pPr>
            <w:r>
              <w:drawing>
                <wp:inline>
                  <wp:extent cx="5334000" cy="53340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18-example-report_files/figure-docx/fig-revision-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3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Cumulative incidence of revision, with death as a competing risk. The shaded band is the 95% CI.</w:t>
            </w:r>
          </w:p>
          <w:bookmarkEnd w:id="15"/>
        </w:tc>
      </w:tr>
    </w:tbl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Improvement in joint-specific scores one year after hip and knee replacement: a two-site cohort study</dc:title>
  <dc:creator/>
  <dc:description>A complete mini-study, from the raw abstraction workbook to a manuscript’s Methods and Results, with a Word version to download.</dc:description>
  <cp:keywords/>
  <dcterms:created xsi:type="dcterms:W3CDTF">2026-10-06T13:33:41Z</dcterms:created>
  <dcterms:modified xsi:type="dcterms:W3CDTF">2026-10-06T13:33:41Z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knitr">
    <vt:lpwstr/>
  </property>
  <property fmtid="{D5CDD505-2E9C-101B-9397-08002B2CF9AE}" pid="8" name="labels">
    <vt:lpwstr/>
  </property>
  <property fmtid="{D5CDD505-2E9C-101B-9397-08002B2CF9AE}" pid="9" name="subtitle">
    <vt:lpwstr>Synthetic data for teaching. Every patient in this report is invented.</vt:lpwstr>
  </property>
  <property fmtid="{D5CDD505-2E9C-101B-9397-08002B2CF9AE}" pid="10" name="toc-title">
    <vt:lpwstr>Table of contents</vt:lpwstr>
  </property>
</Properties>
</file>