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AC1F7" w14:textId="77777777" w:rsidR="00093E3F" w:rsidRDefault="00B3016F" w:rsidP="00093E3F">
      <w:pPr>
        <w:pStyle w:val="1"/>
      </w:pPr>
      <w:sdt>
        <w:sdtPr>
          <w:id w:val="-482389030"/>
          <w:docPartObj>
            <w:docPartGallery w:val="Cover Pages"/>
            <w:docPartUnique/>
          </w:docPartObj>
        </w:sdtPr>
        <w:sdtEndPr/>
        <w:sdtContent>
          <w:r w:rsidR="00EE2BB2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2814AA02" wp14:editId="3BCAD5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8033C" w14:textId="77777777" w:rsidR="00EE2BB2" w:rsidRDefault="00B3016F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afc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fc"/>
                                    </w:rPr>
                                  </w:sdtEndPr>
                                  <w:sdtContent>
                                    <w:r w:rsidR="00303642">
                                      <w:rPr>
                                        <w:rStyle w:val="afc"/>
                                      </w:rPr>
                                      <w:t>Руководство по установке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fe"/>
                                    <w:caps w:val="0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4870E558" w14:textId="77777777" w:rsidR="00EE2BB2" w:rsidRDefault="00303642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03642">
                                      <w:rPr>
                                        <w:rStyle w:val="afe"/>
                                        <w:caps w:val="0"/>
                                        <w:lang w:val="en-US"/>
                                      </w:rPr>
                                      <w:t>TotalApi</w:t>
                                    </w:r>
                                  </w:p>
                                </w:sdtContent>
                              </w:sdt>
                              <w:p w14:paraId="2E1B44ED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14AA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5824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4208033C" w14:textId="77777777" w:rsidR="00EE2BB2" w:rsidRDefault="00921D1C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afc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afc"/>
                              </w:rPr>
                            </w:sdtEndPr>
                            <w:sdtContent>
                              <w:r w:rsidR="00303642">
                                <w:rPr>
                                  <w:rStyle w:val="afc"/>
                                </w:rPr>
                                <w:t>Руководство по установке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fe"/>
                              <w:caps w:val="0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4870E558" w14:textId="77777777" w:rsidR="00EE2BB2" w:rsidRDefault="00303642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03642">
                                <w:rPr>
                                  <w:rStyle w:val="afe"/>
                                  <w:caps w:val="0"/>
                                  <w:lang w:val="en-US"/>
                                </w:rPr>
                                <w:t>TotalApi</w:t>
                              </w:r>
                            </w:p>
                          </w:sdtContent>
                        </w:sdt>
                        <w:p w14:paraId="2E1B44ED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EE2BB2">
        <w:br w:type="page"/>
      </w:r>
    </w:p>
    <w:p w14:paraId="5B2EDFF9" w14:textId="0BC05EDB" w:rsidR="00093E3F" w:rsidRDefault="00093E3F" w:rsidP="00093E3F">
      <w:pPr>
        <w:pStyle w:val="1"/>
      </w:pPr>
      <w:r>
        <w:lastRenderedPageBreak/>
        <w:t>Программные требования</w:t>
      </w:r>
    </w:p>
    <w:p w14:paraId="6E039F1E" w14:textId="5649191C" w:rsidR="00093E3F" w:rsidRDefault="00093E3F" w:rsidP="00093E3F">
      <w:r>
        <w:t xml:space="preserve">Для развёртывания платформы </w:t>
      </w:r>
      <w:r w:rsidRPr="00093E3F">
        <w:rPr>
          <w:b/>
          <w:lang w:val="en-US"/>
        </w:rPr>
        <w:t>TotalApi</w:t>
      </w:r>
      <w:r>
        <w:t xml:space="preserve"> требуется среда для программных сервисов</w:t>
      </w:r>
      <w:r w:rsidR="00F67246">
        <w:t>,</w:t>
      </w:r>
      <w:r>
        <w:t xml:space="preserve"> телематической базы данных</w:t>
      </w:r>
      <w:r w:rsidR="00F67246">
        <w:t xml:space="preserve"> и сбора/визуализации статистики</w:t>
      </w:r>
      <w:r>
        <w:t xml:space="preserve">. </w:t>
      </w:r>
      <w:r w:rsidR="00F67246">
        <w:t>Все</w:t>
      </w:r>
      <w:r>
        <w:t xml:space="preserve"> эти части могут быть размещены как на одном сервере, так и на разных. </w:t>
      </w:r>
    </w:p>
    <w:p w14:paraId="34F6985E" w14:textId="71556DC8" w:rsidR="00093E3F" w:rsidRPr="00F02718" w:rsidRDefault="00093E3F" w:rsidP="00F67246">
      <w:pPr>
        <w:pStyle w:val="2"/>
        <w:spacing w:before="240"/>
      </w:pPr>
      <w:r>
        <w:t xml:space="preserve">Сервисы </w:t>
      </w:r>
      <w:r w:rsidR="00211BB9">
        <w:rPr>
          <w:lang w:val="en-US"/>
        </w:rPr>
        <w:t>TotalApi</w:t>
      </w:r>
    </w:p>
    <w:p w14:paraId="476DA5C2" w14:textId="1448829C" w:rsidR="00093E3F" w:rsidRPr="00F67246" w:rsidRDefault="00093E3F" w:rsidP="00093E3F">
      <w:pPr>
        <w:rPr>
          <w:lang w:val="sq-AL"/>
        </w:rPr>
      </w:pPr>
      <w:r w:rsidRPr="00F67246">
        <w:rPr>
          <w:b/>
          <w:lang w:val="sq-AL"/>
        </w:rPr>
        <w:t>Операционная система:</w:t>
      </w:r>
      <w:r w:rsidRPr="00F67246">
        <w:rPr>
          <w:lang w:val="sq-AL"/>
        </w:rPr>
        <w:t xml:space="preserve"> Microsoft Windows Server  2014+</w:t>
      </w:r>
    </w:p>
    <w:p w14:paraId="3CC74FDF" w14:textId="6559FF31" w:rsidR="004B4CBA" w:rsidRPr="00F67246" w:rsidRDefault="004B4CBA" w:rsidP="00093E3F">
      <w:pPr>
        <w:rPr>
          <w:lang w:val="sq-AL"/>
        </w:rPr>
      </w:pPr>
      <w:r w:rsidRPr="00F67246">
        <w:rPr>
          <w:b/>
          <w:lang w:val="sq-AL"/>
        </w:rPr>
        <w:t>.NET Framework:</w:t>
      </w:r>
      <w:r w:rsidRPr="00F67246">
        <w:rPr>
          <w:lang w:val="sq-AL"/>
        </w:rPr>
        <w:t xml:space="preserve"> 4.7</w:t>
      </w:r>
      <w:r w:rsidR="007702D7">
        <w:rPr>
          <w:lang w:val="sq-AL"/>
        </w:rPr>
        <w:t>.2</w:t>
      </w:r>
    </w:p>
    <w:p w14:paraId="1B470BD5" w14:textId="77777777" w:rsidR="009B3B9E" w:rsidRDefault="009B3B9E" w:rsidP="009B3B9E">
      <w:r w:rsidRPr="00211BB9">
        <w:rPr>
          <w:b/>
        </w:rPr>
        <w:t>Сетевой доступ:</w:t>
      </w:r>
      <w:r>
        <w:t xml:space="preserve"> должен быть обеспечен внешний доступ на выделенный </w:t>
      </w:r>
      <w:r>
        <w:rPr>
          <w:lang w:val="en-US"/>
        </w:rPr>
        <w:t>IP</w:t>
      </w:r>
      <w:r w:rsidRPr="00211BB9">
        <w:t>-</w:t>
      </w:r>
      <w:r>
        <w:rPr>
          <w:lang w:val="uk-UA"/>
        </w:rPr>
        <w:t xml:space="preserve">адрес для </w:t>
      </w:r>
      <w:r w:rsidRPr="009B3B9E">
        <w:rPr>
          <w:i/>
        </w:rPr>
        <w:t>входящих</w:t>
      </w:r>
      <w:r>
        <w:rPr>
          <w:lang w:val="uk-UA"/>
        </w:rPr>
        <w:t xml:space="preserve"> </w:t>
      </w:r>
      <w:r w:rsidRPr="00211BB9">
        <w:t>соединений</w:t>
      </w:r>
      <w:r>
        <w:rPr>
          <w:lang w:val="uk-UA"/>
        </w:rPr>
        <w:t xml:space="preserve"> на </w:t>
      </w:r>
      <w:r>
        <w:t>порты, по которым будут приходить данные с устройств слежения. (Обычно один порт на каждый тип трекера).</w:t>
      </w:r>
    </w:p>
    <w:p w14:paraId="0F9DB8FB" w14:textId="250640F8" w:rsidR="009B3B9E" w:rsidRDefault="009B3B9E" w:rsidP="009B3B9E">
      <w:r>
        <w:t xml:space="preserve">Доступ к серверу для </w:t>
      </w:r>
      <w:r w:rsidRPr="009B3B9E">
        <w:rPr>
          <w:i/>
        </w:rPr>
        <w:t>входящих</w:t>
      </w:r>
      <w:r>
        <w:t xml:space="preserve"> соединений на выбранный порт, по которому сторонние приложения будут взаимодействовать с сервисами </w:t>
      </w:r>
      <w:r w:rsidRPr="009B0487">
        <w:rPr>
          <w:lang w:val="en-US"/>
        </w:rPr>
        <w:t>TotalApi</w:t>
      </w:r>
      <w:r w:rsidRPr="009B3B9E">
        <w:t>. (</w:t>
      </w:r>
      <w:r>
        <w:t xml:space="preserve">Если все приложения будут находиться в одной локальной сети с сервисами </w:t>
      </w:r>
      <w:r w:rsidRPr="009B0487">
        <w:rPr>
          <w:lang w:val="en-US"/>
        </w:rPr>
        <w:t>TotalApi</w:t>
      </w:r>
      <w:r w:rsidRPr="009B3B9E">
        <w:t xml:space="preserve"> – </w:t>
      </w:r>
      <w:r>
        <w:t>достаточно внутреннего доступа).</w:t>
      </w:r>
    </w:p>
    <w:p w14:paraId="7BF74128" w14:textId="6B8EF580" w:rsidR="009B3B9E" w:rsidRDefault="009B3B9E" w:rsidP="009B3B9E">
      <w:r>
        <w:t xml:space="preserve">Доступ к базе телематической данных для </w:t>
      </w:r>
      <w:r w:rsidRPr="009B3B9E">
        <w:rPr>
          <w:i/>
        </w:rPr>
        <w:t>исходящих</w:t>
      </w:r>
      <w:r>
        <w:t xml:space="preserve"> соединений на порт </w:t>
      </w:r>
      <w:r w:rsidRPr="009B3B9E">
        <w:rPr>
          <w:b/>
        </w:rPr>
        <w:t>9042</w:t>
      </w:r>
      <w:r>
        <w:t>.</w:t>
      </w:r>
      <w:r w:rsidR="009B0487" w:rsidRPr="009B0487">
        <w:t xml:space="preserve"> </w:t>
      </w:r>
      <w:r w:rsidR="009B0487" w:rsidRPr="009B3B9E">
        <w:t>(</w:t>
      </w:r>
      <w:r w:rsidR="009B0487">
        <w:t xml:space="preserve">Если сервер телематической базы данных будет находиться в одной локальной сети с сервисами </w:t>
      </w:r>
      <w:r w:rsidR="009B0487" w:rsidRPr="009B0487">
        <w:rPr>
          <w:lang w:val="en-US"/>
        </w:rPr>
        <w:t>TotalApi</w:t>
      </w:r>
      <w:r w:rsidR="009B0487" w:rsidRPr="009B3B9E">
        <w:t xml:space="preserve"> – </w:t>
      </w:r>
      <w:r w:rsidR="009B0487">
        <w:t>достаточно внутреннего доступа).</w:t>
      </w:r>
    </w:p>
    <w:p w14:paraId="56B76448" w14:textId="281B0E7E" w:rsidR="009B0487" w:rsidRPr="009B3B9E" w:rsidRDefault="009B0487" w:rsidP="009B0487">
      <w:r>
        <w:t xml:space="preserve">Доступ к серверу статистики для </w:t>
      </w:r>
      <w:r w:rsidRPr="009B3B9E">
        <w:rPr>
          <w:i/>
        </w:rPr>
        <w:t>исходящих</w:t>
      </w:r>
      <w:r>
        <w:t xml:space="preserve"> соединений на порты, указанные в настройках </w:t>
      </w:r>
      <w:r>
        <w:rPr>
          <w:lang w:val="en-US"/>
        </w:rPr>
        <w:t>InfluxDb</w:t>
      </w:r>
      <w:r w:rsidRPr="009B0487">
        <w:t xml:space="preserve">. </w:t>
      </w:r>
      <w:r w:rsidRPr="009B3B9E">
        <w:t>(</w:t>
      </w:r>
      <w:r>
        <w:t xml:space="preserve">Если сервер статистики будет находиться в одной локальной сети с сервисами </w:t>
      </w:r>
      <w:r w:rsidRPr="009B0487">
        <w:rPr>
          <w:lang w:val="en-US"/>
        </w:rPr>
        <w:t>TotalApi</w:t>
      </w:r>
      <w:r w:rsidRPr="009B3B9E">
        <w:t xml:space="preserve"> – </w:t>
      </w:r>
      <w:r>
        <w:t>достаточно внутреннего доступа).</w:t>
      </w:r>
    </w:p>
    <w:p w14:paraId="31640431" w14:textId="5A5548BD" w:rsidR="004B4CBA" w:rsidRPr="00F67246" w:rsidRDefault="004B4CBA" w:rsidP="00F67246">
      <w:pPr>
        <w:pStyle w:val="2"/>
        <w:spacing w:before="240"/>
        <w:rPr>
          <w:lang w:val="sq-AL"/>
        </w:rPr>
      </w:pPr>
      <w:r w:rsidRPr="00F67246">
        <w:rPr>
          <w:lang w:val="sq-AL"/>
        </w:rPr>
        <w:t>Телематическая база данных</w:t>
      </w:r>
    </w:p>
    <w:p w14:paraId="3F3AAF9A" w14:textId="545B6602" w:rsidR="004B4CBA" w:rsidRPr="00F67246" w:rsidRDefault="004B4CBA" w:rsidP="004B4CBA">
      <w:pPr>
        <w:rPr>
          <w:lang w:val="sq-AL"/>
        </w:rPr>
      </w:pPr>
      <w:r w:rsidRPr="00F67246">
        <w:rPr>
          <w:b/>
          <w:lang w:val="sq-AL"/>
        </w:rPr>
        <w:t>Операционная система:</w:t>
      </w:r>
      <w:r w:rsidRPr="00F67246">
        <w:rPr>
          <w:lang w:val="sq-AL"/>
        </w:rPr>
        <w:t xml:space="preserve"> </w:t>
      </w:r>
      <w:bookmarkStart w:id="0" w:name="_GoBack"/>
      <w:r w:rsidRPr="00F67246">
        <w:rPr>
          <w:lang w:val="sq-AL"/>
        </w:rPr>
        <w:t>Linux, CentOS, Microsoft Windows Server  2014+</w:t>
      </w:r>
      <w:bookmarkEnd w:id="0"/>
    </w:p>
    <w:p w14:paraId="51653B9C" w14:textId="706A184D" w:rsidR="004B4CBA" w:rsidRDefault="004B4CBA" w:rsidP="004B4CBA">
      <w:pPr>
        <w:rPr>
          <w:lang w:val="sq-AL"/>
        </w:rPr>
      </w:pPr>
      <w:r w:rsidRPr="00F67246">
        <w:rPr>
          <w:b/>
          <w:lang w:val="sq-AL"/>
        </w:rPr>
        <w:t>Сервер базы данных:</w:t>
      </w:r>
      <w:r w:rsidRPr="00F67246">
        <w:rPr>
          <w:lang w:val="sq-AL"/>
        </w:rPr>
        <w:t xml:space="preserve"> Apache Cassandra 3.x (</w:t>
      </w:r>
      <w:hyperlink r:id="rId8" w:history="1">
        <w:r w:rsidRPr="00F67246">
          <w:rPr>
            <w:rStyle w:val="ab"/>
            <w:lang w:val="sq-AL"/>
          </w:rPr>
          <w:t>https://cassandra.apache.org/</w:t>
        </w:r>
      </w:hyperlink>
      <w:r w:rsidRPr="00F67246">
        <w:rPr>
          <w:lang w:val="sq-AL"/>
        </w:rPr>
        <w:t>)</w:t>
      </w:r>
    </w:p>
    <w:p w14:paraId="40715FDF" w14:textId="534A2686" w:rsidR="009B0487" w:rsidRDefault="009B0487" w:rsidP="009B0487">
      <w:r w:rsidRPr="00211BB9">
        <w:rPr>
          <w:b/>
        </w:rPr>
        <w:t>Сетевой доступ:</w:t>
      </w:r>
      <w:r>
        <w:t xml:space="preserve"> доступ к серверу статистики для </w:t>
      </w:r>
      <w:r w:rsidRPr="009B3B9E">
        <w:rPr>
          <w:i/>
        </w:rPr>
        <w:t>исходящих</w:t>
      </w:r>
      <w:r>
        <w:t xml:space="preserve"> соединений на порты, указанные в настройках </w:t>
      </w:r>
      <w:r>
        <w:rPr>
          <w:lang w:val="en-US"/>
        </w:rPr>
        <w:t>InfluxDb</w:t>
      </w:r>
      <w:r w:rsidRPr="009B0487">
        <w:t xml:space="preserve">. </w:t>
      </w:r>
      <w:r w:rsidRPr="009B3B9E">
        <w:t>(</w:t>
      </w:r>
      <w:r>
        <w:t>Если сервер статистики будет находиться в одной локальной сети с телематической базы данных</w:t>
      </w:r>
      <w:r w:rsidRPr="009B3B9E">
        <w:t xml:space="preserve"> – </w:t>
      </w:r>
      <w:r>
        <w:t>достаточно внутреннего доступа).</w:t>
      </w:r>
    </w:p>
    <w:p w14:paraId="1EE91E64" w14:textId="4FE28767" w:rsidR="00F67246" w:rsidRPr="00F67246" w:rsidRDefault="00F67246" w:rsidP="009B0487">
      <w:pPr>
        <w:pStyle w:val="2"/>
        <w:spacing w:before="240"/>
        <w:rPr>
          <w:lang w:val="sq-AL"/>
        </w:rPr>
      </w:pPr>
      <w:r w:rsidRPr="00F67246">
        <w:rPr>
          <w:lang w:val="sq-AL"/>
        </w:rPr>
        <w:t>Сбор и визуализация статистики (опционально)</w:t>
      </w:r>
    </w:p>
    <w:p w14:paraId="0496D9E1" w14:textId="77777777" w:rsidR="00F67246" w:rsidRPr="00F67246" w:rsidRDefault="00F67246" w:rsidP="00F67246">
      <w:pPr>
        <w:rPr>
          <w:lang w:val="sq-AL"/>
        </w:rPr>
      </w:pPr>
      <w:r w:rsidRPr="00F67246">
        <w:rPr>
          <w:b/>
          <w:lang w:val="sq-AL"/>
        </w:rPr>
        <w:t>Операционная система:</w:t>
      </w:r>
      <w:r w:rsidRPr="00F67246">
        <w:rPr>
          <w:lang w:val="sq-AL"/>
        </w:rPr>
        <w:t xml:space="preserve"> Linux, CentOS, Microsoft Windows Server  2014+</w:t>
      </w:r>
    </w:p>
    <w:p w14:paraId="563C2875" w14:textId="046781B1" w:rsidR="004B4CBA" w:rsidRPr="00F67246" w:rsidRDefault="004B4CBA" w:rsidP="004B4CBA">
      <w:pPr>
        <w:rPr>
          <w:lang w:val="sq-AL"/>
        </w:rPr>
      </w:pPr>
      <w:r w:rsidRPr="00F67246">
        <w:rPr>
          <w:b/>
          <w:lang w:val="sq-AL"/>
        </w:rPr>
        <w:t>База для сбора статистики:</w:t>
      </w:r>
      <w:r w:rsidRPr="00F67246">
        <w:rPr>
          <w:lang w:val="sq-AL"/>
        </w:rPr>
        <w:t xml:space="preserve"> InfluxDb (</w:t>
      </w:r>
      <w:hyperlink r:id="rId9" w:history="1">
        <w:r w:rsidRPr="00F67246">
          <w:rPr>
            <w:rStyle w:val="ab"/>
            <w:lang w:val="sq-AL"/>
          </w:rPr>
          <w:t>https://www.influxdata.com/</w:t>
        </w:r>
      </w:hyperlink>
      <w:r w:rsidRPr="00F67246">
        <w:rPr>
          <w:lang w:val="sq-AL"/>
        </w:rPr>
        <w:t>)</w:t>
      </w:r>
    </w:p>
    <w:p w14:paraId="7FFC9B5A" w14:textId="3EE72B1E" w:rsidR="00F67246" w:rsidRPr="00F67246" w:rsidRDefault="00F67246" w:rsidP="00F67246">
      <w:pPr>
        <w:rPr>
          <w:lang w:val="sq-AL"/>
        </w:rPr>
      </w:pPr>
      <w:r w:rsidRPr="00F67246">
        <w:rPr>
          <w:b/>
          <w:lang w:val="sq-AL"/>
        </w:rPr>
        <w:t>Визуализация статистики:</w:t>
      </w:r>
      <w:r w:rsidRPr="00F67246">
        <w:rPr>
          <w:lang w:val="sq-AL"/>
        </w:rPr>
        <w:t xml:space="preserve"> Chronograf (</w:t>
      </w:r>
      <w:hyperlink r:id="rId10" w:history="1">
        <w:r w:rsidRPr="00F67246">
          <w:rPr>
            <w:rStyle w:val="ab"/>
            <w:lang w:val="sq-AL"/>
          </w:rPr>
          <w:t>https://www.influxdata.com/time-series-platform/chronograf/</w:t>
        </w:r>
      </w:hyperlink>
      <w:r w:rsidRPr="00F67246">
        <w:rPr>
          <w:lang w:val="sq-AL"/>
        </w:rPr>
        <w:t>)</w:t>
      </w:r>
    </w:p>
    <w:p w14:paraId="456DE634" w14:textId="4CB7D936" w:rsidR="00F67246" w:rsidRPr="00F67246" w:rsidRDefault="00F67246" w:rsidP="00F67246">
      <w:pPr>
        <w:rPr>
          <w:lang w:val="sq-AL"/>
        </w:rPr>
      </w:pPr>
      <w:r w:rsidRPr="00F67246">
        <w:rPr>
          <w:b/>
          <w:lang w:val="sq-AL"/>
        </w:rPr>
        <w:t>Уведомления о событиях:</w:t>
      </w:r>
      <w:r w:rsidRPr="00F67246">
        <w:rPr>
          <w:lang w:val="sq-AL"/>
        </w:rPr>
        <w:t xml:space="preserve"> Kapacitor (</w:t>
      </w:r>
      <w:hyperlink r:id="rId11" w:history="1">
        <w:r w:rsidRPr="00F67246">
          <w:rPr>
            <w:rStyle w:val="ab"/>
            <w:lang w:val="sq-AL"/>
          </w:rPr>
          <w:t>https://www.influxdata.com/time-series-platform/kapacitor/</w:t>
        </w:r>
      </w:hyperlink>
      <w:r w:rsidRPr="00F67246">
        <w:rPr>
          <w:lang w:val="sq-AL"/>
        </w:rPr>
        <w:t>)</w:t>
      </w:r>
    </w:p>
    <w:p w14:paraId="7B2648DC" w14:textId="0C21F35F" w:rsidR="00F67246" w:rsidRPr="00F67246" w:rsidRDefault="00F67246" w:rsidP="00F67246">
      <w:pPr>
        <w:rPr>
          <w:lang w:val="sq-AL"/>
        </w:rPr>
      </w:pPr>
      <w:r w:rsidRPr="00F67246">
        <w:rPr>
          <w:b/>
          <w:lang w:val="sq-AL"/>
        </w:rPr>
        <w:t>Сбор системной статистики:</w:t>
      </w:r>
      <w:r w:rsidRPr="00F67246">
        <w:rPr>
          <w:lang w:val="sq-AL"/>
        </w:rPr>
        <w:t xml:space="preserve"> Telegraf (</w:t>
      </w:r>
      <w:hyperlink r:id="rId12" w:history="1">
        <w:r w:rsidRPr="00F67246">
          <w:rPr>
            <w:rStyle w:val="ab"/>
            <w:lang w:val="sq-AL"/>
          </w:rPr>
          <w:t>https://www.influxdata.com/time-series-platform/telegraf/</w:t>
        </w:r>
      </w:hyperlink>
      <w:r w:rsidRPr="00F67246">
        <w:rPr>
          <w:lang w:val="sq-AL"/>
        </w:rPr>
        <w:t>)</w:t>
      </w:r>
    </w:p>
    <w:p w14:paraId="14D4607E" w14:textId="77777777" w:rsidR="004B4CBA" w:rsidRPr="004B4CBA" w:rsidRDefault="004B4CBA" w:rsidP="004B4CBA">
      <w:pPr>
        <w:rPr>
          <w:lang w:val="sq-AL"/>
        </w:rPr>
      </w:pPr>
    </w:p>
    <w:p w14:paraId="67AF0CAC" w14:textId="338046F4" w:rsidR="00093E3F" w:rsidRDefault="00093E3F" w:rsidP="00093E3F">
      <w:pPr>
        <w:pStyle w:val="1"/>
      </w:pPr>
      <w:r>
        <w:lastRenderedPageBreak/>
        <w:t>Аппаратные требования</w:t>
      </w:r>
    </w:p>
    <w:p w14:paraId="592C844E" w14:textId="77777777" w:rsidR="00211BB9" w:rsidRPr="005A42F8" w:rsidRDefault="00211BB9" w:rsidP="00211BB9">
      <w:pPr>
        <w:pStyle w:val="2"/>
        <w:spacing w:before="240"/>
      </w:pPr>
      <w:r>
        <w:t xml:space="preserve">Сервисы </w:t>
      </w:r>
      <w:r>
        <w:rPr>
          <w:lang w:val="en-US"/>
        </w:rPr>
        <w:t>TotalApi</w:t>
      </w:r>
    </w:p>
    <w:p w14:paraId="1A0A0948" w14:textId="59DAD657" w:rsidR="00211BB9" w:rsidRDefault="00211BB9" w:rsidP="00211BB9">
      <w:r w:rsidRPr="005A42F8">
        <w:rPr>
          <w:b/>
        </w:rPr>
        <w:t>Оперативная память:</w:t>
      </w:r>
      <w:r w:rsidR="005A42F8">
        <w:t xml:space="preserve"> </w:t>
      </w:r>
      <w:r w:rsidR="005A42F8" w:rsidRPr="005A42F8">
        <w:t xml:space="preserve">16+ </w:t>
      </w:r>
      <w:r w:rsidR="005A42F8">
        <w:rPr>
          <w:lang w:val="en-US"/>
        </w:rPr>
        <w:t>Gb</w:t>
      </w:r>
    </w:p>
    <w:p w14:paraId="79E53959" w14:textId="788B7822" w:rsidR="00211BB9" w:rsidRPr="00170289" w:rsidRDefault="00211BB9" w:rsidP="00211BB9">
      <w:r w:rsidRPr="005A42F8">
        <w:rPr>
          <w:b/>
        </w:rPr>
        <w:t>Процессор:</w:t>
      </w:r>
      <w:r w:rsidR="005A42F8" w:rsidRPr="00170289">
        <w:t xml:space="preserve"> </w:t>
      </w:r>
      <w:r w:rsidR="005A42F8">
        <w:rPr>
          <w:lang w:val="en-US"/>
        </w:rPr>
        <w:t>Intel</w:t>
      </w:r>
      <w:r w:rsidR="005A42F8" w:rsidRPr="00170289">
        <w:t xml:space="preserve"> </w:t>
      </w:r>
      <w:r w:rsidR="005A42F8">
        <w:rPr>
          <w:lang w:val="en-US"/>
        </w:rPr>
        <w:t>Xeon</w:t>
      </w:r>
      <w:r w:rsidR="005A42F8" w:rsidRPr="00170289">
        <w:t xml:space="preserve"> 4</w:t>
      </w:r>
      <w:r w:rsidR="005A42F8">
        <w:rPr>
          <w:lang w:val="en-US"/>
        </w:rPr>
        <w:t>x</w:t>
      </w:r>
      <w:r w:rsidR="005A42F8" w:rsidRPr="00170289">
        <w:t xml:space="preserve">3 </w:t>
      </w:r>
      <w:r w:rsidR="005A42F8">
        <w:rPr>
          <w:lang w:val="en-US"/>
        </w:rPr>
        <w:t>GHz</w:t>
      </w:r>
    </w:p>
    <w:p w14:paraId="00CD1203" w14:textId="77777777" w:rsidR="00211BB9" w:rsidRPr="00F67246" w:rsidRDefault="00211BB9" w:rsidP="00211BB9">
      <w:pPr>
        <w:pStyle w:val="2"/>
        <w:spacing w:before="240"/>
        <w:rPr>
          <w:lang w:val="sq-AL"/>
        </w:rPr>
      </w:pPr>
      <w:r w:rsidRPr="00F67246">
        <w:rPr>
          <w:lang w:val="sq-AL"/>
        </w:rPr>
        <w:t>Телематическая база данных</w:t>
      </w:r>
    </w:p>
    <w:p w14:paraId="5190F2AA" w14:textId="77777777" w:rsidR="005A42F8" w:rsidRDefault="005A42F8" w:rsidP="005A42F8">
      <w:r w:rsidRPr="005A42F8">
        <w:rPr>
          <w:b/>
        </w:rPr>
        <w:t>Оперативная память:</w:t>
      </w:r>
      <w:r>
        <w:t xml:space="preserve"> </w:t>
      </w:r>
      <w:r w:rsidRPr="005A42F8">
        <w:t xml:space="preserve">16+ </w:t>
      </w:r>
      <w:r>
        <w:rPr>
          <w:lang w:val="en-US"/>
        </w:rPr>
        <w:t>Gb</w:t>
      </w:r>
    </w:p>
    <w:p w14:paraId="40BA3F2C" w14:textId="6654309E" w:rsidR="005A42F8" w:rsidRPr="00F02718" w:rsidRDefault="005A42F8" w:rsidP="005A42F8">
      <w:r w:rsidRPr="005A42F8">
        <w:rPr>
          <w:b/>
        </w:rPr>
        <w:t>Процессор:</w:t>
      </w:r>
      <w:r w:rsidRPr="005A42F8">
        <w:t xml:space="preserve"> </w:t>
      </w:r>
      <w:r>
        <w:rPr>
          <w:lang w:val="en-US"/>
        </w:rPr>
        <w:t>Intel</w:t>
      </w:r>
      <w:r w:rsidRPr="005A42F8">
        <w:t xml:space="preserve"> </w:t>
      </w:r>
      <w:r>
        <w:rPr>
          <w:lang w:val="en-US"/>
        </w:rPr>
        <w:t>Xeon</w:t>
      </w:r>
      <w:r w:rsidRPr="005A42F8">
        <w:t xml:space="preserve"> 4</w:t>
      </w:r>
      <w:r>
        <w:rPr>
          <w:lang w:val="en-US"/>
        </w:rPr>
        <w:t>x</w:t>
      </w:r>
      <w:r w:rsidRPr="005A42F8">
        <w:t xml:space="preserve">3 </w:t>
      </w:r>
      <w:r>
        <w:rPr>
          <w:lang w:val="en-US"/>
        </w:rPr>
        <w:t>GHz</w:t>
      </w:r>
    </w:p>
    <w:p w14:paraId="46DA0626" w14:textId="16B860A1" w:rsidR="005A42F8" w:rsidRPr="005A42F8" w:rsidRDefault="005A42F8" w:rsidP="005A42F8">
      <w:r w:rsidRPr="005A42F8">
        <w:rPr>
          <w:b/>
        </w:rPr>
        <w:t>Дисковое пространство:</w:t>
      </w:r>
      <w:r>
        <w:t xml:space="preserve"> зависит от количества и времени хранения координат.</w:t>
      </w:r>
      <w:r w:rsidR="00170289">
        <w:t xml:space="preserve"> </w:t>
      </w:r>
      <w:r w:rsidR="00C468BE">
        <w:t xml:space="preserve">Для примерной оценки: 200 устройств, передающих данные раз в 2 секунды – </w:t>
      </w:r>
      <w:r w:rsidR="00C468BE" w:rsidRPr="00C468BE">
        <w:rPr>
          <w:b/>
        </w:rPr>
        <w:t xml:space="preserve">13 </w:t>
      </w:r>
      <w:r w:rsidR="00C468BE" w:rsidRPr="00C468BE">
        <w:rPr>
          <w:b/>
          <w:lang w:val="en-US"/>
        </w:rPr>
        <w:t>M</w:t>
      </w:r>
      <w:r w:rsidR="00C468BE">
        <w:rPr>
          <w:b/>
          <w:lang w:val="en-US"/>
        </w:rPr>
        <w:t>B</w:t>
      </w:r>
      <w:r w:rsidR="00C468BE" w:rsidRPr="00C468BE">
        <w:rPr>
          <w:b/>
        </w:rPr>
        <w:t>/</w:t>
      </w:r>
      <w:r w:rsidR="00C468BE">
        <w:rPr>
          <w:b/>
        </w:rPr>
        <w:t>день</w:t>
      </w:r>
      <w:r w:rsidR="00C468BE" w:rsidRPr="00C468BE">
        <w:t>.</w:t>
      </w:r>
    </w:p>
    <w:p w14:paraId="19B7CBE6" w14:textId="55401F6E" w:rsidR="00211BB9" w:rsidRDefault="00211BB9" w:rsidP="005A42F8">
      <w:pPr>
        <w:pStyle w:val="2"/>
        <w:spacing w:before="240"/>
        <w:rPr>
          <w:lang w:val="sq-AL"/>
        </w:rPr>
      </w:pPr>
      <w:r w:rsidRPr="00F67246">
        <w:rPr>
          <w:lang w:val="sq-AL"/>
        </w:rPr>
        <w:t>Сбор и визуализация статистики (опционально)</w:t>
      </w:r>
    </w:p>
    <w:p w14:paraId="1CD3DB3F" w14:textId="4A15150E" w:rsidR="00211BB9" w:rsidRPr="00211BB9" w:rsidRDefault="00211BB9" w:rsidP="00211BB9">
      <w:r>
        <w:t>Специальных требований нет. Ресурсов практически не занимает. Может быть установлено на один из серверов, обслуживающих</w:t>
      </w:r>
      <w:r w:rsidRPr="00211BB9">
        <w:t xml:space="preserve"> сервисы</w:t>
      </w:r>
      <w:r>
        <w:t xml:space="preserve"> </w:t>
      </w:r>
      <w:r>
        <w:rPr>
          <w:lang w:val="en-US"/>
        </w:rPr>
        <w:t>TotalApi</w:t>
      </w:r>
      <w:r w:rsidRPr="00211BB9">
        <w:t xml:space="preserve"> и</w:t>
      </w:r>
      <w:r>
        <w:t>ли телематическую базу данных. Либо на любой другой доступный сервер в сети.</w:t>
      </w:r>
    </w:p>
    <w:p w14:paraId="3C6E8DDB" w14:textId="128FDC50" w:rsidR="002B165E" w:rsidRDefault="002B165E" w:rsidP="002B165E">
      <w:pPr>
        <w:pStyle w:val="1"/>
      </w:pPr>
      <w:r>
        <w:t>Особенности установки</w:t>
      </w:r>
    </w:p>
    <w:p w14:paraId="4152A3C4" w14:textId="00B39E13" w:rsidR="002B165E" w:rsidRPr="00F02718" w:rsidRDefault="002B165E" w:rsidP="002B165E">
      <w:pPr>
        <w:pStyle w:val="2"/>
        <w:spacing w:before="240"/>
      </w:pPr>
      <w:r>
        <w:t xml:space="preserve">Сервисы </w:t>
      </w:r>
      <w:r>
        <w:rPr>
          <w:lang w:val="en-US"/>
        </w:rPr>
        <w:t>TotalApi</w:t>
      </w:r>
    </w:p>
    <w:p w14:paraId="2C06F610" w14:textId="77777777" w:rsidR="002D4651" w:rsidRPr="00F02718" w:rsidRDefault="00CE7ECA" w:rsidP="00CE7ECA">
      <w:r>
        <w:t xml:space="preserve">Для установки сервисов </w:t>
      </w:r>
      <w:r>
        <w:rPr>
          <w:lang w:val="en-US"/>
        </w:rPr>
        <w:t>TotalApi</w:t>
      </w:r>
      <w:r w:rsidRPr="00CE7ECA">
        <w:t xml:space="preserve"> </w:t>
      </w:r>
      <w:r>
        <w:t xml:space="preserve">достаточно скопировать установочные файлы в нужный каталог на сервере, корректно заполнить конфигурационный файл и запустить от имени администратора </w:t>
      </w:r>
      <w:r w:rsidR="002D4651">
        <w:t xml:space="preserve">исполнимый файл </w:t>
      </w:r>
      <w:r w:rsidR="002D4651" w:rsidRPr="002D4651">
        <w:rPr>
          <w:rFonts w:asciiTheme="minorHAnsi" w:hAnsiTheme="minorHAnsi" w:cstheme="minorHAnsi"/>
        </w:rPr>
        <w:t>TotalApi.Server.Host.exe</w:t>
      </w:r>
      <w:r w:rsidR="002D4651">
        <w:t xml:space="preserve"> с ключом </w:t>
      </w:r>
      <w:r w:rsidR="002D4651" w:rsidRPr="002D4651">
        <w:rPr>
          <w:rFonts w:asciiTheme="minorHAnsi" w:hAnsiTheme="minorHAnsi" w:cstheme="minorHAnsi"/>
          <w:b/>
          <w:lang w:val="sq-AL"/>
        </w:rPr>
        <w:t>/i</w:t>
      </w:r>
      <w:r w:rsidR="002D4651" w:rsidRPr="002D4651">
        <w:t xml:space="preserve">. </w:t>
      </w:r>
      <w:r w:rsidR="002D4651">
        <w:t xml:space="preserve">Данная команда пропишет автоматический запуск сервисов как службу </w:t>
      </w:r>
      <w:r w:rsidR="002D4651">
        <w:rPr>
          <w:lang w:val="en-US"/>
        </w:rPr>
        <w:t>Windows</w:t>
      </w:r>
      <w:r w:rsidR="002D4651" w:rsidRPr="00F02718">
        <w:t xml:space="preserve">. </w:t>
      </w:r>
    </w:p>
    <w:p w14:paraId="05C3FD3F" w14:textId="42F43099" w:rsidR="00CE7ECA" w:rsidRPr="002D4651" w:rsidRDefault="002D4651" w:rsidP="00CE7ECA">
      <w:pPr>
        <w:rPr>
          <w:lang w:val="sq-AL"/>
        </w:rPr>
      </w:pPr>
      <w:r w:rsidRPr="002D4651">
        <w:rPr>
          <w:b/>
          <w:u w:val="single"/>
          <w:lang w:val="sq-AL"/>
        </w:rPr>
        <w:t>Внимание:</w:t>
      </w:r>
      <w:r w:rsidRPr="002D4651">
        <w:rPr>
          <w:lang w:val="sq-AL"/>
        </w:rPr>
        <w:t xml:space="preserve"> Иногда по непонятным причинам Windows-служба TotalApi не стартует автоматически при загрузке системы. В этом случае рекомендуется указать тип запуска службы как </w:t>
      </w:r>
      <w:r w:rsidRPr="002D4651">
        <w:rPr>
          <w:b/>
          <w:lang w:val="sq-AL"/>
        </w:rPr>
        <w:t>`Автоматический (отложенный запуск)`</w:t>
      </w:r>
      <w:r w:rsidRPr="002D4651">
        <w:rPr>
          <w:lang w:val="sq-AL"/>
        </w:rPr>
        <w:t>.</w:t>
      </w:r>
    </w:p>
    <w:p w14:paraId="2CF936D3" w14:textId="1C86CBA2" w:rsidR="002D4651" w:rsidRPr="002D4651" w:rsidRDefault="002D4651" w:rsidP="00CE7ECA">
      <w:r>
        <w:t xml:space="preserve">Описание параметров конфигурационных файлов </w:t>
      </w:r>
      <w:r>
        <w:rPr>
          <w:lang w:val="en-US"/>
        </w:rPr>
        <w:t>TotalApi</w:t>
      </w:r>
      <w:r w:rsidRPr="002D4651">
        <w:t xml:space="preserve"> </w:t>
      </w:r>
      <w:r>
        <w:t xml:space="preserve">приведено в </w:t>
      </w:r>
      <w:r w:rsidR="006F3D25">
        <w:t xml:space="preserve">разделе документации </w:t>
      </w:r>
      <w:hyperlink r:id="rId13" w:history="1">
        <w:r w:rsidR="006F3D25" w:rsidRPr="006F3D25">
          <w:rPr>
            <w:rStyle w:val="ab"/>
          </w:rPr>
          <w:t>Конфигурирование</w:t>
        </w:r>
      </w:hyperlink>
      <w:r>
        <w:t>.</w:t>
      </w:r>
    </w:p>
    <w:p w14:paraId="54A2236D" w14:textId="5B41B21F" w:rsidR="002B165E" w:rsidRDefault="002B165E" w:rsidP="002B165E">
      <w:pPr>
        <w:pStyle w:val="2"/>
        <w:spacing w:before="240"/>
        <w:rPr>
          <w:lang w:val="sq-AL"/>
        </w:rPr>
      </w:pPr>
      <w:r w:rsidRPr="00F67246">
        <w:rPr>
          <w:lang w:val="sq-AL"/>
        </w:rPr>
        <w:t>Телематическая база данных</w:t>
      </w:r>
    </w:p>
    <w:p w14:paraId="025B31CC" w14:textId="352948B0" w:rsidR="002B165E" w:rsidRPr="002B165E" w:rsidRDefault="002B165E" w:rsidP="002B165E">
      <w:pPr>
        <w:rPr>
          <w:lang w:val="sq-AL"/>
        </w:rPr>
      </w:pPr>
      <w:r>
        <w:t xml:space="preserve">Подробности и особенности установки и настройки </w:t>
      </w:r>
      <w:r>
        <w:rPr>
          <w:lang w:val="en-US"/>
        </w:rPr>
        <w:t>Apache</w:t>
      </w:r>
      <w:r w:rsidRPr="002B165E">
        <w:t xml:space="preserve"> </w:t>
      </w:r>
      <w:r>
        <w:rPr>
          <w:lang w:val="en-US"/>
        </w:rPr>
        <w:t>Cassandra</w:t>
      </w:r>
      <w:r w:rsidRPr="002B165E">
        <w:t xml:space="preserve"> </w:t>
      </w:r>
      <w:r>
        <w:t xml:space="preserve">подробно описаны в этом документе: </w:t>
      </w:r>
      <w:hyperlink r:id="rId14" w:history="1">
        <w:r>
          <w:rPr>
            <w:rStyle w:val="ab"/>
          </w:rPr>
          <w:t>http://cassandra.apache.org/doc/latest/getting_started/installing.html</w:t>
        </w:r>
      </w:hyperlink>
      <w:r>
        <w:t>.</w:t>
      </w:r>
    </w:p>
    <w:p w14:paraId="75051696" w14:textId="77777777" w:rsidR="002B165E" w:rsidRDefault="002B165E" w:rsidP="002B165E">
      <w:pPr>
        <w:pStyle w:val="2"/>
        <w:spacing w:before="240"/>
        <w:rPr>
          <w:lang w:val="sq-AL"/>
        </w:rPr>
      </w:pPr>
      <w:r w:rsidRPr="00F67246">
        <w:rPr>
          <w:lang w:val="sq-AL"/>
        </w:rPr>
        <w:t>Сбор и визуализация статистики (опционально)</w:t>
      </w:r>
    </w:p>
    <w:p w14:paraId="7F3A51ED" w14:textId="35F8F451" w:rsidR="002B165E" w:rsidRPr="002B165E" w:rsidRDefault="002B165E" w:rsidP="002B165E">
      <w:pPr>
        <w:rPr>
          <w:lang w:val="sq-AL"/>
        </w:rPr>
      </w:pPr>
      <w:r>
        <w:t>Подробности и особенности установки и настройки средств сбора статистики</w:t>
      </w:r>
      <w:r w:rsidRPr="002B165E">
        <w:t xml:space="preserve"> </w:t>
      </w:r>
      <w:r>
        <w:t xml:space="preserve">подробно описаны в этом документе: </w:t>
      </w:r>
      <w:hyperlink r:id="rId15" w:history="1">
        <w:r>
          <w:rPr>
            <w:rStyle w:val="ab"/>
          </w:rPr>
          <w:t>https://dou.ua/lenta/articles/tick-stack-guide/</w:t>
        </w:r>
      </w:hyperlink>
      <w:r>
        <w:t>.</w:t>
      </w:r>
    </w:p>
    <w:p w14:paraId="4B2092CA" w14:textId="77777777" w:rsidR="002D4651" w:rsidRDefault="002D4651" w:rsidP="002D4651">
      <w:pPr>
        <w:pStyle w:val="1"/>
      </w:pPr>
    </w:p>
    <w:p w14:paraId="05711C74" w14:textId="77777777" w:rsidR="00A84A27" w:rsidRPr="007702D7" w:rsidRDefault="00A84A27" w:rsidP="00A84A27"/>
    <w:sectPr w:rsidR="00A84A27" w:rsidRPr="007702D7" w:rsidSect="00AE2A2C">
      <w:headerReference w:type="default" r:id="rId16"/>
      <w:footerReference w:type="default" r:id="rId17"/>
      <w:pgSz w:w="11906" w:h="16838"/>
      <w:pgMar w:top="1134" w:right="282" w:bottom="1134" w:left="426" w:header="283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BE8A4" w14:textId="77777777" w:rsidR="00B3016F" w:rsidRDefault="00B3016F" w:rsidP="003869A5">
      <w:pPr>
        <w:spacing w:after="0" w:line="240" w:lineRule="auto"/>
      </w:pPr>
      <w:r>
        <w:separator/>
      </w:r>
    </w:p>
  </w:endnote>
  <w:endnote w:type="continuationSeparator" w:id="0">
    <w:p w14:paraId="692B32EF" w14:textId="77777777" w:rsidR="00B3016F" w:rsidRDefault="00B3016F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07"/>
      <w:gridCol w:w="5591"/>
    </w:tblGrid>
    <w:tr w:rsidR="003869A5" w14:paraId="5B12F493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18374FBD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1CFAC2E1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050FE73F" w14:textId="77777777" w:rsidTr="00B34693">
      <w:tc>
        <w:tcPr>
          <w:tcW w:w="4684" w:type="dxa"/>
          <w:shd w:val="clear" w:color="auto" w:fill="auto"/>
          <w:vAlign w:val="center"/>
        </w:tcPr>
        <w:p w14:paraId="013D8625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304FEBA5" w14:textId="45EFAE21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7702D7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2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4E2713BF" w14:textId="77777777" w:rsidR="003869A5" w:rsidRDefault="003869A5" w:rsidP="00B346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A8CE8" w14:textId="77777777" w:rsidR="00B3016F" w:rsidRDefault="00B3016F" w:rsidP="003869A5">
      <w:pPr>
        <w:spacing w:after="0" w:line="240" w:lineRule="auto"/>
      </w:pPr>
      <w:r>
        <w:separator/>
      </w:r>
    </w:p>
  </w:footnote>
  <w:footnote w:type="continuationSeparator" w:id="0">
    <w:p w14:paraId="44C231B8" w14:textId="77777777" w:rsidR="00B3016F" w:rsidRDefault="00B3016F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D669D" w14:textId="77777777" w:rsidR="002D4282" w:rsidRDefault="002D4282">
    <w:pPr>
      <w:pStyle w:val="a6"/>
    </w:pPr>
    <w:r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6789F436" wp14:editId="326AB0A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3945" cy="466725"/>
          <wp:effectExtent l="0" t="0" r="1905" b="9525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204D"/>
    <w:multiLevelType w:val="multilevel"/>
    <w:tmpl w:val="CF44F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oNotDisplayPageBoundaries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2"/>
    <w:rsid w:val="00091BA2"/>
    <w:rsid w:val="00093E3F"/>
    <w:rsid w:val="00106199"/>
    <w:rsid w:val="001234D3"/>
    <w:rsid w:val="00137109"/>
    <w:rsid w:val="00170289"/>
    <w:rsid w:val="00211BB9"/>
    <w:rsid w:val="002A1E35"/>
    <w:rsid w:val="002B165E"/>
    <w:rsid w:val="002B4C63"/>
    <w:rsid w:val="002C3155"/>
    <w:rsid w:val="002C6666"/>
    <w:rsid w:val="002D4282"/>
    <w:rsid w:val="002D4651"/>
    <w:rsid w:val="002D777C"/>
    <w:rsid w:val="002F107B"/>
    <w:rsid w:val="00303642"/>
    <w:rsid w:val="00337726"/>
    <w:rsid w:val="003869A5"/>
    <w:rsid w:val="00427065"/>
    <w:rsid w:val="004B4CBA"/>
    <w:rsid w:val="004C01C1"/>
    <w:rsid w:val="004D4B32"/>
    <w:rsid w:val="005301E6"/>
    <w:rsid w:val="005A42F8"/>
    <w:rsid w:val="00616E1B"/>
    <w:rsid w:val="006516E2"/>
    <w:rsid w:val="006B2CBE"/>
    <w:rsid w:val="006F3D25"/>
    <w:rsid w:val="006F4329"/>
    <w:rsid w:val="00704386"/>
    <w:rsid w:val="007564B3"/>
    <w:rsid w:val="007702D7"/>
    <w:rsid w:val="0080233B"/>
    <w:rsid w:val="008179C6"/>
    <w:rsid w:val="00854902"/>
    <w:rsid w:val="008B6983"/>
    <w:rsid w:val="00921D1C"/>
    <w:rsid w:val="0094401E"/>
    <w:rsid w:val="0094669E"/>
    <w:rsid w:val="0095220B"/>
    <w:rsid w:val="00967AD2"/>
    <w:rsid w:val="009B0487"/>
    <w:rsid w:val="009B3B9E"/>
    <w:rsid w:val="009D6449"/>
    <w:rsid w:val="00A1136D"/>
    <w:rsid w:val="00A84A27"/>
    <w:rsid w:val="00AB70A9"/>
    <w:rsid w:val="00AE2A2C"/>
    <w:rsid w:val="00B3016F"/>
    <w:rsid w:val="00B34693"/>
    <w:rsid w:val="00B44F07"/>
    <w:rsid w:val="00B968DE"/>
    <w:rsid w:val="00BB26B3"/>
    <w:rsid w:val="00BF1DAA"/>
    <w:rsid w:val="00C468BE"/>
    <w:rsid w:val="00C80321"/>
    <w:rsid w:val="00C81D6E"/>
    <w:rsid w:val="00CA0B67"/>
    <w:rsid w:val="00CE7ECA"/>
    <w:rsid w:val="00D276B3"/>
    <w:rsid w:val="00D41972"/>
    <w:rsid w:val="00E2770A"/>
    <w:rsid w:val="00E7379F"/>
    <w:rsid w:val="00EE2BB2"/>
    <w:rsid w:val="00EF2B40"/>
    <w:rsid w:val="00F02718"/>
    <w:rsid w:val="00F249EF"/>
    <w:rsid w:val="00F67246"/>
    <w:rsid w:val="00F97661"/>
    <w:rsid w:val="00FA5D66"/>
    <w:rsid w:val="00FC2825"/>
    <w:rsid w:val="00F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2D82"/>
  <w15:chartTrackingRefBased/>
  <w15:docId w15:val="{F3D2D640-B8B6-47B8-A68D-3592EAC0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66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80233B"/>
    <w:rPr>
      <w:rFonts w:ascii="Consolas" w:hAnsi="Consolas"/>
      <w:b/>
      <w:color w:val="0000FF"/>
      <w:lang w:val="en-US"/>
    </w:rPr>
  </w:style>
  <w:style w:type="character" w:customStyle="1" w:styleId="af8">
    <w:name w:val="Название параметра"/>
    <w:basedOn w:val="a0"/>
    <w:uiPriority w:val="1"/>
    <w:qFormat/>
    <w:rsid w:val="006B2CBE"/>
    <w:rPr>
      <w:rFonts w:asciiTheme="minorHAnsi" w:hAnsiTheme="minorHAnsi" w:cs="Consolas"/>
      <w:b/>
      <w:color w:val="auto"/>
      <w:sz w:val="24"/>
    </w:rPr>
  </w:style>
  <w:style w:type="paragraph" w:customStyle="1" w:styleId="af7">
    <w:name w:val="Тип параметра"/>
    <w:basedOn w:val="a"/>
    <w:link w:val="af6"/>
    <w:qFormat/>
    <w:rsid w:val="0080233B"/>
    <w:pPr>
      <w:spacing w:after="0" w:line="276" w:lineRule="auto"/>
      <w:contextualSpacing/>
    </w:pPr>
    <w:rPr>
      <w:rFonts w:ascii="Consolas" w:hAnsi="Consolas"/>
      <w:b/>
      <w:color w:val="0000FF"/>
      <w:sz w:val="22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6B2CBE"/>
    <w:pPr>
      <w:spacing w:after="0"/>
    </w:pPr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customStyle="1" w:styleId="afb">
    <w:name w:val="Заголовок документа"/>
    <w:basedOn w:val="ac"/>
    <w:link w:val="afc"/>
    <w:qFormat/>
    <w:rsid w:val="00AE2A2C"/>
    <w:pPr>
      <w:spacing w:before="40" w:after="560" w:line="216" w:lineRule="auto"/>
      <w:jc w:val="center"/>
    </w:pPr>
    <w:rPr>
      <w:color w:val="5B9BD5" w:themeColor="accent1"/>
      <w:sz w:val="72"/>
      <w:szCs w:val="72"/>
    </w:rPr>
  </w:style>
  <w:style w:type="character" w:customStyle="1" w:styleId="afa">
    <w:name w:val="Описание параметра Знак"/>
    <w:basedOn w:val="a0"/>
    <w:link w:val="af9"/>
    <w:rsid w:val="006B2CBE"/>
    <w:rPr>
      <w:rFonts w:ascii="Century Gothic" w:hAnsi="Century Gothic"/>
    </w:rPr>
  </w:style>
  <w:style w:type="paragraph" w:customStyle="1" w:styleId="afd">
    <w:name w:val="Подзаголовок документа"/>
    <w:basedOn w:val="ac"/>
    <w:link w:val="afe"/>
    <w:autoRedefine/>
    <w:qFormat/>
    <w:rsid w:val="00AE2A2C"/>
    <w:pPr>
      <w:spacing w:before="40" w:after="40"/>
      <w:jc w:val="right"/>
    </w:pPr>
    <w:rPr>
      <w:caps/>
      <w:color w:val="1F3864" w:themeColor="accent5" w:themeShade="80"/>
      <w:sz w:val="28"/>
      <w:szCs w:val="28"/>
    </w:rPr>
  </w:style>
  <w:style w:type="character" w:customStyle="1" w:styleId="afc">
    <w:name w:val="Заголовок документа Знак"/>
    <w:basedOn w:val="ad"/>
    <w:link w:val="afb"/>
    <w:rsid w:val="00AE2A2C"/>
    <w:rPr>
      <w:rFonts w:ascii="Century Gothic" w:eastAsiaTheme="minorEastAsia" w:hAnsi="Century Gothic"/>
      <w:color w:val="5B9BD5" w:themeColor="accent1"/>
      <w:sz w:val="72"/>
      <w:szCs w:val="72"/>
      <w:lang w:eastAsia="ru-RU"/>
    </w:rPr>
  </w:style>
  <w:style w:type="paragraph" w:customStyle="1" w:styleId="aff">
    <w:name w:val="Название сервиса"/>
    <w:basedOn w:val="1"/>
    <w:link w:val="aff0"/>
    <w:qFormat/>
    <w:rsid w:val="00BB26B3"/>
    <w:pPr>
      <w:tabs>
        <w:tab w:val="right" w:pos="10350"/>
      </w:tabs>
    </w:pPr>
    <w:rPr>
      <w:color w:val="1155CC"/>
      <w:u w:val="single"/>
      <w:lang w:val="sq-AL"/>
    </w:rPr>
  </w:style>
  <w:style w:type="character" w:customStyle="1" w:styleId="afe">
    <w:name w:val="Подзаголовок документа Знак"/>
    <w:basedOn w:val="ad"/>
    <w:link w:val="afd"/>
    <w:rsid w:val="00AE2A2C"/>
    <w:rPr>
      <w:rFonts w:ascii="Century Gothic" w:eastAsiaTheme="minorEastAsia" w:hAnsi="Century Gothic"/>
      <w:caps/>
      <w:color w:val="1F3864" w:themeColor="accent5" w:themeShade="80"/>
      <w:sz w:val="28"/>
      <w:szCs w:val="28"/>
      <w:lang w:eastAsia="ru-RU"/>
    </w:rPr>
  </w:style>
  <w:style w:type="paragraph" w:customStyle="1" w:styleId="aff1">
    <w:name w:val="Описание метода"/>
    <w:basedOn w:val="a"/>
    <w:link w:val="aff2"/>
    <w:autoRedefine/>
    <w:qFormat/>
    <w:rsid w:val="006B2CBE"/>
    <w:pPr>
      <w:spacing w:after="0"/>
    </w:pPr>
    <w:rPr>
      <w:rFonts w:asciiTheme="minorHAnsi" w:hAnsiTheme="minorHAnsi" w:cstheme="minorHAnsi"/>
      <w:sz w:val="22"/>
    </w:rPr>
  </w:style>
  <w:style w:type="character" w:customStyle="1" w:styleId="aff0">
    <w:name w:val="Название сервиса Знак"/>
    <w:basedOn w:val="10"/>
    <w:link w:val="aff"/>
    <w:rsid w:val="00BB26B3"/>
    <w:rPr>
      <w:rFonts w:ascii="Century Gothic" w:eastAsiaTheme="majorEastAsia" w:hAnsi="Century Gothic" w:cstheme="majorBidi"/>
      <w:color w:val="1155CC"/>
      <w:sz w:val="32"/>
      <w:szCs w:val="32"/>
      <w:u w:val="single"/>
      <w:lang w:val="sq-AL"/>
    </w:rPr>
  </w:style>
  <w:style w:type="character" w:customStyle="1" w:styleId="aff2">
    <w:name w:val="Описание метода Знак"/>
    <w:basedOn w:val="a0"/>
    <w:link w:val="aff1"/>
    <w:rsid w:val="006B2CBE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sandra.apache.org/" TargetMode="External"/><Relationship Id="rId13" Type="http://schemas.openxmlformats.org/officeDocument/2006/relationships/hyperlink" Target="&#1050;&#1086;&#1085;&#1092;&#1080;&#1075;&#1091;&#1088;&#1080;&#1088;&#1086;&#1074;&#1072;&#1085;&#1080;&#1077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luxdata.com/time-series-platform/telegraf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luxdata.com/time-series-platform/kapaci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u.ua/lenta/articles/tick-stack-guide/" TargetMode="External"/><Relationship Id="rId10" Type="http://schemas.openxmlformats.org/officeDocument/2006/relationships/hyperlink" Target="https://www.influxdata.com/time-series-platform/chronogra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fluxdata.com/" TargetMode="External"/><Relationship Id="rId14" Type="http://schemas.openxmlformats.org/officeDocument/2006/relationships/hyperlink" Target="http://cassandra.apache.org/doc/latest/getting_started/installing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CCE-A94E-42D4-B32E-C655A221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9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установке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установке</dc:title>
  <dc:subject>TotalApi</dc:subject>
  <dc:creator>LionSoft</dc:creator>
  <cp:keywords/>
  <dc:description/>
  <cp:lastModifiedBy>Евгений Лейбов</cp:lastModifiedBy>
  <cp:revision>5</cp:revision>
  <dcterms:created xsi:type="dcterms:W3CDTF">2019-06-24T12:12:00Z</dcterms:created>
  <dcterms:modified xsi:type="dcterms:W3CDTF">2019-07-23T15:22:00Z</dcterms:modified>
</cp:coreProperties>
</file>