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INFORME DE APOYO AL MARCO TEÓRICO</w:t>
      </w:r>
    </w:p>
    <w:p>
      <w:r>
        <w:rPr>
          <w:rFonts w:ascii="Times New Roman" w:hAnsi="Times New Roman" w:eastAsia="Times New Roman" w:cs="Times New Roman"/>
          <w:b w:val="0"/>
          <w:i/>
        </w:rPr>
        <w:t>Documento de trabajo de uso interno. No forma parte de la entrega a la docente.</w:t>
      </w:r>
    </w:p>
    <w:p>
      <w:r>
        <w:rPr>
          <w:rFonts w:ascii="Times New Roman" w:hAnsi="Times New Roman" w:eastAsia="Times New Roman" w:cs="Times New Roman"/>
          <w:b/>
          <w:i w:val="0"/>
        </w:rPr>
        <w:t>Investigación: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Integración patrimonial mediante la revitalización y la implementación de un corredor ecológico y Centro de Interpretación Patrimonial. Distrito de Vischongo, Ayacucho, 2026.</w:t>
      </w:r>
    </w:p>
    <w:p>
      <w:r>
        <w:rPr>
          <w:rFonts w:ascii="Times New Roman" w:hAnsi="Times New Roman" w:eastAsia="Times New Roman" w:cs="Times New Roman"/>
          <w:b/>
          <w:i w:val="0"/>
        </w:rPr>
        <w:t>Documento que acompaña: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Marco_Teorico_Vischongo_Cumpa (Word y PDF).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Resumen y decisiones que conviene conocer</w:t>
      </w:r>
    </w:p>
    <w:p>
      <w:r>
        <w:rPr>
          <w:rFonts w:ascii="Times New Roman" w:hAnsi="Times New Roman" w:eastAsia="Times New Roman" w:cs="Times New Roman"/>
          <w:b w:val="0"/>
          <w:i w:val="0"/>
        </w:rPr>
        <w:t>El trabajo parcial se desarrolló con la estructura de la separata de Clase 4 (página 17): marco teórico con tres teorías para la variable independiente, cada una de sus tres dimensiones, la variable dependiente y cada una de sus tres dimensiones; definiciones conceptuales; y sustentación de variables. Se conservaron sin cambios el título, las variables, las dimensiones, los indicadores, el problema, los objetivos y la hipótesis del Trabajo de Investigación 01.</w:t>
      </w:r>
    </w:p>
    <w:p>
      <w:r>
        <w:rPr>
          <w:rFonts w:ascii="Times New Roman" w:hAnsi="Times New Roman" w:eastAsia="Times New Roman" w:cs="Times New Roman"/>
          <w:b w:val="0"/>
          <w:i w:val="0"/>
        </w:rPr>
        <w:t>Hay cinco decisiones que debes conocer antes de entregar.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Son 24 teorías y no 21.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El enunciado hablaba de «siete apartados» y «21 desarrollos», pero la lista tiene ocho apartados (variable independiente, X1, X2, X3, variable dependiente, Y1, Y2, Y3) y 8 × 3 = 24. La separata de la página 17 también lista ocho apartados con tres teorías cada uno. Se entregan 24.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Se usan 8 de los 10 artículos de la matriz.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Las filas 7 (DOI 10.1038/s40494-026-02881-1) y 9 (DOI 10.1057/s41599-026-07881-x) no pudieron localizarse, ni en tu matriz ni en las búsquedas de esta sesión, por lo que no se usaron como sustento. La fila 9 era el único registro de la matriz sobre centros de visitantes; por eso el Centro de Interpretación quedó sustentado con fuentes externas (Tilden, ICOMOS, de Varine).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Los artículos de la matriz se usaron a nivel de resumen.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Tu matriz indica que no se revisó el texto completo, y esta sesión tampoco pudo abrirlos (doi.org y las páginas de las revistas no son accesibles desde este entorno). El trabajo solo les atribuye lo que consta en sus resúmenes.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No se cambió el título.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Hay una inconsistencia de dirección entre el título y la hipótesis (ver observación 1 de la sección 5), que conviene consultar con la docente.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Hay datos bibliográficos que debes cotejar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(sección 4). El trabajo no usa citas textuales extensas: parafrasea, y las definiciones de convenios y cartas se traducen o parafrasean con la marca «traducción propia». Por eso no se consignan páginas; sí se indican los artículos de convenios y los párrafos de la UNESCO que se pudieron confirmar.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Evaluación inicial de los tres archivos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  <w:i/>
          <w:color w:val="000000"/>
        </w:rPr>
        <w:t>2.1. Separata de Clase 4: qué exige y dónde se cumple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855"/>
        <w:gridCol w:w="2268"/>
      </w:tblGrid>
      <w:tr>
        <w:trPr>
          <w:cantSplit/>
          <w:tblHeader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Exigencia de la separata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Cómo se cumple en el trabajo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Estructura mínima: definición introductoria, teoría relacionada (mínimo 3 teorías) y análisis crítico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Cada apartado abre con una definición introductoria, desarrolla tres teorías y cierra con una síntesis. Cada teoría tiene introducción, planteamiento, cita y reflexión crítica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Cap. 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«Teoría de quién»: cada teoría atribuida a un autor o institución con su año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Cada teoría se titula con su autor o fuente y año, y lleva una línea con el tipo de aporte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Cap. 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Ejemplo con introducción, cita y reflexión (pp. 8-10)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Se replica esa secuencia, con la reflexión separando lo que dice la fuente de lo que se propone para Vischongo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Cap. 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Definiciones conceptuales basadas en autores y con cita, distintas de las operacionales (pp. 14-16)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 definiciones con sustento teórico y precisión de uso en la investigación; no se tocan las definiciones operacionales de la matriz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Cap. II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Sustentación de variables con síntesis de teorías (p. 12)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Figura 1 (síntesis), Cuadro 1 (teorías, dimensiones e indicadores) y argumentación de cada variable y de su relación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Cap. III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Entrega: sábado 17 de octubre, medianoche, por el aula virtual, en PDF (p. 17)</w:t>
            </w:r>
          </w:p>
        </w:tc>
        <w:tc>
          <w:tcPr>
            <w:tcW w:type="dxa" w:w="385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Se entrega PDF; el Word es la versión editable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Archivos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 w:cs="Times New Roman"/>
          <w:b w:val="0"/>
          <w:i w:val="0"/>
        </w:rPr>
        <w:t>Observaciones sobre la separata. La portada dice «Semestre 2026-II» y el pie de página «2026-I»; en la portada del trabajo se usó 2026-II, que corresponde a octubre de 2026. La separata marca como «opcional en esta etapa» las dimensiones e indicadores de las matrices de operacionalización; el trabajo los incluye igualmente porque forman parte de tu TRA01. Los ejemplos de la docente citan con página (por ejemplo, ONU-Hábitat, 2022, p. 5); este trabajo parafrasea, y solo consigna artículos o párrafos donde pudo confirmarlos. Si la docente exige página en toda cita, habrá que cotejar cada fuente (sección 4).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  <w:i/>
          <w:color w:val="000000"/>
        </w:rPr>
        <w:t>2.2. Trabajo de Investigación 01: qué aporta</w:t>
      </w:r>
    </w:p>
    <w:p>
      <w:r>
        <w:rPr>
          <w:rFonts w:ascii="Times New Roman" w:hAnsi="Times New Roman" w:eastAsia="Times New Roman" w:cs="Times New Roman"/>
          <w:b w:val="0"/>
          <w:i w:val="0"/>
        </w:rPr>
        <w:t>El TRA01 aporta el título, las dos variables con sus definiciones conceptual y operacional, las seis dimensiones, los indicadores, el esquema de relaciones entre dimensiones, el problema general, el objetivo general, cuatro objetivos específicos, la matriz de consistencia con hipótesis o supuestos de trabajo, la matriz metodológica y la propuesta metodológica inicial (enfoque mixto, investigación aplicada). Es la fuente principal del marco teórico, y todo lo desarrollado se subordina a ese planteamiento. Las inconsistencias detectadas se listan en la sección 5.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  <w:i/>
          <w:color w:val="000000"/>
        </w:rPr>
        <w:t>2.3. Matriz de artículos: pertinencia para la actividad</w:t>
      </w:r>
    </w:p>
    <w:p>
      <w:r>
        <w:rPr>
          <w:rFonts w:ascii="Times New Roman" w:hAnsi="Times New Roman" w:eastAsia="Times New Roman" w:cs="Times New Roman"/>
          <w:b w:val="0"/>
          <w:i w:val="0"/>
        </w:rPr>
        <w:t>Los artículos son, en su mayoría, estudios de caso o reflexiones aplicadas. Por eso aportan sobre todo antecedentes, evidencia y enfoques metodológicos, y no teorías en sentido estricto. Las teorías de base se tomaron de fuentes teóricas y doctrinales, y los artículos se usaron donde proponen un enfoque propio o ilustran su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7"/>
        <w:gridCol w:w="2454"/>
        <w:gridCol w:w="2348"/>
        <w:gridCol w:w="1814"/>
        <w:gridCol w:w="1868"/>
      </w:tblGrid>
      <w:tr>
        <w:trPr>
          <w:cantSplit/>
          <w:tblHeader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Fila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Artículo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Tipo de aporte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Uso en el trabajo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N1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Del Castillo Cáceres y Castro De la Borda (2015). Espacios abiertos y patrimonio, PLAM Lima-Callao 2035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Antecedente aplicado (nacional)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Reflexión 3.3; reflexión 6.3; Cap. III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N2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Martínez Martínez (2020). Territorio y paisaje en la gestión del patrimonio arqueológico, Lambayeque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conceptual (nacional)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1.3; Cap. II y III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N3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Bolaños Baldassari (2021). Paisajes con monumentos arqueológicos: Nasca y Palpa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Evidencia aplicada (nacional)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Reflexión 2.3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N4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Urbina Lavajos y Vargas Chozo (2025). Parches ecológicos, Barranco Tumino, Moyobamba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Evidencia aplicada (nacional)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Reflexiones 6.1 y 6.3; Cap. II y III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N5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Mejia Curahua et al. (2024). Patrimonio relegado en el Centro Histórico de Ayacucho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Antecedente de problemática regional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Reflexiones 1.1 y 5.3; Cap. III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I1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Li, Wang y Dong (2021). Red integrada de corredores ecológicos y culturales, Beijing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conceptual-metodológico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Confirmado en esta sesión (MDPI, IDEAS/RePEc); resumen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3.3; Cap. II y III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I2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DOI 10.1038/s40494-026-02881-1 («Landscape conservation study based on ecological and heritage corridors»)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determinado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No localizado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usado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I3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Zhou y Mohamed Afla (2026). Paisaje cultural y estética ecológica en Xizhou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Evidencia aplicada (método de percepción)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publicación anticipada;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Reflexiones 4.1 y 6.3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I4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DOI 10.1057/s41599-026-07881-x («visitor centres at archaeological heritage sites: Çatalhöyük»)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determinado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No localizado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usado</w:t>
            </w:r>
          </w:p>
        </w:tc>
      </w:tr>
      <w:tr>
        <w:trPr>
          <w:cantSplit/>
        </w:trPr>
        <w:tc>
          <w:tcPr>
            <w:tcW w:type="dxa" w:w="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I5</w:t>
            </w:r>
          </w:p>
        </w:tc>
        <w:tc>
          <w:tcPr>
            <w:tcW w:type="dxa" w:w="2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Chen et al. (2024). Dinámica de corredores patrimoniales con SIG, Fengfeng</w:t>
            </w:r>
          </w:p>
        </w:tc>
        <w:tc>
          <w:tcPr>
            <w:tcW w:type="dxa" w:w="23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metodológico</w:t>
            </w:r>
          </w:p>
        </w:tc>
        <w:tc>
          <w:tcPr>
            <w:tcW w:type="dxa" w:w="1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metadatos de la matriz</w:t>
            </w:r>
          </w:p>
        </w:tc>
        <w:tc>
          <w:tcPr>
            <w:tcW w:type="dxa" w:w="18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Reflexión 3.3</w:t>
            </w:r>
          </w:p>
        </w:tc>
      </w:tr>
    </w:tbl>
    <w:p>
      <w:pPr>
        <w:spacing w:after="40"/>
      </w:pPr>
    </w:p>
    <w:p>
      <w:pPr>
        <w:spacing w:after="16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Nota. Las filas se identifican como en la matriz: N (nacionales) e I (internacionales). Para I2 la matriz sugiere como alternativa Zhao et al. (2024), Heritage Science, 12(1), https://doi.org/10.1186/s40494-024-01398-9; no se verificó en esta sesión.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Matriz de planificación de las 24 teorías</w:t>
      </w:r>
    </w:p>
    <w:p>
      <w:r>
        <w:rPr>
          <w:rFonts w:ascii="Times New Roman" w:hAnsi="Times New Roman" w:eastAsia="Times New Roman" w:cs="Times New Roman"/>
          <w:b w:val="0"/>
          <w:i w:val="0"/>
        </w:rPr>
        <w:t>La matriz relaciona cada apartado con sus tres teorías, el origen de la fuente, el tipo de aporte y los indicadores de la matriz del TRA01 a los que apoya. «Externa» designa una fuente que no está en la matriz de artículos.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871"/>
        <w:gridCol w:w="2835"/>
        <w:gridCol w:w="2041"/>
        <w:gridCol w:w="1587"/>
        <w:gridCol w:w="2438"/>
        <w:gridCol w:w="3288"/>
      </w:tblGrid>
      <w:tr>
        <w:trPr>
          <w:cantSplit/>
          <w:tblHeader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N.º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Apartado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Teoría o enfoque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Autor y año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Origen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Tipo de aporte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Indicadores a los que apoya y utilidad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X. Integración patrimonial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Conservación integrada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(1975)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Doctrina internacional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Define integración como coordinación entre conservación y planificación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X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Paisaje urbano histórico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UNESCO (2011)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institucional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Unión de valores culturales y naturales en el territorio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X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Paisaje como articulador patrimonio-territorio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Martínez Martínez (2020)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Matriz N2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conceptual aplicado en el Perú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Alinea gestión patrimonial y ordenamiento territorial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X1. Reconocimiento patrimonial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Valores del monumento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Riegl (1903/1987)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clásica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Valores históricos y culturales; categorías de valor para fichas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X1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Significado cultural y proceso de conservación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Australia ICOMOS (2013)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doctrinal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Inventario de bienes y recursos; secuencia entender, decidir, gestionar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X1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Reconocimiento del paisaje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(2000); evidencia de Bolaños Baldassari (2021)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 y matriz N3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institucional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Valores paisajísticos; identificación y calificación del paisaje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X2. Articulación territorial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Legibilidad y estructura del territorio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Lynch (1960)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clásica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Conectividad entre hitos; vocabulario de hitos, sendas y nodos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X2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Itinerarios culturales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ICOMOS (2008b)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doctrinal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Continuidad del corredor como valor patrimonial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X2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Red integrada de corredores ecológicos y culturales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Li et al. (2021); con Del Castillo y Castro (2015) y Chen et al. (2024)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Matriz I1, N1 e I5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conceptual-metodológico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Continuidad del corredor; integración ecológica y cultural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X3. Participación e identidad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Identidad de lugar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Proshansky et al. (1983); con Zhou y Mohamed Afla (2026)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 y matriz I3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de psicología ambiental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Percepción de identidad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X3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Escalera de participación ciudadana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Arnstein (1969)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clásica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Participación de actores locales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X3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Comunidad patrimonial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(2005); contraste con Smith (2006)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institucional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Uso social de espacios patrimoniales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Y. Revitalización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Regeneración urbana integral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Roberts (2000)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de la regeneración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Revitalización como mejora integral de condiciones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Y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Acupuntura urbana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Lerner (2005)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Planteamiento proyectual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Intervención puntual con efecto en el conjunto (hipótesis de diseño)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Variable Y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Recuperación de áreas patrimoniales degradadas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Rojas (2004)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Estudio institucional regional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Lectura de condiciones actuales como obsolescencias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Y1. Revitalización ambiental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Ecología del paisaje: parche-corredor-matriz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Forman (1995); Forman y Godron (1986); Taylor et al. (1993); con Urbina Lavajos y Vargas Chozo (2025)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 y matriz N4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científica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Continuidad de vegetación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17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Y1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Infraestructura verde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Benedict y McMahon (2006); con Raymundo et al. (2025)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 y TRA01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de planificación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Áreas verdes recuperadas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Y1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Restauración ecológica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SER (2004); con Urbina y Vargas (2025), Del Castillo y Castro (2015), Zhou y Mohamed Afla (2026)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 y matriz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científico-profesional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Áreas verdes recuperadas; manejo de residuos (apoyo indirecto)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Y2. Revitalización urbana y funcional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Vitalidad urbana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Jacobs (1961)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clásica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Calidad del espacio público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Y2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Espacio público a escala humana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Gehl (2010; 2011)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y método de diseño urbano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Calidad del espacio público; accesibilidad peatonal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21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Y2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Cualidades de diseño y caminabilidad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Ewing y Handy (2009); Naciones Unidas (2015)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Enfoque metodológico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Accesibilidad peatonal; conectividad de recorridos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Y3. Revitalización sociocultural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Interpretación del patrimonio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Tilden (1957)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Teoría clásica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Actividades culturales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23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Y3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Principios de interpretación y presentación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ICOMOS (2008a)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Marco doctrinal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Participación comunitaria; frecuencia de uso (evaluación)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87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Y3</w:t>
            </w:r>
          </w:p>
        </w:tc>
        <w:tc>
          <w:tcPr>
            <w:tcW w:type="dxa" w:w="28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Patrimonio y desarrollo local comunitario</w:t>
            </w:r>
          </w:p>
        </w:tc>
        <w:tc>
          <w:tcPr>
            <w:tcW w:type="dxa" w:w="204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 Varine (2002)</w:t>
            </w:r>
          </w:p>
        </w:tc>
        <w:tc>
          <w:tcPr>
            <w:tcW w:type="dxa" w:w="158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Externa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Planteamiento de museología social</w:t>
            </w:r>
          </w:p>
        </w:tc>
        <w:tc>
          <w:tcPr>
            <w:tcW w:type="dxa" w:w="32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Participación comunitaria; uso del Centro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Control de verificación de las referencias</w:t>
      </w:r>
    </w:p>
    <w:p>
      <w:r>
        <w:rPr>
          <w:rFonts w:ascii="Times New Roman" w:hAnsi="Times New Roman" w:eastAsia="Times New Roman" w:cs="Times New Roman"/>
          <w:b w:val="0"/>
          <w:i w:val="0"/>
        </w:rPr>
        <w:t>Códigos de estado.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A: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existencia y datos bibliográficos confirmados en esta sesión en registros indexados, catálogos o textos oficiales, y contenido atribuido confirmado al menos a nivel de resumen o definición.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B: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existencia confirmada, pero algún dato (páginas, edición, editorial, numeración de artículos) o parte del contenido proviene de fuentes secundarias o de conocimiento previo; conviene cotejar con la edición que se use.</w:t>
      </w:r>
    </w:p>
    <w:p>
      <w:pPr>
        <w:pStyle w:val="ListBullet"/>
      </w:pPr>
      <w:r>
        <w:rPr>
          <w:rFonts w:ascii="Times New Roman" w:hAnsi="Times New Roman" w:eastAsia="Times New Roman" w:cs="Times New Roman"/>
          <w:b/>
          <w:i w:val="0"/>
          <w:sz w:val="20"/>
        </w:rPr>
        <w:t>M: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metadatos tomados de tu matriz, que declara haberlos contrastado con registros indexados; no se volvieron a verificar de forma independiente en esta sesión. Contenido solo a nivel de resumen.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077"/>
        <w:gridCol w:w="4876"/>
        <w:gridCol w:w="5556"/>
      </w:tblGrid>
      <w:tr>
        <w:trPr>
          <w:cantSplit/>
          <w:tblHeader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Referencia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Qué se verificó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Qué falta o qué riesgo hay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Arnstein (1969)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Revista, volumen, páginas y DOI; ocho peldaños en tres categorías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Australia ICOMOS (2013)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Definición del art. 1.2 y rango de arts. 26-34, en copias secundarias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Cotejar con el PDF oficial de australia.icomos.org; no se incluyó URL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Benedict y McMahon (2006)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Libro y editorial; definición en fuentes secundarias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«Núcleos y enlaces» por conocimiento previo; cotejar con la introducción del libro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Bolaños Baldassari (2021)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Texto completo; la matriz anota que la revista indica publicación en 2022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Chen et al. (2024)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Resumen; DOI corregido en la matriz a 10.1186/s40494-024-01497-7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Número de artículo; que el DOI resuelva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Congreso de la República del Perú (2004), Ley 28296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Texto del art. II original; se informa de modificaciones (Leyes 31204 y 31770)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Verificar el texto vigente del art. II en El Peruano antes de citarlo formalmente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(1975)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Declaración y congreso confirmados; coordinación con planificación e inventarios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 idea de «elección de usos adecuados» es de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(2000)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Art. 1 confirmado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Arts. 2, 5 y 6 por conocimiento previo; Perú no es parte; no se incluyó URL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Consejo de Europa (2005)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Art. 2 (patrimonio y comunidad patrimonial) confirmado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Art. 12 no confirmado; título en español no confirmado; no se incluyó URL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Del Castillo Cáceres y Castro De la Borda (2015)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 matriz anota 2015 frente a 2018 en un registro; se conservó 2015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 Varine (2002)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Edición original francesa (ASDIC, 2002) confirmada; existen ediciones italiana (2005) y portuguesa (2012)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No se pudo consultar el contenido;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las ideas se presentan de forma general. No hay edición española confirmada. Cotejar con la edición disponible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Ewing y Handy (2009)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Revista, volumen, páginas, DOI y cinco cualidades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Forman (1995); Forman y Godron (1986)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Libros, editoriales y modelo parche-corredor-matriz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Funciones del corredor por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Gehl (2010)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Doce criterios en tres grupos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Ficha editorial no confirmada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Gehl (2011)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re-verificado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Edición de Island Press y traductor por conocimiento previo; la tipología de actividades es de la obra de 1971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Hilty et al. (2006)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Autores, editorial, año y alcance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ICOMOS (2008a) Carta de Interpretación y Presentación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Ratificación en Québec, definiciones y siete principios en fuentes secundarias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Cotejar con el texto oficial; no se incluyó URL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ICOMOS (2008b) Carta de Itinerarios Culturales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Ratificación, criterios y objetivos; enlace del archivo de ICOMOS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 definición textual es de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Jacobs (1961)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re-verificado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Cuatro condiciones y «ojos en la calle» por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Lerner (2005)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Edición del IAAC, ISBN, estructura de 39 relatos y sentido del término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Li et al. (2021)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MDPI e IDEAS/RePEc; método, 5 km, cifras de Beijing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Texto completo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Lynch (1960)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Obra y editorial; cinco elementos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Ciudades estudiadas por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Martínez Martínez (2020)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Páginas 53-71 y año; 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Confirmar la revista (Ería) y el volumen en el texto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Mejia Curahua et al. (2024)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Texto completo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Naciones Unidas (2015)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Resolución A/RES/70/1; metas 11.4 y 11.7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Proshansky et al. (1983)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Revista, páginas y DOI (Crossref)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Raymundo et al. (2025)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Datos de publicación y resumen (MDPI)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 una propuesta de diseño; no atribuir resultados medidos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Riegl (1903/1987)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Edición de Visor (1987) y traducción de A. Pérez López, en bibliografía secundaria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Valores de rememoración y contemporaneidad por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Roberts (2000)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Capítulo de Roberts en el manual de Roberts y Sykes; definición en fuentes secundarias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Páginas 9-36 de conocimiento previo: confirmarlas.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La redacción exacta de la definición varía entre autores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Rojas (2004)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Estudio del BID, año y alcance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Las tres obsolescencias se confirmaron en una fuente secundaria; octubre o noviembre de 2004 según la fuente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Smith (2006)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Editorial, año y argumento central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SER (2004)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Definición en copias del documento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Atributos del ecosistema por conocimiento previo; no se incluyó URL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Taylor et al. (1993)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Revista, volumen y páginas; definición de conectividad en trabajos posteriores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Tilden (1957)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Obra, año y seis principios confirmados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Editorial (University of North Carolina Press) no confirmada en la búsqueda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UNESCO (1972)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No re-verificado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Arts. 1 y 2 y la URL, por conocimiento previo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UNESCO (2011)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Párrafos 8 y 9 y enlace al texto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Nada pendiente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Urbina Lavajos y Vargas Chozo (2025)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Páginas (la matriz no las verificó)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Zhou y Mohamed Afla (2026)</w:t>
            </w:r>
          </w:p>
        </w:tc>
        <w:tc>
          <w:tcPr>
            <w:tcW w:type="dxa" w:w="107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487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Resumen de la matriz</w:t>
            </w:r>
          </w:p>
        </w:tc>
        <w:tc>
          <w:tcPr>
            <w:tcW w:type="dxa" w:w="55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Publicación anticipada: comprobar si ya tiene volumen y páginas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Observaciones de coherencia con el Trabajo de Investigación 01</w:t>
      </w:r>
    </w:p>
    <w:p>
      <w:r>
        <w:rPr>
          <w:rFonts w:ascii="Times New Roman" w:hAnsi="Times New Roman" w:eastAsia="Times New Roman" w:cs="Times New Roman"/>
          <w:b w:val="0"/>
          <w:i w:val="0"/>
        </w:rPr>
        <w:t>No se alteró nada de tu planteamiento. Estas son las inconsistencias detectadas, por orden de importancia, y por qué conviene revisarlas.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Dirección de la relación entre variables en el título.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El título dice «integración patrimonial mediante la revitalización y la implementación…», que se lee como si la integración se lograra a través de la revitalización (Y produce X). El problema general, el objetivo general y la hipótesis plantean lo contrario: la integración patrimonial contribuye a la revitalización (X produce Y). El marco teórico sigue la segunda lectura. Se mantuvo el título; una opción, a consultar con la docente, es «Integración patrimonial y revitalización mediante la implementación de un corredor ecológico y Centro de Interpretación Patrimonial. Distrito de Vischongo, Ayacucho, 2026».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Cuatro objetivos específicos frente a tres filas específicas en la matriz de consistencia.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La lámina 6 lista cuatro objetivos; la matriz de consistencia (lámina 7) solo desarrolla tres problemas, objetivos e hipótesis específicos. El cuarto («Proponer estrategias de integración patrimonial para la revitalización del distrito») no tiene problema ni hipótesis asociados.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Redacción distinta de los objetivos específicos 1 y 2.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En el objetivo 1, la lámina 6 dice «Identificar los valores y recursos patrimoniales culturales y naturales del ámbito» y la lámina 7 «Identificar y analizar los valores patrimoniales y su relación con el territorio». En el objetivo 2, la lámina 6 dice «Analizar las condiciones de accesibilidad, paisaje, espacio público y uso social» y la lámina 7 «Analizar las condiciones ambientales, funcionales y socioculturales». El marco teórico se alineó con la lámina 7, que coincide con las dimensiones Y1, Y2 e Y3.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La hipótesis específica 2 omite lo ambiental.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Menciona accesibilidad, continuidad paisajística y uso social, pero no vegetación ni residuos, que son indicadores de Y1.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Las definiciones conceptuales del TRA01 no llevan cita.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El Capítulo II ofrece definiciones sustentadas que desarrollan las del TRA01 sin modificarlas; podrías incorporarlas a la matriz de operacionalización cuando la docente lo permita.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</w:rPr>
        <w:t>La definición operacional de X incluye «puesta en valor»</w:t>
      </w:r>
      <w:r>
        <w:rPr>
          <w:rFonts w:ascii="Times New Roman" w:hAnsi="Times New Roman" w:eastAsia="Times New Roman" w:cs="Times New Roman"/>
          <w:b w:val="0"/>
          <w:i w:val="0"/>
        </w:rPr>
        <w:t>, que no corresponde a ninguna dimensión ni indicador; y la de Y menciona espacio público, paisaje y actividad cultural, pero no el soporte ambiental (vegetación, residuos).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7. </w:t>
      </w:r>
      <w:r>
        <w:rPr>
          <w:rFonts w:ascii="Times New Roman" w:hAnsi="Times New Roman" w:eastAsia="Times New Roman" w:cs="Times New Roman"/>
          <w:b/>
          <w:i w:val="0"/>
        </w:rPr>
        <w:t>Indicador «frecuencia de uso del Centro».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El Centro aún no existe en esta etapa. Conviene precisar si se medirá el uso proyectado, el de equipamientos comparables o el de los espacios actuales; de lo contrario, el indicador no es observable. Lo mismo ocurre con los «cambios esperados» de la definición operacional de Y: son expectativas y no resultados.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8. </w:t>
      </w:r>
      <w:r>
        <w:rPr>
          <w:rFonts w:ascii="Times New Roman" w:hAnsi="Times New Roman" w:eastAsia="Times New Roman" w:cs="Times New Roman"/>
          <w:b/>
          <w:i w:val="0"/>
        </w:rPr>
        <w:t>Metodología por precisar.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El propio TRA01 lo señala: tipo, nivel, población, muestra, técnicas y validación de instrumentos.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9. </w:t>
      </w:r>
      <w:r>
        <w:rPr>
          <w:rFonts w:ascii="Times New Roman" w:hAnsi="Times New Roman" w:eastAsia="Times New Roman" w:cs="Times New Roman"/>
          <w:b/>
          <w:i w:val="0"/>
        </w:rPr>
        <w:t>Referencias del TRA01.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La referencia de la Municipalidad lleva el marcador «[Completar fuente consultada]»; y el TRA01 cita a Raymundo et al. (2025), que se usó con el DOI correcto (10.3390/buildings15030355).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10. </w:t>
      </w:r>
      <w:r>
        <w:rPr>
          <w:rFonts w:ascii="Times New Roman" w:hAnsi="Times New Roman" w:eastAsia="Times New Roman" w:cs="Times New Roman"/>
          <w:b/>
          <w:i w:val="0"/>
        </w:rPr>
        <w:t>Terminología.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La separata usa «revalorización» en su ejemplo, y tu TRA01 usa «revitalización». Se mantuvo la tuya y se explicó en el Capítulo II su relación con regeneración y renovación.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11. </w:t>
      </w:r>
      <w:r>
        <w:rPr>
          <w:rFonts w:ascii="Times New Roman" w:hAnsi="Times New Roman" w:eastAsia="Times New Roman" w:cs="Times New Roman"/>
          <w:b/>
          <w:i w:val="0"/>
        </w:rPr>
        <w:t>Datos de la matriz de artículos.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Hay años discrepantes (Del Castillo: 2015 o 2018; Bolaños: 2021 o 2022) y el DOI de Chen et al. fue corregido en la matriz. Se usaron los años que tu matriz conserva.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Brechas y bibliografía complementaria recomendada</w:t>
      </w:r>
    </w:p>
    <w:p>
      <w:r>
        <w:rPr>
          <w:rFonts w:ascii="Times New Roman" w:hAnsi="Times New Roman" w:eastAsia="Times New Roman" w:cs="Times New Roman"/>
          <w:b w:val="0"/>
          <w:i w:val="0"/>
        </w:rPr>
        <w:t xml:space="preserve">Las siguientes fuentes se proponen para completar vacíos. </w:t>
      </w:r>
      <w:r>
        <w:rPr>
          <w:rFonts w:ascii="Times New Roman" w:hAnsi="Times New Roman" w:eastAsia="Times New Roman" w:cs="Times New Roman"/>
          <w:b/>
          <w:i w:val="0"/>
        </w:rPr>
        <w:t>No se verificaron en esta sesión: confirma todos los datos antes de citarlas.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515"/>
      </w:tblGrid>
      <w:tr>
        <w:trPr>
          <w:cantSplit/>
          <w:tblHeader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Brecha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Por qué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3D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9"/>
              </w:rPr>
              <w:t>Fuentes a consultar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Manejo de residuos (indicador de Y1)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Solo tiene respaldo indirecto, en la eliminación de amenazas de la SER (2004)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Wolman, A. (1965),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The metabolism of cities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, Scientific American 213(3); Kennedy, Cuddihy y Engel-Yan (2007),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The changing metabolism of cities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, Journal of Industrial Ecology 11(2); normativa peruana de gestión integral de residuos sólidos (Decreto Legislativo 1278 y su reglamento)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Centro de Interpretación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 única fila de la matriz sobre centros de visitantes no se pudo verificar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Reemplazar la fila I4 por un artículo verificable sobre centros de interpretación o de visitantes; revisar a Morales Miranda (2001),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Guía práctica para la interpretación del patrimonio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(Junta de Andalucía), y la literatura sobre aprendizaje en museos de Falk y Dierking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Participación e identidad en contexto andino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Las teorías de X3 provienen de contextos urbanos y europeos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Estudios peruanos sobre comunidades campesinas, museos comunitarios y gestión local del patrimonio (buscar en SciELO Perú, Dialnet, repositorios de la PUCP y la UNMSM)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Fuentes del distrito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El marco no usa documentos locales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Municipalidad Distrital de Vischongo y Provincial de Vilcashuamán (planes de desarrollo), Dirección Desconcentrada de Cultura de Ayacucho, Registro Nacional de Bienes Culturales del Ministerio de Cultura, INEI, y los registros que correspondan de SERNANP, ANA o MINAM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Qhapaq Ñan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Una búsqueda indica que existe el tramo Vilcashuamán-Sangalla del Qhapaq Ñan (inscrito por la UNESCO en 2014); no se encontró información sobre Vischongo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Consultar el portal del Proyecto Qhapaq Ñan del Ministerio de Cultura; si el ámbito está dentro o cerca de un tramo, reforzaría la teoría 3.2 (itinerarios culturales)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Lectura de los artículos de la matriz</w:t>
            </w:r>
          </w:p>
        </w:tc>
        <w:tc>
          <w:tcPr>
            <w:tcW w:type="dxa" w:w="317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Solo se usaron los resúmenes</w:t>
            </w:r>
          </w:p>
        </w:tc>
        <w:tc>
          <w:tcPr>
            <w:tcW w:type="dxa" w:w="35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Leer el texto completo de Li et al. (2021), Urbina y Vargas (2025), Martínez (2020), Del Castillo y Castro (2015) y Chen et al. (2024), para profundizar y agregar páginas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Lista de pendientes antes de entregar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Lee el PDF completo y asegúrate de poder explicar cada teoría con tus palabras. Es tu trabajo y la docente puede preguntar por él.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Coteja primero lo marcado en negrita en la sección 4 (Roberts, de Varine, Tilden) y luego los demás casos con estado B.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Decide con la docente la redacción del título (observación 1) y la alineación de los objetivos específicos (observaciones 2 a 4).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Resuelve las filas I2 e I4 de la matriz de artículos (confirmar el DOI o sustituir) y avisa a la docente si cambian.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Pregunta si la docente exige un formato (tipo de letra, interlineado, citas con página); la separata no lo especifica. El trabajo usa Times New Roman 12, interlineado 1,15, normas APA 7.ª edición.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Si editas el Word, el índice no se actualiza solo: actualiza a mano los números de página o pídeme que lo regenere.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Exporta el PDF final y sube </w:t>
      </w:r>
      <w:r>
        <w:rPr>
          <w:rFonts w:ascii="Times New Roman" w:hAnsi="Times New Roman" w:eastAsia="Times New Roman" w:cs="Times New Roman"/>
          <w:b/>
          <w:i w:val="0"/>
          <w:sz w:val="20"/>
        </w:rPr>
        <w:t>solo el trabajo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 (no este informe) al aula virtual antes de la medianoche del sábado 17 de octubre.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80" w:line="264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20" w:line="264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80" w:line="264" w:lineRule="auto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  <w:jc w:val="left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apoyo al marco teórico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