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line="276" w:lineRule="auto"/>
        <w:jc w:val="center"/>
      </w:pPr>
      <w:r>
        <w:rPr>
          <w:rFonts w:ascii="Times New Roman" w:hAnsi="Times New Roman" w:eastAsia="Times New Roman" w:cs="Times New Roman"/>
          <w:b/>
          <w:i w:val="0"/>
          <w:sz w:val="40"/>
        </w:rPr>
        <w:t>UNIVERSIDAD RICARDO PALMA</w:t>
      </w:r>
    </w:p>
    <w:p>
      <w:pPr>
        <w:spacing w:before="120" w:after="0" w:line="276" w:lineRule="auto"/>
        <w:jc w:val="center"/>
      </w:pPr>
      <w:r>
        <w:rPr>
          <w:rFonts w:ascii="Times New Roman" w:hAnsi="Times New Roman" w:eastAsia="Times New Roman" w:cs="Times New Roman"/>
          <w:b/>
          <w:i w:val="0"/>
          <w:sz w:val="26"/>
        </w:rPr>
        <w:t>FACULTAD DE ARQUITECTURA Y URBANISMO</w:t>
      </w:r>
    </w:p>
    <w:p>
      <w:pPr>
        <w:pBdr>
          <w:bottom w:val="single" w:sz="12" w:space="1" w:color="1F4E3D"/>
        </w:pBdr>
        <w:spacing w:before="120" w:after="120" w:line="276" w:lineRule="auto"/>
        <w:jc w:val="center"/>
      </w:pPr>
      <w:r>
        <w:rPr>
          <w:rFonts w:ascii="Times New Roman" w:hAnsi="Times New Roman" w:eastAsia="Times New Roman" w:cs="Times New Roman"/>
          <w:b w:val="0"/>
          <w:i w:val="0"/>
          <w:sz w:val="12"/>
        </w:rPr>
      </w:r>
    </w:p>
    <w:p>
      <w:pPr>
        <w:spacing w:before="520" w:after="0" w:line="276" w:lineRule="auto"/>
        <w:jc w:val="center"/>
      </w:pPr>
      <w:r>
        <w:rPr>
          <w:rFonts w:ascii="Times New Roman" w:hAnsi="Times New Roman" w:eastAsia="Times New Roman" w:cs="Times New Roman"/>
          <w:b w:val="0"/>
          <w:i w:val="0"/>
          <w:sz w:val="26"/>
        </w:rPr>
        <w:t>Curso: Trabajo de Investigación</w:t>
      </w:r>
    </w:p>
    <w:p>
      <w:pPr>
        <w:spacing w:before="80" w:after="0" w:line="276" w:lineRule="auto"/>
        <w:jc w:val="center"/>
      </w:pPr>
      <w:r>
        <w:rPr>
          <w:rFonts w:ascii="Times New Roman" w:hAnsi="Times New Roman" w:eastAsia="Times New Roman" w:cs="Times New Roman"/>
          <w:b w:val="0"/>
          <w:i/>
          <w:sz w:val="24"/>
        </w:rPr>
        <w:t>Entrega parcial</w:t>
      </w:r>
    </w:p>
    <w:p>
      <w:pPr>
        <w:spacing w:before="1920" w:after="280" w:line="312" w:lineRule="auto"/>
        <w:jc w:val="center"/>
      </w:pPr>
      <w:r>
        <w:rPr>
          <w:rFonts w:ascii="Times New Roman" w:hAnsi="Times New Roman" w:eastAsia="Times New Roman" w:cs="Times New Roman"/>
          <w:b/>
          <w:i w:val="0"/>
          <w:sz w:val="38"/>
        </w:rPr>
        <w:t>Integración patrimonial mediante la revitalización y la implementación de un corredor ecológico y Centro de Interpretación Patrimonial</w:t>
      </w:r>
    </w:p>
    <w:p>
      <w:pPr>
        <w:spacing w:before="0" w:after="0" w:line="276" w:lineRule="auto"/>
        <w:jc w:val="center"/>
      </w:pPr>
      <w:r>
        <w:rPr>
          <w:rFonts w:ascii="Times New Roman" w:hAnsi="Times New Roman" w:eastAsia="Times New Roman" w:cs="Times New Roman"/>
          <w:b w:val="0"/>
          <w:i/>
          <w:sz w:val="30"/>
        </w:rPr>
        <w:t>Distrito de Vischongo, Ayacucho, 2026</w:t>
      </w:r>
    </w:p>
    <w:p>
      <w:pPr>
        <w:spacing w:before="1000" w:after="0" w:line="276" w:lineRule="auto"/>
        <w:jc w:val="center"/>
      </w:pPr>
      <w:r>
        <w:rPr>
          <w:rFonts w:ascii="Times New Roman" w:hAnsi="Times New Roman" w:eastAsia="Times New Roman" w:cs="Times New Roman"/>
          <w:b w:val="0"/>
          <w:i w:val="0"/>
          <w:color w:val="404040"/>
          <w:sz w:val="24"/>
        </w:rPr>
        <w:t>Marco teórico de la investigación, definiciones conceptuales y sustentación de variables</w:t>
      </w:r>
    </w:p>
    <w:p>
      <w:pPr>
        <w:spacing w:before="2400" w:after="0" w:line="276" w:lineRule="auto"/>
        <w:jc w:val="center"/>
      </w:pPr>
      <w:r>
        <w:rPr>
          <w:rFonts w:ascii="Times New Roman" w:hAnsi="Times New Roman" w:eastAsia="Times New Roman" w:cs="Times New Roman"/>
          <w:b w:val="0"/>
          <w:i w:val="0"/>
          <w:sz w:val="24"/>
        </w:rPr>
        <w:t>Estudiante: Cumpa Uriarte, Juliette (código 202210779)</w:t>
      </w:r>
    </w:p>
    <w:p>
      <w:pPr>
        <w:spacing w:before="80" w:after="0" w:line="276" w:lineRule="auto"/>
        <w:jc w:val="center"/>
      </w:pPr>
      <w:r>
        <w:rPr>
          <w:rFonts w:ascii="Times New Roman" w:hAnsi="Times New Roman" w:eastAsia="Times New Roman" w:cs="Times New Roman"/>
          <w:b w:val="0"/>
          <w:i w:val="0"/>
          <w:sz w:val="24"/>
        </w:rPr>
        <w:t>Docente: Mg. Arq. Vanessa O. Raymundo Martinez</w:t>
      </w:r>
    </w:p>
    <w:p>
      <w:pPr>
        <w:spacing w:before="80" w:after="0" w:line="276" w:lineRule="auto"/>
        <w:jc w:val="center"/>
      </w:pPr>
      <w:r>
        <w:rPr>
          <w:rFonts w:ascii="Times New Roman" w:hAnsi="Times New Roman" w:eastAsia="Times New Roman" w:cs="Times New Roman"/>
          <w:b w:val="0"/>
          <w:i w:val="0"/>
          <w:sz w:val="24"/>
        </w:rPr>
        <w:t>Semestre académico 2026-II</w:t>
      </w:r>
    </w:p>
    <w:p>
      <w:pPr>
        <w:spacing w:before="80" w:after="0" w:line="276" w:lineRule="auto"/>
        <w:jc w:val="center"/>
      </w:pPr>
      <w:r>
        <w:rPr>
          <w:rFonts w:ascii="Times New Roman" w:hAnsi="Times New Roman" w:eastAsia="Times New Roman" w:cs="Times New Roman"/>
          <w:b w:val="0"/>
          <w:i w:val="0"/>
          <w:sz w:val="24"/>
        </w:rPr>
        <w:t>Lima, Perú · octubre de 2026</w:t>
      </w:r>
    </w:p>
    <w:p>
      <w:pPr>
        <w:pageBreakBefore/>
        <w:spacing w:after="240"/>
        <w:jc w:val="center"/>
      </w:pPr>
      <w:r>
        <w:rPr>
          <w:rFonts w:ascii="Times New Roman" w:hAnsi="Times New Roman" w:eastAsia="Times New Roman" w:cs="Times New Roman"/>
          <w:b/>
          <w:sz w:val="28"/>
        </w:rPr>
        <w:t>ÍNDICE</w:t>
      </w:r>
    </w:p>
    <w:p>
      <w:pPr>
        <w:tabs>
          <w:tab w:pos="9071" w:val="right" w:leader="dot"/>
        </w:tabs>
        <w:spacing w:after="60" w:line="240" w:lineRule="auto"/>
        <w:ind w:left="0" w:right="0" w:firstLine="0"/>
        <w:jc w:val="left"/>
      </w:pPr>
      <w:r>
        <w:rPr>
          <w:rFonts w:ascii="Times New Roman" w:hAnsi="Times New Roman" w:eastAsia="Times New Roman" w:cs="Times New Roman"/>
          <w:b/>
          <w:i w:val="0"/>
          <w:sz w:val="22"/>
        </w:rPr>
        <w:t>INTRODUCCIÓN DEL MARCO TEÓRICO</w:t>
      </w:r>
      <w:r>
        <w:rPr>
          <w:rFonts w:ascii="Times New Roman" w:hAnsi="Times New Roman" w:eastAsia="Times New Roman" w:cs="Times New Roman"/>
          <w:b/>
          <w:sz w:val="22"/>
        </w:rPr>
        <w:tab/>
        <w:t>4</w:t>
      </w:r>
    </w:p>
    <w:p>
      <w:pPr>
        <w:tabs>
          <w:tab w:pos="9071" w:val="right" w:leader="dot"/>
        </w:tabs>
        <w:spacing w:after="60" w:line="240" w:lineRule="auto"/>
        <w:ind w:left="0" w:right="0" w:firstLine="0"/>
        <w:jc w:val="left"/>
      </w:pPr>
      <w:r>
        <w:rPr>
          <w:rFonts w:ascii="Times New Roman" w:hAnsi="Times New Roman" w:eastAsia="Times New Roman" w:cs="Times New Roman"/>
          <w:b/>
          <w:i w:val="0"/>
          <w:sz w:val="22"/>
        </w:rPr>
        <w:t>CAPÍTULO I. MARCO TEÓRICO DE LA INVESTIGACIÓN</w:t>
      </w:r>
      <w:r>
        <w:rPr>
          <w:rFonts w:ascii="Times New Roman" w:hAnsi="Times New Roman" w:eastAsia="Times New Roman" w:cs="Times New Roman"/>
          <w:b/>
          <w:sz w:val="22"/>
        </w:rPr>
        <w:tab/>
        <w:t>5</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1. Variable independiente: Integración patrimonial</w:t>
      </w:r>
      <w:r>
        <w:rPr>
          <w:rFonts w:ascii="Times New Roman" w:hAnsi="Times New Roman" w:eastAsia="Times New Roman" w:cs="Times New Roman"/>
          <w:b w:val="0"/>
          <w:sz w:val="21"/>
        </w:rPr>
        <w:tab/>
        <w:t>5</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1.1. La conservación integrada: Declaración de Ámsterdam (Consejo de Europa, 1975)</w:t>
      </w:r>
      <w:r>
        <w:rPr>
          <w:rFonts w:ascii="Times New Roman" w:hAnsi="Times New Roman" w:eastAsia="Times New Roman" w:cs="Times New Roman"/>
          <w:b w:val="0"/>
          <w:sz w:val="21"/>
        </w:rPr>
        <w:tab/>
        <w:t>5</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1.2. El paisaje urbano histórico (UNESCO, 2011)</w:t>
      </w:r>
      <w:r>
        <w:rPr>
          <w:rFonts w:ascii="Times New Roman" w:hAnsi="Times New Roman" w:eastAsia="Times New Roman" w:cs="Times New Roman"/>
          <w:b w:val="0"/>
          <w:sz w:val="21"/>
        </w:rPr>
        <w:tab/>
        <w:t>6</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1.3. El paisaje como articulador entre patrimonio y territorio: Martínez Martínez (2020)</w:t>
      </w:r>
      <w:r>
        <w:rPr>
          <w:rFonts w:ascii="Times New Roman" w:hAnsi="Times New Roman" w:eastAsia="Times New Roman" w:cs="Times New Roman"/>
          <w:b w:val="0"/>
          <w:sz w:val="21"/>
        </w:rPr>
        <w:tab/>
        <w:t>6</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 Dimensión X1: Reconocimiento patrimonial</w:t>
      </w:r>
      <w:r>
        <w:rPr>
          <w:rFonts w:ascii="Times New Roman" w:hAnsi="Times New Roman" w:eastAsia="Times New Roman" w:cs="Times New Roman"/>
          <w:b w:val="0"/>
          <w:sz w:val="21"/>
        </w:rPr>
        <w:tab/>
        <w:t>7</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2.1. La teoría de los valores del monumento: Riegl (1903/1987)</w:t>
      </w:r>
      <w:r>
        <w:rPr>
          <w:rFonts w:ascii="Times New Roman" w:hAnsi="Times New Roman" w:eastAsia="Times New Roman" w:cs="Times New Roman"/>
          <w:b w:val="0"/>
          <w:sz w:val="21"/>
        </w:rPr>
        <w:tab/>
        <w:t>8</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2.2. El significado cultural y su proceso: Carta de Burra (Australia ICOMOS, 2013)</w:t>
      </w:r>
      <w:r>
        <w:rPr>
          <w:rFonts w:ascii="Times New Roman" w:hAnsi="Times New Roman" w:eastAsia="Times New Roman" w:cs="Times New Roman"/>
          <w:b w:val="0"/>
          <w:sz w:val="21"/>
        </w:rPr>
        <w:tab/>
        <w:t>8</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2.3. El reconocimiento del paisaje: Convenio Europeo del Paisaje (Consejo de Europa, 2000)</w:t>
      </w:r>
      <w:r>
        <w:rPr>
          <w:rFonts w:ascii="Times New Roman" w:hAnsi="Times New Roman" w:eastAsia="Times New Roman" w:cs="Times New Roman"/>
          <w:b w:val="0"/>
          <w:sz w:val="21"/>
        </w:rPr>
        <w:tab/>
        <w:t>9</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3. Dimensión X2: Articulación territorial</w:t>
      </w:r>
      <w:r>
        <w:rPr>
          <w:rFonts w:ascii="Times New Roman" w:hAnsi="Times New Roman" w:eastAsia="Times New Roman" w:cs="Times New Roman"/>
          <w:b w:val="0"/>
          <w:sz w:val="21"/>
        </w:rPr>
        <w:tab/>
        <w:t>10</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3.1. Legibilidad y estructura del territorio: Lynch (1960)</w:t>
      </w:r>
      <w:r>
        <w:rPr>
          <w:rFonts w:ascii="Times New Roman" w:hAnsi="Times New Roman" w:eastAsia="Times New Roman" w:cs="Times New Roman"/>
          <w:b w:val="0"/>
          <w:sz w:val="21"/>
        </w:rPr>
        <w:tab/>
        <w:t>10</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3.2. Los itinerarios culturales: ICOMOS (2008b)</w:t>
      </w:r>
      <w:r>
        <w:rPr>
          <w:rFonts w:ascii="Times New Roman" w:hAnsi="Times New Roman" w:eastAsia="Times New Roman" w:cs="Times New Roman"/>
          <w:b w:val="0"/>
          <w:sz w:val="21"/>
        </w:rPr>
        <w:tab/>
        <w:t>11</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3.3. Red integrada de corredores ecológicos y culturales: Li, Wang y Dong (2021)</w:t>
      </w:r>
      <w:r>
        <w:rPr>
          <w:rFonts w:ascii="Times New Roman" w:hAnsi="Times New Roman" w:eastAsia="Times New Roman" w:cs="Times New Roman"/>
          <w:b w:val="0"/>
          <w:sz w:val="21"/>
        </w:rPr>
        <w:tab/>
        <w:t>12</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4. Dimensión X3: Participación e identidad</w:t>
      </w:r>
      <w:r>
        <w:rPr>
          <w:rFonts w:ascii="Times New Roman" w:hAnsi="Times New Roman" w:eastAsia="Times New Roman" w:cs="Times New Roman"/>
          <w:b w:val="0"/>
          <w:sz w:val="21"/>
        </w:rPr>
        <w:tab/>
        <w:t>13</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4.1. La identidad de lugar: Proshansky, Fabian y Kaminoff (1983)</w:t>
      </w:r>
      <w:r>
        <w:rPr>
          <w:rFonts w:ascii="Times New Roman" w:hAnsi="Times New Roman" w:eastAsia="Times New Roman" w:cs="Times New Roman"/>
          <w:b w:val="0"/>
          <w:sz w:val="21"/>
        </w:rPr>
        <w:tab/>
        <w:t>13</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4.2. La escalera de la participación ciudadana: Arnstein (1969)</w:t>
      </w:r>
      <w:r>
        <w:rPr>
          <w:rFonts w:ascii="Times New Roman" w:hAnsi="Times New Roman" w:eastAsia="Times New Roman" w:cs="Times New Roman"/>
          <w:b w:val="0"/>
          <w:sz w:val="21"/>
        </w:rPr>
        <w:tab/>
        <w:t>14</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4.3. La comunidad patrimonial: Convenio Marco de Faro (Consejo de Europa, 2005)</w:t>
      </w:r>
      <w:r>
        <w:rPr>
          <w:rFonts w:ascii="Times New Roman" w:hAnsi="Times New Roman" w:eastAsia="Times New Roman" w:cs="Times New Roman"/>
          <w:b w:val="0"/>
          <w:sz w:val="21"/>
        </w:rPr>
        <w:tab/>
        <w:t>15</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5. Variable dependiente: Revitalización</w:t>
      </w:r>
      <w:r>
        <w:rPr>
          <w:rFonts w:ascii="Times New Roman" w:hAnsi="Times New Roman" w:eastAsia="Times New Roman" w:cs="Times New Roman"/>
          <w:b w:val="0"/>
          <w:sz w:val="21"/>
        </w:rPr>
        <w:tab/>
        <w:t>15</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5.1. La regeneración urbana integral: Roberts (2000)</w:t>
      </w:r>
      <w:r>
        <w:rPr>
          <w:rFonts w:ascii="Times New Roman" w:hAnsi="Times New Roman" w:eastAsia="Times New Roman" w:cs="Times New Roman"/>
          <w:b w:val="0"/>
          <w:sz w:val="21"/>
        </w:rPr>
        <w:tab/>
        <w:t>16</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5.2. La acupuntura urbana: Lerner (2005)</w:t>
      </w:r>
      <w:r>
        <w:rPr>
          <w:rFonts w:ascii="Times New Roman" w:hAnsi="Times New Roman" w:eastAsia="Times New Roman" w:cs="Times New Roman"/>
          <w:b w:val="0"/>
          <w:sz w:val="21"/>
        </w:rPr>
        <w:tab/>
        <w:t>16</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5.3. La recuperación de áreas patrimoniales degradadas: Rojas (2004)</w:t>
      </w:r>
      <w:r>
        <w:rPr>
          <w:rFonts w:ascii="Times New Roman" w:hAnsi="Times New Roman" w:eastAsia="Times New Roman" w:cs="Times New Roman"/>
          <w:b w:val="0"/>
          <w:sz w:val="21"/>
        </w:rPr>
        <w:tab/>
        <w:t>17</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6. Dimensión Y1: Revitalización ambiental</w:t>
      </w:r>
      <w:r>
        <w:rPr>
          <w:rFonts w:ascii="Times New Roman" w:hAnsi="Times New Roman" w:eastAsia="Times New Roman" w:cs="Times New Roman"/>
          <w:b w:val="0"/>
          <w:sz w:val="21"/>
        </w:rPr>
        <w:tab/>
        <w:t>18</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6.1. La ecología del paisaje y la conectividad: el modelo parche-corredor-matriz (Forman, 1995)</w:t>
      </w:r>
      <w:r>
        <w:rPr>
          <w:rFonts w:ascii="Times New Roman" w:hAnsi="Times New Roman" w:eastAsia="Times New Roman" w:cs="Times New Roman"/>
          <w:b w:val="0"/>
          <w:sz w:val="21"/>
        </w:rPr>
        <w:tab/>
        <w:t>18</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6.2. La infraestructura verde: Benedict y McMahon (2006)</w:t>
      </w:r>
      <w:r>
        <w:rPr>
          <w:rFonts w:ascii="Times New Roman" w:hAnsi="Times New Roman" w:eastAsia="Times New Roman" w:cs="Times New Roman"/>
          <w:b w:val="0"/>
          <w:sz w:val="21"/>
        </w:rPr>
        <w:tab/>
        <w:t>19</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6.3. La restauración ecológica: Society for Ecological Restoration (2004)</w:t>
      </w:r>
      <w:r>
        <w:rPr>
          <w:rFonts w:ascii="Times New Roman" w:hAnsi="Times New Roman" w:eastAsia="Times New Roman" w:cs="Times New Roman"/>
          <w:b w:val="0"/>
          <w:sz w:val="21"/>
        </w:rPr>
        <w:tab/>
        <w:t>20</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7. Dimensión Y2: Revitalización urbana y funcional</w:t>
      </w:r>
      <w:r>
        <w:rPr>
          <w:rFonts w:ascii="Times New Roman" w:hAnsi="Times New Roman" w:eastAsia="Times New Roman" w:cs="Times New Roman"/>
          <w:b w:val="0"/>
          <w:sz w:val="21"/>
        </w:rPr>
        <w:tab/>
        <w:t>21</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7.1. La vitalidad urbana: Jacobs (1961)</w:t>
      </w:r>
      <w:r>
        <w:rPr>
          <w:rFonts w:ascii="Times New Roman" w:hAnsi="Times New Roman" w:eastAsia="Times New Roman" w:cs="Times New Roman"/>
          <w:b w:val="0"/>
          <w:sz w:val="21"/>
        </w:rPr>
        <w:tab/>
        <w:t>21</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7.2. La calidad del espacio público a escala humana: Gehl (2010)</w:t>
      </w:r>
      <w:r>
        <w:rPr>
          <w:rFonts w:ascii="Times New Roman" w:hAnsi="Times New Roman" w:eastAsia="Times New Roman" w:cs="Times New Roman"/>
          <w:b w:val="0"/>
          <w:sz w:val="21"/>
        </w:rPr>
        <w:tab/>
        <w:t>22</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7.3. Cualidades de diseño y caminabilidad: Ewing y Handy (2009)</w:t>
      </w:r>
      <w:r>
        <w:rPr>
          <w:rFonts w:ascii="Times New Roman" w:hAnsi="Times New Roman" w:eastAsia="Times New Roman" w:cs="Times New Roman"/>
          <w:b w:val="0"/>
          <w:sz w:val="21"/>
        </w:rPr>
        <w:tab/>
        <w:t>22</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8. Dimensión Y3: Revitalización sociocultural</w:t>
      </w:r>
      <w:r>
        <w:rPr>
          <w:rFonts w:ascii="Times New Roman" w:hAnsi="Times New Roman" w:eastAsia="Times New Roman" w:cs="Times New Roman"/>
          <w:b w:val="0"/>
          <w:sz w:val="21"/>
        </w:rPr>
        <w:tab/>
        <w:t>23</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8.1. La interpretación del patrimonio: Tilden (1957)</w:t>
      </w:r>
      <w:r>
        <w:rPr>
          <w:rFonts w:ascii="Times New Roman" w:hAnsi="Times New Roman" w:eastAsia="Times New Roman" w:cs="Times New Roman"/>
          <w:b w:val="0"/>
          <w:sz w:val="21"/>
        </w:rPr>
        <w:tab/>
        <w:t>23</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8.2. Los principios de interpretación y presentación: ICOMOS (2008a)</w:t>
      </w:r>
      <w:r>
        <w:rPr>
          <w:rFonts w:ascii="Times New Roman" w:hAnsi="Times New Roman" w:eastAsia="Times New Roman" w:cs="Times New Roman"/>
          <w:b w:val="0"/>
          <w:sz w:val="21"/>
        </w:rPr>
        <w:tab/>
        <w:t>24</w:t>
      </w:r>
    </w:p>
    <w:p>
      <w:pPr>
        <w:tabs>
          <w:tab w:pos="9071" w:val="right" w:leader="dot"/>
        </w:tabs>
        <w:spacing w:after="40" w:line="240" w:lineRule="auto"/>
        <w:ind w:left="680" w:right="0" w:firstLine="0"/>
        <w:jc w:val="left"/>
      </w:pPr>
      <w:r>
        <w:rPr>
          <w:rFonts w:ascii="Times New Roman" w:hAnsi="Times New Roman" w:eastAsia="Times New Roman" w:cs="Times New Roman"/>
          <w:b w:val="0"/>
          <w:i w:val="0"/>
          <w:sz w:val="21"/>
        </w:rPr>
        <w:t>8.3. El patrimonio como recurso de desarrollo local comunitario: de Varine (2002)</w:t>
      </w:r>
      <w:r>
        <w:rPr>
          <w:rFonts w:ascii="Times New Roman" w:hAnsi="Times New Roman" w:eastAsia="Times New Roman" w:cs="Times New Roman"/>
          <w:b w:val="0"/>
          <w:sz w:val="21"/>
        </w:rPr>
        <w:tab/>
        <w:t>25</w:t>
      </w:r>
    </w:p>
    <w:p>
      <w:pPr>
        <w:tabs>
          <w:tab w:pos="9071" w:val="right" w:leader="dot"/>
        </w:tabs>
        <w:spacing w:after="60" w:line="240" w:lineRule="auto"/>
        <w:ind w:left="0" w:right="0" w:firstLine="0"/>
        <w:jc w:val="left"/>
      </w:pPr>
      <w:r>
        <w:rPr>
          <w:rFonts w:ascii="Times New Roman" w:hAnsi="Times New Roman" w:eastAsia="Times New Roman" w:cs="Times New Roman"/>
          <w:b/>
          <w:i w:val="0"/>
          <w:sz w:val="22"/>
        </w:rPr>
        <w:t>CAPÍTULO II. DEFINICIONES CONCEPTUALES</w:t>
      </w:r>
      <w:r>
        <w:rPr>
          <w:rFonts w:ascii="Times New Roman" w:hAnsi="Times New Roman" w:eastAsia="Times New Roman" w:cs="Times New Roman"/>
          <w:b/>
          <w:sz w:val="22"/>
        </w:rPr>
        <w:tab/>
        <w:t>26</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2.1. Integración patrimonial</w:t>
      </w:r>
      <w:r>
        <w:rPr>
          <w:rFonts w:ascii="Times New Roman" w:hAnsi="Times New Roman" w:eastAsia="Times New Roman" w:cs="Times New Roman"/>
          <w:b w:val="0"/>
          <w:sz w:val="21"/>
        </w:rPr>
        <w:tab/>
        <w:t>26</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2.2. Reconocimiento patrimonial</w:t>
      </w:r>
      <w:r>
        <w:rPr>
          <w:rFonts w:ascii="Times New Roman" w:hAnsi="Times New Roman" w:eastAsia="Times New Roman" w:cs="Times New Roman"/>
          <w:b w:val="0"/>
          <w:sz w:val="21"/>
        </w:rPr>
        <w:tab/>
        <w:t>26</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2.3. Articulación territorial</w:t>
      </w:r>
      <w:r>
        <w:rPr>
          <w:rFonts w:ascii="Times New Roman" w:hAnsi="Times New Roman" w:eastAsia="Times New Roman" w:cs="Times New Roman"/>
          <w:b w:val="0"/>
          <w:sz w:val="21"/>
        </w:rPr>
        <w:tab/>
        <w:t>27</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2.4. Participación e identidad</w:t>
      </w:r>
      <w:r>
        <w:rPr>
          <w:rFonts w:ascii="Times New Roman" w:hAnsi="Times New Roman" w:eastAsia="Times New Roman" w:cs="Times New Roman"/>
          <w:b w:val="0"/>
          <w:sz w:val="21"/>
        </w:rPr>
        <w:tab/>
        <w:t>27</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2.5. Revitalización</w:t>
      </w:r>
      <w:r>
        <w:rPr>
          <w:rFonts w:ascii="Times New Roman" w:hAnsi="Times New Roman" w:eastAsia="Times New Roman" w:cs="Times New Roman"/>
          <w:b w:val="0"/>
          <w:sz w:val="21"/>
        </w:rPr>
        <w:tab/>
        <w:t>27</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2.6. Revitalización ambiental</w:t>
      </w:r>
      <w:r>
        <w:rPr>
          <w:rFonts w:ascii="Times New Roman" w:hAnsi="Times New Roman" w:eastAsia="Times New Roman" w:cs="Times New Roman"/>
          <w:b w:val="0"/>
          <w:sz w:val="21"/>
        </w:rPr>
        <w:tab/>
        <w:t>28</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2.7. Revitalización urbana y funcional</w:t>
      </w:r>
      <w:r>
        <w:rPr>
          <w:rFonts w:ascii="Times New Roman" w:hAnsi="Times New Roman" w:eastAsia="Times New Roman" w:cs="Times New Roman"/>
          <w:b w:val="0"/>
          <w:sz w:val="21"/>
        </w:rPr>
        <w:tab/>
        <w:t>28</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2.8. Revitalización sociocultural</w:t>
      </w:r>
      <w:r>
        <w:rPr>
          <w:rFonts w:ascii="Times New Roman" w:hAnsi="Times New Roman" w:eastAsia="Times New Roman" w:cs="Times New Roman"/>
          <w:b w:val="0"/>
          <w:sz w:val="21"/>
        </w:rPr>
        <w:tab/>
        <w:t>28</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2.9. Corredor ecológico</w:t>
      </w:r>
      <w:r>
        <w:rPr>
          <w:rFonts w:ascii="Times New Roman" w:hAnsi="Times New Roman" w:eastAsia="Times New Roman" w:cs="Times New Roman"/>
          <w:b w:val="0"/>
          <w:sz w:val="21"/>
        </w:rPr>
        <w:tab/>
        <w:t>28</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2.10. Centro de Interpretación Patrimonial</w:t>
      </w:r>
      <w:r>
        <w:rPr>
          <w:rFonts w:ascii="Times New Roman" w:hAnsi="Times New Roman" w:eastAsia="Times New Roman" w:cs="Times New Roman"/>
          <w:b w:val="0"/>
          <w:sz w:val="21"/>
        </w:rPr>
        <w:tab/>
        <w:t>29</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2.11. Patrimonio cultural y natural</w:t>
      </w:r>
      <w:r>
        <w:rPr>
          <w:rFonts w:ascii="Times New Roman" w:hAnsi="Times New Roman" w:eastAsia="Times New Roman" w:cs="Times New Roman"/>
          <w:b w:val="0"/>
          <w:sz w:val="21"/>
        </w:rPr>
        <w:tab/>
        <w:t>29</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2.12. Paisaje</w:t>
      </w:r>
      <w:r>
        <w:rPr>
          <w:rFonts w:ascii="Times New Roman" w:hAnsi="Times New Roman" w:eastAsia="Times New Roman" w:cs="Times New Roman"/>
          <w:b w:val="0"/>
          <w:sz w:val="21"/>
        </w:rPr>
        <w:tab/>
        <w:t>30</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2.13. Infraestructura verde</w:t>
      </w:r>
      <w:r>
        <w:rPr>
          <w:rFonts w:ascii="Times New Roman" w:hAnsi="Times New Roman" w:eastAsia="Times New Roman" w:cs="Times New Roman"/>
          <w:b w:val="0"/>
          <w:sz w:val="21"/>
        </w:rPr>
        <w:tab/>
        <w:t>30</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2.14. Espacio público</w:t>
      </w:r>
      <w:r>
        <w:rPr>
          <w:rFonts w:ascii="Times New Roman" w:hAnsi="Times New Roman" w:eastAsia="Times New Roman" w:cs="Times New Roman"/>
          <w:b w:val="0"/>
          <w:sz w:val="21"/>
        </w:rPr>
        <w:tab/>
        <w:t>30</w:t>
      </w:r>
    </w:p>
    <w:p>
      <w:pPr>
        <w:tabs>
          <w:tab w:pos="9071" w:val="right" w:leader="dot"/>
        </w:tabs>
        <w:spacing w:after="60" w:line="240" w:lineRule="auto"/>
        <w:ind w:left="0" w:right="0" w:firstLine="0"/>
        <w:jc w:val="left"/>
      </w:pPr>
      <w:r>
        <w:rPr>
          <w:rFonts w:ascii="Times New Roman" w:hAnsi="Times New Roman" w:eastAsia="Times New Roman" w:cs="Times New Roman"/>
          <w:b/>
          <w:i w:val="0"/>
          <w:sz w:val="22"/>
        </w:rPr>
        <w:t>CAPÍTULO III. SUSTENTACIÓN DE VARIABLES</w:t>
      </w:r>
      <w:r>
        <w:rPr>
          <w:rFonts w:ascii="Times New Roman" w:hAnsi="Times New Roman" w:eastAsia="Times New Roman" w:cs="Times New Roman"/>
          <w:b/>
          <w:sz w:val="22"/>
        </w:rPr>
        <w:tab/>
        <w:t>31</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3.1. Sustentación de la variable independiente: Integración patrimonial</w:t>
      </w:r>
      <w:r>
        <w:rPr>
          <w:rFonts w:ascii="Times New Roman" w:hAnsi="Times New Roman" w:eastAsia="Times New Roman" w:cs="Times New Roman"/>
          <w:b w:val="0"/>
          <w:sz w:val="21"/>
        </w:rPr>
        <w:tab/>
        <w:t>32</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3.2. Sustentación de la variable dependiente: Revitalización</w:t>
      </w:r>
      <w:r>
        <w:rPr>
          <w:rFonts w:ascii="Times New Roman" w:hAnsi="Times New Roman" w:eastAsia="Times New Roman" w:cs="Times New Roman"/>
          <w:b w:val="0"/>
          <w:sz w:val="21"/>
        </w:rPr>
        <w:tab/>
        <w:t>33</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3.3. Relación teórica entre ambas variables y aplicación al objeto de estudio</w:t>
      </w:r>
      <w:r>
        <w:rPr>
          <w:rFonts w:ascii="Times New Roman" w:hAnsi="Times New Roman" w:eastAsia="Times New Roman" w:cs="Times New Roman"/>
          <w:b w:val="0"/>
          <w:sz w:val="21"/>
        </w:rPr>
        <w:tab/>
        <w:t>33</w:t>
      </w:r>
    </w:p>
    <w:p>
      <w:pPr>
        <w:tabs>
          <w:tab w:pos="9071" w:val="right" w:leader="dot"/>
        </w:tabs>
        <w:spacing w:after="40" w:line="240" w:lineRule="auto"/>
        <w:ind w:left="340" w:right="0" w:firstLine="0"/>
        <w:jc w:val="left"/>
      </w:pPr>
      <w:r>
        <w:rPr>
          <w:rFonts w:ascii="Times New Roman" w:hAnsi="Times New Roman" w:eastAsia="Times New Roman" w:cs="Times New Roman"/>
          <w:b w:val="0"/>
          <w:i w:val="0"/>
          <w:sz w:val="21"/>
        </w:rPr>
        <w:t>3.4. Alcances y límites del sustento teórico</w:t>
      </w:r>
      <w:r>
        <w:rPr>
          <w:rFonts w:ascii="Times New Roman" w:hAnsi="Times New Roman" w:eastAsia="Times New Roman" w:cs="Times New Roman"/>
          <w:b w:val="0"/>
          <w:sz w:val="21"/>
        </w:rPr>
        <w:tab/>
        <w:t>34</w:t>
      </w:r>
    </w:p>
    <w:p>
      <w:pPr>
        <w:tabs>
          <w:tab w:pos="9071" w:val="right" w:leader="dot"/>
        </w:tabs>
        <w:spacing w:after="60" w:line="240" w:lineRule="auto"/>
        <w:ind w:left="0" w:right="0" w:firstLine="0"/>
        <w:jc w:val="left"/>
      </w:pPr>
      <w:r>
        <w:rPr>
          <w:rFonts w:ascii="Times New Roman" w:hAnsi="Times New Roman" w:eastAsia="Times New Roman" w:cs="Times New Roman"/>
          <w:b/>
          <w:i w:val="0"/>
          <w:sz w:val="22"/>
        </w:rPr>
        <w:t>REFERENCIAS BIBLIOGRÁFICAS</w:t>
      </w:r>
      <w:r>
        <w:rPr>
          <w:rFonts w:ascii="Times New Roman" w:hAnsi="Times New Roman" w:eastAsia="Times New Roman" w:cs="Times New Roman"/>
          <w:b/>
          <w:sz w:val="22"/>
        </w:rPr>
        <w:tab/>
        <w:t>36</w:t>
      </w:r>
    </w:p>
    <w:p>
      <w:pPr>
        <w:pStyle w:val="Heading1"/>
      </w:pPr>
      <w:r>
        <w:rPr>
          <w:rFonts w:ascii="Times New Roman" w:hAnsi="Times New Roman" w:eastAsia="Times New Roman" w:cs="Times New Roman"/>
          <w:b/>
          <w:i w:val="0"/>
          <w:color w:val="000000"/>
        </w:rPr>
        <w:t>INTRODUCCIÓN DEL MARCO TEÓRICO</w:t>
      </w:r>
    </w:p>
    <w:p>
      <w:r>
        <w:rPr>
          <w:rFonts w:ascii="Times New Roman" w:hAnsi="Times New Roman" w:eastAsia="Times New Roman" w:cs="Times New Roman"/>
          <w:b w:val="0"/>
          <w:i w:val="0"/>
        </w:rPr>
        <w:t xml:space="preserve">La presente base teórica sustenta la investigación </w:t>
      </w:r>
      <w:r>
        <w:rPr>
          <w:rFonts w:ascii="Times New Roman" w:hAnsi="Times New Roman" w:eastAsia="Times New Roman" w:cs="Times New Roman"/>
          <w:b w:val="0"/>
          <w:i/>
        </w:rPr>
        <w:t>Integración patrimonial mediante la revitalización y la implementación de un corredor ecológico y Centro de Interpretación Patrimonial. Distrito de Vischongo, Ayacucho, 2026</w:t>
      </w:r>
      <w:r>
        <w:rPr>
          <w:rFonts w:ascii="Times New Roman" w:hAnsi="Times New Roman" w:eastAsia="Times New Roman" w:cs="Times New Roman"/>
          <w:b w:val="0"/>
          <w:i w:val="0"/>
        </w:rPr>
        <w:t>. Siguiendo la estructura que plantea el curso (introducción del concepto, teoría relacionada y análisis crítico), se desarrollan tres teorías o enfoques para la variable independiente, tres para la variable dependiente y tres para cada una de las seis dimensiones, es decir, veinticuatro desarrollos teóricos. A ellos se suman las definiciones conceptuales y la sustentación de las variables.</w:t>
      </w:r>
    </w:p>
    <w:p>
      <w:r>
        <w:rPr>
          <w:rFonts w:ascii="Times New Roman" w:hAnsi="Times New Roman" w:eastAsia="Times New Roman" w:cs="Times New Roman"/>
          <w:b w:val="0"/>
          <w:i w:val="0"/>
        </w:rPr>
        <w:t>El planteamiento de partida es el de la matriz de consistencia del Trabajo de Investigación 01. La integración patrimonial (X), entendida como la articulación de valores culturales y naturales con la vida social y el territorio, se estudia como una estrategia que puede contribuir a la revitalización (Y), entendida como la recuperación y mejora de condiciones físicas, ambientales, sociales y funcionales del ámbito. El objeto de estudio, un corredor ecológico y un Centro de Interpretación Patrimonial, es el medio arquitectónico y paisajístico a través del cual se examina esa relación en el distrito de Vischongo (provincia de Vilcashuamán, Ayacucho) en 2026. Las variables, dimensiones e indicadores se conservan tal como figuran en esa matriz; este documento no los modifica, sino que busca fundamentarlos.</w:t>
      </w:r>
    </w:p>
    <w:p>
      <w:r>
        <w:rPr>
          <w:rFonts w:ascii="Times New Roman" w:hAnsi="Times New Roman" w:eastAsia="Times New Roman" w:cs="Times New Roman"/>
          <w:b/>
          <w:i w:val="0"/>
        </w:rPr>
        <w:t>Criterios de selección y uso de las fuentes.</w:t>
      </w:r>
      <w:r>
        <w:rPr>
          <w:rFonts w:ascii="Times New Roman" w:hAnsi="Times New Roman" w:eastAsia="Times New Roman" w:cs="Times New Roman"/>
          <w:b w:val="0"/>
          <w:i w:val="0"/>
        </w:rPr>
        <w:t xml:space="preserve"> Las teorías se eligieron por su pertinencia directa con cada dimensión y con los indicadores que la matriz le asigna, y se procuró que las tres de un mismo apartado fueran complementarias y no repetidas. Provienen de dos tipos de fuentes: textos teóricos, doctrinales o normativos de referencia (por ejemplo Riegl, Lynch, Forman, Jacobs, ICOMOS o UNESCO) y ocho artículos de la matriz de antecedentes, cinco nacionales y tres internacionales, cuya existencia y datos de publicación pudieron confirmarse en registros indexados. Los artículos aportan, según el caso, enfoques conceptuales o metodológicos, o evidencia aplicada; no se tratan como teorías por sí mismos y, en cada lugar, se indica qué tipo de aporte ofrecen. Se trabajó con sus resúmenes y datos indexados, por lo que solo se les atribuye lo que ahí consta.</w:t>
      </w:r>
    </w:p>
    <w:p>
      <w:r>
        <w:rPr>
          <w:rFonts w:ascii="Times New Roman" w:hAnsi="Times New Roman" w:eastAsia="Times New Roman" w:cs="Times New Roman"/>
          <w:b w:val="0"/>
          <w:i w:val="0"/>
        </w:rPr>
        <w:t>Buena parte de la teoría disponible fue formulada en contextos urbanos, metropolitanos o europeos, distintos del de un distrito rural andino. Por esa razón, cada reflexión crítica separa lo que sostiene el autor o la fuente de la aplicación que se propone para esta investigación, y señala qué aspectos deben usarse con precaución. Del mismo modo, los beneficios que podrían derivarse de un corredor ecológico y de un Centro de Interpretación se tratan como objetivos y supuestos de trabajo, no como resultados comprobados.</w:t>
      </w:r>
    </w:p>
    <w:p>
      <w:r>
        <w:rPr>
          <w:rFonts w:ascii="Times New Roman" w:hAnsi="Times New Roman" w:eastAsia="Times New Roman" w:cs="Times New Roman"/>
          <w:b w:val="0"/>
          <w:i w:val="0"/>
        </w:rPr>
        <w:t>El documento se organiza en tres capítulos. El Capítulo I desarrolla el marco teórico en ocho apartados: la variable independiente, sus tres dimensiones, la variable dependiente y sus tres dimensiones. El Capítulo II presenta las definiciones conceptuales de los términos esenciales. El Capítulo III sustenta ambas variables y la relación teórica entre ellas, y la aplica al objeto de estudio.</w:t>
      </w:r>
    </w:p>
    <w:p>
      <w:pPr>
        <w:pStyle w:val="Heading1"/>
      </w:pPr>
      <w:r>
        <w:rPr>
          <w:rFonts w:ascii="Times New Roman" w:hAnsi="Times New Roman" w:eastAsia="Times New Roman" w:cs="Times New Roman"/>
          <w:b/>
          <w:i w:val="0"/>
          <w:color w:val="000000"/>
        </w:rPr>
        <w:t>CAPÍTULO I. MARCO TEÓRICO DE LA INVESTIGACIÓN</w:t>
      </w:r>
    </w:p>
    <w:p>
      <w:pPr>
        <w:pStyle w:val="Heading2"/>
      </w:pPr>
      <w:r>
        <w:rPr>
          <w:rFonts w:ascii="Times New Roman" w:hAnsi="Times New Roman" w:eastAsia="Times New Roman" w:cs="Times New Roman"/>
          <w:b/>
          <w:i w:val="0"/>
          <w:color w:val="000000"/>
        </w:rPr>
        <w:t>1. Variable independiente: Integración patrimonial</w:t>
      </w:r>
    </w:p>
    <w:p>
      <w:r>
        <w:rPr>
          <w:rFonts w:ascii="Times New Roman" w:hAnsi="Times New Roman" w:eastAsia="Times New Roman" w:cs="Times New Roman"/>
          <w:b w:val="0"/>
          <w:i w:val="0"/>
        </w:rPr>
        <w:t>La integración patrimonial no cuenta con una teoría única. Es una idea que fue tomando forma en la doctrina de la conservación a medida que el patrimonio dejó de entenderse como una colección de objetos aislados y pasó a verse como parte del territorio y de la vida de las personas. Las tres teorías que siguen recorren esa evolución: la conservación integrada, el enfoque de paisaje urbano histórico y la lectura del patrimonio como paisaje en la gestión territorial peruana.</w:t>
      </w:r>
    </w:p>
    <w:p>
      <w:pPr>
        <w:pStyle w:val="Heading3"/>
      </w:pPr>
      <w:r>
        <w:rPr>
          <w:rFonts w:ascii="Times New Roman" w:hAnsi="Times New Roman" w:eastAsia="Times New Roman" w:cs="Times New Roman"/>
          <w:b/>
          <w:i/>
          <w:color w:val="000000"/>
        </w:rPr>
        <w:t>1.1. La conservación integrada: Declaración de Ámsterdam (Consejo de Europa, 1975)</w:t>
      </w:r>
    </w:p>
    <w:p>
      <w:pPr>
        <w:keepNext/>
        <w:spacing w:after="80"/>
        <w:jc w:val="left"/>
      </w:pPr>
      <w:r>
        <w:rPr>
          <w:rFonts w:ascii="Times New Roman" w:hAnsi="Times New Roman" w:eastAsia="Times New Roman" w:cs="Times New Roman"/>
          <w:b w:val="0"/>
          <w:i/>
          <w:color w:val="595959"/>
          <w:sz w:val="21"/>
        </w:rPr>
        <w:t>Tipo de aporte: doctrina internacional. Fuente: Consejo de Europa (1975).</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Antes de que se hablara de paisajes o de territorios patrimoniales, la doctrina europea ya había planteado que conservar un edificio sin atender a su entorno ni a su uso era una forma incompleta de protegerlo. A esa idea se la llamó conservación integrada. Es la base más antigua de la noción de integración patrimonial y permite entenderla como una condición de la planificación y no como un añadido posterior a ella.</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Declaración de Ámsterdam fue proclamada en el Congreso sobre el Patrimonio Arquitectónico Europeo de 1975, en el marco del Año Europeo del Patrimonio Arquitectónico. Sostiene que el patrimonio no se reduce a los monumentos excepcionales, sino que incluye los conjuntos urbanos y rurales de interés histórico o cultural, y que su protección debe abordarse como una tarea de área y no solo de objetos individuales (Consejo de Europa, 1975). A partir de esa premisa, la conservación integrada propone que las normas de protección y las de planificación se coordinen en lugar de superponerse, que el desarrollo regional incorpore los requisitos de conservación y que los inventarios de edificios y sitios se compartan con los planificadores regionales y locales. Además, entiende que conservar supone combinar técnicas de restauración cuidadosas con una elección adecuada de usos para los bienes, de modo que sigan formando parte de la vida cotidiana. El patrimonio deja de ser un asunto sectorial y pasa a ser un objetivo de la ordenación territorial y urbana.</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Lo que esta doctrina aporta a la investigación es una razón de fondo para integrar: el patrimonio se sostiene mejor cuando está enlazado con la planificación y con usos vivos. Esa lógica respalda que, en Vischongo, el corredor ecológico y el Centro de Interpretación no se concibieran como intervenciones aisladas, sino como piezas que conectan los recursos patrimoniales con el espacio público y con la vida del distrito. Sirve también para leer el problema regional: Mejia Curahua et al. (2024) reportan, para el Centro Histórico de Ayacucho entre 2019 y 2022, un desbalance entre lo propuesto y lo ejecutado en la gestión municipal del patrimonio, lo que sugiere que la distancia entre protección y planificación efectiva persiste en la región (dato tomado del resumen del artículo).</w:t>
      </w:r>
    </w:p>
    <w:p>
      <w:r>
        <w:rPr>
          <w:rFonts w:ascii="Times New Roman" w:hAnsi="Times New Roman" w:eastAsia="Times New Roman" w:cs="Times New Roman"/>
          <w:b w:val="0"/>
          <w:i w:val="0"/>
        </w:rPr>
        <w:t>Conviene, sin embargo, emplearla con cautela. La Declaración nació en el contexto de ciudades históricas europeas, con marcos legales y presupuestos que no son los de un distrito rural andino, y su atención recae sobre el patrimonio arquitectónico y no sobre el natural. Aquí se toma su principio, integrar la conservación en la planificación y en los usos, sin asumir sus instrumentos. Tampoco es una teoría en sentido estricto, sino una declaración doctrinal; su valor para esta investigación es conceptual.</w:t>
      </w:r>
    </w:p>
    <w:p>
      <w:pPr>
        <w:pStyle w:val="Heading3"/>
      </w:pPr>
      <w:r>
        <w:rPr>
          <w:rFonts w:ascii="Times New Roman" w:hAnsi="Times New Roman" w:eastAsia="Times New Roman" w:cs="Times New Roman"/>
          <w:b/>
          <w:i/>
          <w:color w:val="000000"/>
        </w:rPr>
        <w:t>1.2. El paisaje urbano histórico (UNESCO, 2011)</w:t>
      </w:r>
    </w:p>
    <w:p>
      <w:pPr>
        <w:keepNext/>
        <w:spacing w:after="80"/>
        <w:jc w:val="left"/>
      </w:pPr>
      <w:r>
        <w:rPr>
          <w:rFonts w:ascii="Times New Roman" w:hAnsi="Times New Roman" w:eastAsia="Times New Roman" w:cs="Times New Roman"/>
          <w:b w:val="0"/>
          <w:i/>
          <w:color w:val="595959"/>
          <w:sz w:val="21"/>
        </w:rPr>
        <w:t>Tipo de aporte: marco institucional internacional (recomendación). Fuente: UNESCO (2011).</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Si la conservación integrada situó el patrimonio dentro de la planificación, el enfoque de paisaje urbano histórico lo situó dentro del territorio y de la geografía que lo rodea, e incorporó de manera explícita los valores naturales. Es el marco internacional más cercano a una definición operativa de integración entre lo cultural y lo natural.</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Recomendación sobre el Paisaje Urbano Histórico, adoptada por la Conferencia General de la UNESCO en 2011, define este paisaje como el área urbana entendida como resultado de una estratificación histórica de valores y atributos culturales y naturales, que se extiende más allá de la noción de «centro histórico» o «conjunto» para incluir el contexto urbano más amplio y su entorno geográfico (UNESCO, 2011, párr. 8; traducción propia). Ese contexto comprende, entre otros elementos, la topografía, la geomorfología, la hidrología y los rasgos naturales del sitio, su ambiente construido, sus espacios abiertos y jardines, sus patrones de uso del suelo y sus relaciones visuales (UNESCO, 2011, párr. 9).</w:t>
      </w:r>
    </w:p>
    <w:p>
      <w:r>
        <w:rPr>
          <w:rFonts w:ascii="Times New Roman" w:hAnsi="Times New Roman" w:eastAsia="Times New Roman" w:cs="Times New Roman"/>
          <w:b w:val="0"/>
          <w:i w:val="0"/>
        </w:rPr>
        <w:t>El documento propone un enfoque y no un inventario de bienes: busca preservar la calidad del entorno humano, promover usos productivos y sostenibles de los espacios urbanos reconociendo su carácter dinámico, y fomentar la diversidad social y funcional. Para lograrlo plantea cuatro tipos de herramientas: de participación ciudadana, de conocimiento y planificación, regulatorias y financieras (UNESCO, 2011).</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Este enfoque es útil porque ofrece una definición de integración que no separa naturaleza y cultura: el paisaje es una superposición de valores históricos y naturales, y los límites de lo que se protege se extienden al territorio que lo sostiene. Para Vischongo, la idea justifica que el corredor ecológico se planee como una estructura que enlaza recursos culturales con cuerpos de agua, vegetación y relieve (los rasgos que la Recomendación enumera) y no solo con edificaciones. Respalda también el componente participativo del Centro de Interpretación, porque la Recomendación incluye la participación ciudadana entre sus herramientas.</w:t>
      </w:r>
    </w:p>
    <w:p>
      <w:r>
        <w:rPr>
          <w:rFonts w:ascii="Times New Roman" w:hAnsi="Times New Roman" w:eastAsia="Times New Roman" w:cs="Times New Roman"/>
          <w:b w:val="0"/>
          <w:i w:val="0"/>
        </w:rPr>
        <w:t>Como precauciones, la Recomendación está pensada para áreas urbanas y su lenguaje es el de la gestión de ciudades históricas, de modo que su aplicación a un distrito rural andino exige una traducción de escala. Es además un instrumento de recomendación y no vinculante, y no ofrece indicadores propios: la investigación debe construirlos, como lo hace su matriz con el inventario, la conectividad y el uso social.</w:t>
      </w:r>
    </w:p>
    <w:p>
      <w:pPr>
        <w:pStyle w:val="Heading3"/>
      </w:pPr>
      <w:r>
        <w:rPr>
          <w:rFonts w:ascii="Times New Roman" w:hAnsi="Times New Roman" w:eastAsia="Times New Roman" w:cs="Times New Roman"/>
          <w:b/>
          <w:i/>
          <w:color w:val="000000"/>
        </w:rPr>
        <w:t>1.3. El paisaje como articulador entre patrimonio y territorio: Martínez Martínez (2020)</w:t>
      </w:r>
    </w:p>
    <w:p>
      <w:pPr>
        <w:keepNext/>
        <w:spacing w:after="80"/>
        <w:jc w:val="left"/>
      </w:pPr>
      <w:r>
        <w:rPr>
          <w:rFonts w:ascii="Times New Roman" w:hAnsi="Times New Roman" w:eastAsia="Times New Roman" w:cs="Times New Roman"/>
          <w:b w:val="0"/>
          <w:i/>
          <w:color w:val="595959"/>
          <w:sz w:val="21"/>
        </w:rPr>
        <w:t>Tipo de aporte: enfoque conceptual aplicado al Perú (artículo de la matriz de antecedentes nacionales). Fuente: Martínez Martínez (2020).</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Las dos teorías anteriores provienen de la doctrina internacional. Para el caso peruano es indispensable un planteamiento que dialogue con las condiciones locales de gestión. El artículo de Martínez Martínez (2020) propone el paisaje como el concepto que permite alinear la gestión del patrimonio arqueológico con el ordenamiento del territorio.</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autora sostiene que los cambios territoriales en el Perú avanzan más rápido que los esfuerzos por conocer, proteger y conservar los sitios arqueológicos, y que los instrumentos de gestión patrimonial y los de planificación territorial no incorporan este patrimonio en las dinámicas actuales del territorio (Martínez Martínez, 2020). Frente a esa desconexión entre sectores, en la que los sitios se protegen de forma aislada mientras el territorio se transforma, propone el concepto de paisaje como vía para alinear ambas visiones. Lo ensaya a partir de la experiencia del diagnóstico territorial del patrimonio arqueológico de la región Lambayeque, elaborado por el Ministerio de Cultura, que le sirve para plantear una propuesta operativa del enfoque paisajístico en la gestión de ese patrimonio. Según las referencias consignadas en la matriz de antecedentes, el trabajo se apoya en documentos oficiales como la Zonificación Ecológica y Económica de Lambayeque y la ficha de declaratoria del paisaje cultural Naylamp-Lambayeque (Martínez Martínez, 2020).</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Esta propuesta aporta la conexión entre teoría y práctica nacional: muestra que, en el Perú, integrar patrimonio y territorio exige resolver un problema de instrumentos, con una gestión cultural por un lado y una planificación por otro, y que el paisaje puede funcionar como lenguaje común entre ambas. Para Vischongo respalda dos decisiones del proyecto. La primera es tratar el ámbito como un paisaje con recursos relacionados entre sí y no como una suma de puntos. La segunda es vincular el diagnóstico de valores (objetivo específico 1) con las condiciones del territorio (objetivo específico 2). Se relaciona con el objeto de estudio porque un corredor es, precisamente, un dispositivo de paisaje: lleva la protección del sitio al territorio que lo rodea.</w:t>
      </w:r>
    </w:p>
    <w:p>
      <w:r>
        <w:rPr>
          <w:rFonts w:ascii="Times New Roman" w:hAnsi="Times New Roman" w:eastAsia="Times New Roman" w:cs="Times New Roman"/>
          <w:b w:val="0"/>
          <w:i w:val="0"/>
        </w:rPr>
        <w:t>Las limitaciones deben tenerse presentes. Se trata de una reflexión basada en una experiencia institucional y no de un estudio con datos propios; su caso es el norte del Perú y el patrimonio arqueológico, y no aborda corredores ecológicos ni centros de interpretación (según el resumen del artículo). La relación con Vischongo es, por tanto, de método, usar el paisaje como articulador, y no de contenido.</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Las tres teorías convergen en una idea: integrar es dejar de tratar el patrimonio como un conjunto de objetos protegidos por separado. La conservación integrada aporta el vínculo con la planificación y los usos; el paisaje urbano histórico, la unión de valores culturales y naturales en el territorio; y Martínez Martínez (2020), la traducción de ese vínculo al problema de gestión peruano. Juntas respaldan la definición de la matriz, articulación de valores culturales y naturales con la vida social y el territorio, y preparan el paso a las tres dimensiones: reconocer los valores (X1), articularlos en el territorio (X2) y vincularlos con la comunidad (X3).</w:t>
      </w:r>
    </w:p>
    <w:p>
      <w:pPr>
        <w:pStyle w:val="Heading2"/>
      </w:pPr>
      <w:r>
        <w:rPr>
          <w:rFonts w:ascii="Times New Roman" w:hAnsi="Times New Roman" w:eastAsia="Times New Roman" w:cs="Times New Roman"/>
          <w:b/>
          <w:i w:val="0"/>
          <w:color w:val="000000"/>
        </w:rPr>
        <w:t>2. Dimensión X1: Reconocimiento patrimonial</w:t>
      </w:r>
    </w:p>
    <w:p>
      <w:r>
        <w:rPr>
          <w:rFonts w:ascii="Times New Roman" w:hAnsi="Times New Roman" w:eastAsia="Times New Roman" w:cs="Times New Roman"/>
          <w:b w:val="0"/>
          <w:i w:val="0"/>
        </w:rPr>
        <w:t>El reconocimiento patrimonial es la fase en que un territorio identifica qué recursos tienen valor, para quién y por qué. En la matriz se concreta en dos indicadores: el inventario de bienes y recursos, y los valores históricos, culturales y paisajísticos. Las tres teorías cubren esos frentes: qué clases de valor existen (Riegl), cómo se establece y documenta el significado de un lugar (Carta de Burra) y cómo se reconoce el paisaje (Convenio Europeo del Paisaje).</w:t>
      </w:r>
    </w:p>
    <w:p>
      <w:pPr>
        <w:pStyle w:val="Heading3"/>
      </w:pPr>
      <w:r>
        <w:rPr>
          <w:rFonts w:ascii="Times New Roman" w:hAnsi="Times New Roman" w:eastAsia="Times New Roman" w:cs="Times New Roman"/>
          <w:b/>
          <w:i/>
          <w:color w:val="000000"/>
        </w:rPr>
        <w:t>2.1. La teoría de los valores del monumento: Riegl (1903/1987)</w:t>
      </w:r>
    </w:p>
    <w:p>
      <w:pPr>
        <w:keepNext/>
        <w:spacing w:after="80"/>
        <w:jc w:val="left"/>
      </w:pPr>
      <w:r>
        <w:rPr>
          <w:rFonts w:ascii="Times New Roman" w:hAnsi="Times New Roman" w:eastAsia="Times New Roman" w:cs="Times New Roman"/>
          <w:b w:val="0"/>
          <w:i/>
          <w:color w:val="595959"/>
          <w:sz w:val="21"/>
        </w:rPr>
        <w:t>Tipo de aporte: teoría clásica de la conservación. Fuente: Riegl (1903/1987).</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Reconocer un bien patrimonial implica atribuirle valor, y atribuir valor supone decidir qué clase de valor se reconoce. Aloïs Riegl fue de los primeros en plantear que el valor de un monumento no es una propiedad fija del objeto, sino una construcción histórica de quienes lo contemplan. Su teoría ofrece un vocabulario para ordenar los valores históricos y culturales que la matriz pide identificar.</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w:t>
      </w:r>
      <w:r>
        <w:rPr>
          <w:rFonts w:ascii="Times New Roman" w:hAnsi="Times New Roman" w:eastAsia="Times New Roman" w:cs="Times New Roman"/>
          <w:b w:val="0"/>
          <w:i/>
        </w:rPr>
        <w:t>El culto moderno a los monumentos</w:t>
      </w:r>
      <w:r>
        <w:rPr>
          <w:rFonts w:ascii="Times New Roman" w:hAnsi="Times New Roman" w:eastAsia="Times New Roman" w:cs="Times New Roman"/>
          <w:b w:val="0"/>
          <w:i w:val="0"/>
        </w:rPr>
        <w:t>, publicado originalmente en 1903, Riegl distingue dos grandes grupos de valores. Los valores de rememoración, que son el de antigüedad, el histórico y el de rememoración intencionada, se refieren al vínculo del monumento con el pasado: el de antigüedad se aprecia en las huellas del paso del tiempo, el histórico en el testimonio que el bien da de una etapa del desarrollo humano y el intencionado en la voluntad de quienes lo erigieron de mantener vivo un hecho. Los valores de contemporaneidad, el de uso y el artístico, se refieren a lo que el bien ofrece al presente (Riegl, 1903/1987). Riegl subraya que estos valores pueden entrar en conflicto, por ejemplo el de antigüedad, que reclama no intervenir, y el de uso, que exige mantener el bien en servicio. Conservar implica, entonces, decidir entre ellos, y el valor que se reconoce depende de la sensibilidad de cada época.</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La utilidad de Riegl para esta investigación es metodológica. Permite que las fichas de inventario previstas en la matriz no registren solo la existencia de un bien, sino qué valores se le reconocen (histórico, de antigüedad, de uso social) y qué tensiones hay entre ellos. En Vischongo esa distinción sería relevante si el uso comunitario de un lugar convive con su condición de resto antiguo: el Centro de Interpretación y el corredor deberán decidir cuánto se interviene y cuánto se deja como está.</w:t>
      </w:r>
    </w:p>
    <w:p>
      <w:r>
        <w:rPr>
          <w:rFonts w:ascii="Times New Roman" w:hAnsi="Times New Roman" w:eastAsia="Times New Roman" w:cs="Times New Roman"/>
          <w:b w:val="0"/>
          <w:i w:val="0"/>
        </w:rPr>
        <w:t>Hay dos precauciones. Riegl pensaba en monumentos, es decir, edificios y obras de arte, por lo que su teoría no contempla de manera directa el paisaje ni el patrimonio natural; esos valores requieren otros apoyos, como los de los apartados siguientes. Además, su enfoque parte de la mirada de un observador moderno europeo, lo que obliga a preguntarse si la comunidad local reconoce los mismos valores, cuestión que retoma la dimensión X3.</w:t>
      </w:r>
    </w:p>
    <w:p>
      <w:pPr>
        <w:pStyle w:val="Heading3"/>
      </w:pPr>
      <w:r>
        <w:rPr>
          <w:rFonts w:ascii="Times New Roman" w:hAnsi="Times New Roman" w:eastAsia="Times New Roman" w:cs="Times New Roman"/>
          <w:b/>
          <w:i/>
          <w:color w:val="000000"/>
        </w:rPr>
        <w:t>2.2. El significado cultural y su proceso: Carta de Burra (Australia ICOMOS, 2013)</w:t>
      </w:r>
    </w:p>
    <w:p>
      <w:pPr>
        <w:keepNext/>
        <w:spacing w:after="80"/>
        <w:jc w:val="left"/>
      </w:pPr>
      <w:r>
        <w:rPr>
          <w:rFonts w:ascii="Times New Roman" w:hAnsi="Times New Roman" w:eastAsia="Times New Roman" w:cs="Times New Roman"/>
          <w:b w:val="0"/>
          <w:i/>
          <w:color w:val="595959"/>
          <w:sz w:val="21"/>
        </w:rPr>
        <w:t>Tipo de aporte: marco doctrinal de práctica profesional. Fuente: Australia ICOMOS (2013).</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Riegl clasifica los valores; la Carta de Burra explica cómo establecerlos. Es un documento de referencia para la práctica de la conservación porque pone el conocimiento del lugar, es decir, su documentación y la comprensión de su significado, antes de cualquier decisión de intervención.</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Carta de Burra, adoptada por Australia ICOMOS y revisada por última vez en 2013, define el significado cultural como el valor estético, histórico, científico, social o espiritual de un lugar para las generaciones pasadas, presentes o futuras, y señala que ese significado se encuentra en el propio lugar, su materia, su entorno, su uso, sus asociaciones, sus significados, sus registros y los lugares y objetos relacionados (Australia ICOMOS, 2013, art. 1.2; traducción propia). Define «lugar» como un área geográficamente definida que puede incluir elementos, objetos, espacios y vistas, con dimensiones tangibles e intangibles (art. 1.1). A partir de esa definición propone un proceso ordenado: primero comprender el lugar y su significado mediante la investigación y el registro, luego definir una política de conservación y solo después gestionar el bien de acuerdo con ella (Australia ICOMOS, 2013, arts. 26-34).</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Dos aportes son centrales. El primero es que la Carta amplía la lista de valores hacia lo social y lo espiritual, los que una comunidad asocia con un lugar, y no solo lo histórico o lo estético; esto es especialmente importante en un paisaje donde lo natural y lo cultural se confunden. El segundo es la secuencia entender, decidir y gestionar, que respalda la lógica de la investigación: el objetivo específico 1 (identificar los valores) precede al 3 (establecer criterios de diseño), y la propuesta debe derivarse del diagnóstico y no al revés. Aplicada a Vischongo, la categoría «lugar» permite registrar en un mismo inventario un sitio, su entorno y los usos y asociaciones que le dan sentido, que es lo que pide el indicador de inventario de bienes y recursos.</w:t>
      </w:r>
    </w:p>
    <w:p>
      <w:r>
        <w:rPr>
          <w:rFonts w:ascii="Times New Roman" w:hAnsi="Times New Roman" w:eastAsia="Times New Roman" w:cs="Times New Roman"/>
          <w:b w:val="0"/>
          <w:i w:val="0"/>
        </w:rPr>
        <w:t>Como precaución, la Carta se formuló para la práctica profesional de conservación de lugares con significado cultural en el marco australiano; no es un manual de inventario ni propone categorías de valor cerradas, por lo que la investigación deberá definir sus propias fichas y criterios. Tampoco resuelve quién declara el significado, una cuestión crítica que se discute con Smith (2006) en la dimensión X3.</w:t>
      </w:r>
    </w:p>
    <w:p>
      <w:pPr>
        <w:pStyle w:val="Heading3"/>
      </w:pPr>
      <w:r>
        <w:rPr>
          <w:rFonts w:ascii="Times New Roman" w:hAnsi="Times New Roman" w:eastAsia="Times New Roman" w:cs="Times New Roman"/>
          <w:b/>
          <w:i/>
          <w:color w:val="000000"/>
        </w:rPr>
        <w:t>2.3. El reconocimiento del paisaje: Convenio Europeo del Paisaje (Consejo de Europa, 2000)</w:t>
      </w:r>
    </w:p>
    <w:p>
      <w:pPr>
        <w:keepNext/>
        <w:spacing w:after="80"/>
        <w:jc w:val="left"/>
      </w:pPr>
      <w:r>
        <w:rPr>
          <w:rFonts w:ascii="Times New Roman" w:hAnsi="Times New Roman" w:eastAsia="Times New Roman" w:cs="Times New Roman"/>
          <w:b w:val="0"/>
          <w:i/>
          <w:color w:val="595959"/>
          <w:sz w:val="21"/>
        </w:rPr>
        <w:t>Tipo de aporte: marco institucional internacional (convenio). Fuente: Consejo de Europa (2000); evidencia complementaria de Bolaños Baldassari (2021).</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Las dos teorías anteriores se centran en bienes o lugares. El indicador de valores paisajísticos de la matriz exige un tercer enfoque, que reconozca el paisaje como objeto de valoración por derecho propio. El Convenio Europeo del Paisaje es la formulación más explícita de esa idea.</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El Convenio, abierto a la firma en Florencia en 2000, define el paisaje como cualquier parte del territorio tal como la percibe la población, cuyo carácter resulta de la acción y la interacción de factores naturales y/o humanos (Consejo de Europa, 2000, art. 1). Su ámbito comprende espacios naturales, rurales, urbanos y periurbanos, y se aplica tanto a paisajes excepcionales como a los cotidianos o degradados (art. 2). Las partes se comprometen a reconocer jurídicamente los paisajes como componente esencial del entorno de las poblaciones, expresión de la diversidad de su patrimonio común cultural y natural y fundamento de su identidad (art. 5), y a identificar y calificar los paisajes, analizar sus características y las presiones que los transforman, y valorarlos teniendo en cuenta los valores específicos que les atribuyen los actores y la población interesada (art. 6).</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El Convenio introduce dos ideas valiosas. La primera es que el paisaje se define por la percepción de la población: no hay valoración paisajística sin considerar cómo lo ve y lo usa quien vive en él, lo que enlaza el reconocimiento (X1) con la identidad (X3). La segunda es que el paisaje cotidiano y el degradado también merecen reconocimiento, lo que respalda que el diagnóstico de Vischongo no se limite a los sitios más destacados e incluya espacios deteriorados o subutilizados, cuya recuperación es el propósito de la revitalización.</w:t>
      </w:r>
    </w:p>
    <w:p>
      <w:r>
        <w:rPr>
          <w:rFonts w:ascii="Times New Roman" w:hAnsi="Times New Roman" w:eastAsia="Times New Roman" w:cs="Times New Roman"/>
          <w:b w:val="0"/>
          <w:i w:val="0"/>
        </w:rPr>
        <w:t>Es un instrumento europeo, del que Perú no es parte, por lo que aquí se emplea como marco conceptual y no jurídico. La evidencia peruana de la matriz muestra cómo ese reconocimiento puede materializarse. Bolaños Baldassari (2021) identifica, para el paisaje de las líneas y geoglifos de Nasca y Palpa, amenazas derivadas del crecimiento urbano, la expansión agrícola, la infraestructura y el uso económico del suelo, y propone unidades de tratamiento paisajístico para proteger sus valores (según el resumen del artículo). La lógica de dividir el paisaje en unidades con tratamientos diferenciados es transferible a Vischongo, aunque el contexto desértico costero de ese caso sea distinto del andino.</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Riegl responde qué valores reconocer; la Carta de Burra, cómo establecerlos y documentarlos en un lugar; el Convenio del Paisaje, cómo extender ese reconocimiento al paisaje y a la percepción de las personas. Con ello se fundamentan los dos indicadores de la dimensión: el inventario de bienes y recursos, apoyado en Burra y en el Convenio, que piden registrar y analizar, y los valores históricos, culturales y paisajísticos, apoyados en Riegl y en el Convenio, que ofrecen categorías de valor.</w:t>
      </w:r>
    </w:p>
    <w:p>
      <w:pPr>
        <w:pStyle w:val="Heading2"/>
      </w:pPr>
      <w:r>
        <w:rPr>
          <w:rFonts w:ascii="Times New Roman" w:hAnsi="Times New Roman" w:eastAsia="Times New Roman" w:cs="Times New Roman"/>
          <w:b/>
          <w:i w:val="0"/>
          <w:color w:val="000000"/>
        </w:rPr>
        <w:t>3. Dimensión X2: Articulación territorial</w:t>
      </w:r>
    </w:p>
    <w:p>
      <w:r>
        <w:rPr>
          <w:rFonts w:ascii="Times New Roman" w:hAnsi="Times New Roman" w:eastAsia="Times New Roman" w:cs="Times New Roman"/>
          <w:b w:val="0"/>
          <w:i w:val="0"/>
        </w:rPr>
        <w:t>La articulación territorial responde a la pregunta de cómo se conectan entre sí los recursos reconocidos. En la matriz se concreta en tres indicadores: conectividad entre hitos, continuidad del corredor e integración con espacios públicos. Las teorías elegidas abordan, respectivamente, cómo se ordena y se lee un territorio mediante hitos y sendas (Lynch), cómo un recorrido puede ser en sí mismo patrimonio (ICOMOS) y cómo se delimita una red que combine lo ecológico y lo cultural (Li et al.).</w:t>
      </w:r>
    </w:p>
    <w:p>
      <w:pPr>
        <w:pStyle w:val="Heading3"/>
      </w:pPr>
      <w:r>
        <w:rPr>
          <w:rFonts w:ascii="Times New Roman" w:hAnsi="Times New Roman" w:eastAsia="Times New Roman" w:cs="Times New Roman"/>
          <w:b/>
          <w:i/>
          <w:color w:val="000000"/>
        </w:rPr>
        <w:t>3.1. Legibilidad y estructura del territorio: Lynch (1960)</w:t>
      </w:r>
    </w:p>
    <w:p>
      <w:pPr>
        <w:keepNext/>
        <w:spacing w:after="80"/>
        <w:jc w:val="left"/>
      </w:pPr>
      <w:r>
        <w:rPr>
          <w:rFonts w:ascii="Times New Roman" w:hAnsi="Times New Roman" w:eastAsia="Times New Roman" w:cs="Times New Roman"/>
          <w:b w:val="0"/>
          <w:i/>
          <w:color w:val="595959"/>
          <w:sz w:val="21"/>
        </w:rPr>
        <w:t>Tipo de aporte: teoría clásica del urbanismo. Fuente: Lynch (1960).</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Articular recursos dispersos exige un modo de entender cómo se conectan en la experiencia de quienes los recorren. Kevin Lynch ofrece, desde el urbanismo, una de las teorías más utilizadas para ello: la imagen mental del entorno y los elementos que la estructuran.</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w:t>
      </w:r>
      <w:r>
        <w:rPr>
          <w:rFonts w:ascii="Times New Roman" w:hAnsi="Times New Roman" w:eastAsia="Times New Roman" w:cs="Times New Roman"/>
          <w:b w:val="0"/>
          <w:i/>
        </w:rPr>
        <w:t>The image of the city</w:t>
      </w:r>
      <w:r>
        <w:rPr>
          <w:rFonts w:ascii="Times New Roman" w:hAnsi="Times New Roman" w:eastAsia="Times New Roman" w:cs="Times New Roman"/>
          <w:b w:val="0"/>
          <w:i w:val="0"/>
        </w:rPr>
        <w:t xml:space="preserve"> (1960), Lynch estudió cómo los habitantes de Boston, Jersey City y Los Ángeles representaban mentalmente su ciudad, a partir de entrevistas y de mapas dibujados por ellos. Concluyó que la calidad visual de un entorno depende de su legibilidad, la facilidad con que sus partes pueden reconocerse y organizarse en una estructura coherente, y de su imaginabilidad, la cualidad que da a un objeto físico una alta probabilidad de evocar una imagen vívida en cualquier observador. Identificó cinco tipos de elementos con los que las personas construyen esa imagen: sendas, los canales por los que se desplazan; bordes, límites o quiebres de continuidad; barrios, zonas con carácter identificable; nodos, puntos de convergencia y concentración de actividad; e hitos, puntos de referencia, normalmente objetos físicos destacados (Lynch, 1960).</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Los términos de la matriz, hitos, recorridos y continuidad, coinciden con el vocabulario de Lynch, lo que permite usar su teoría como lenguaje de análisis. Los recursos patrimoniales de Vischongo serían hitos; el corredor, la senda que los enlaza; las plazas o puntos de encuentro, nodos; y los límites naturales o construidos, bordes. Con ello, el indicador de conectividad entre hitos puede traducirse en preguntas observables: qué hitos son visibles entre sí, cuáles quedan aislados y cuál es la senda que los une. El Centro de Interpretación podría funcionar como nodo de orientación, un lugar que explique el conjunto antes o después del recorrido.</w:t>
      </w:r>
    </w:p>
    <w:p>
      <w:r>
        <w:rPr>
          <w:rFonts w:ascii="Times New Roman" w:hAnsi="Times New Roman" w:eastAsia="Times New Roman" w:cs="Times New Roman"/>
          <w:b w:val="0"/>
          <w:i w:val="0"/>
        </w:rPr>
        <w:t>Las cautelas son tres. La investigación de Lynch se realizó en tres ciudades estadounidenses y con una muestra reducida, y su método de imágenes mentales es cualitativo. Su atención recae sobre la legibilidad visual y no sobre la continuidad ecológica ni sobre el significado cultural, aspectos que deben complementarse con las otras dos teorías de la dimensión. Y en un entorno rural la imagen puede organizarse en torno a elementos naturales, como cerros o ríos, más que a elementos construidos, algo que solo la población puede confirmar; el método de mapas mentales sería una forma de hacerlo y conecta con la dimensión X3.</w:t>
      </w:r>
    </w:p>
    <w:p>
      <w:pPr>
        <w:pStyle w:val="Heading3"/>
      </w:pPr>
      <w:r>
        <w:rPr>
          <w:rFonts w:ascii="Times New Roman" w:hAnsi="Times New Roman" w:eastAsia="Times New Roman" w:cs="Times New Roman"/>
          <w:b/>
          <w:i/>
          <w:color w:val="000000"/>
        </w:rPr>
        <w:t>3.2. Los itinerarios culturales: ICOMOS (2008b)</w:t>
      </w:r>
    </w:p>
    <w:p>
      <w:pPr>
        <w:keepNext/>
        <w:spacing w:after="80"/>
        <w:jc w:val="left"/>
      </w:pPr>
      <w:r>
        <w:rPr>
          <w:rFonts w:ascii="Times New Roman" w:hAnsi="Times New Roman" w:eastAsia="Times New Roman" w:cs="Times New Roman"/>
          <w:b w:val="0"/>
          <w:i/>
          <w:color w:val="595959"/>
          <w:sz w:val="21"/>
        </w:rPr>
        <w:t>Tipo de aporte: marco doctrinal internacional (carta). Fuente: ICOMOS (2008b).</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Lynch trata las sendas como elementos de la imagen del entorno; ICOMOS va más allá y sostiene que un recorrido puede ser un bien patrimonial en sí mismo. Esa idea justifica que el corredor de Vischongo no sea un simple acceso entre puntos, sino un componente del patrimonio.</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Carta de Itinerarios Culturales, ratificada en Québec en 2008 por la 16.ª Asamblea General de ICOMOS, define el itinerario cultural como una vía de comunicación, terrestre, acuática, mixta o de otro tipo, físicamente determinada y caracterizada por una dinámica y una funcionalidad históricas propias. Refleja movimientos interactivos de personas e intercambios continuos de bienes, ideas, conocimientos y valores durante períodos prolongados, con una influencia mutua entre culturas que se manifiesta en su patrimonio material e inmaterial (ICOMOS, 2008b; traducción propia). Su valor no es la suma de los elementos que lo componen, sino el conjunto que estos forman por su relación; por eso la Carta lo evalúa con criterios como el contexto, el contenido, la significación intercultural, el carácter dinámico y el entorno (</w:t>
      </w:r>
      <w:r>
        <w:rPr>
          <w:rFonts w:ascii="Times New Roman" w:hAnsi="Times New Roman" w:eastAsia="Times New Roman" w:cs="Times New Roman"/>
          <w:b w:val="0"/>
          <w:i/>
        </w:rPr>
        <w:t>setting</w:t>
      </w:r>
      <w:r>
        <w:rPr>
          <w:rFonts w:ascii="Times New Roman" w:hAnsi="Times New Roman" w:eastAsia="Times New Roman" w:cs="Times New Roman"/>
          <w:b w:val="0"/>
          <w:i w:val="0"/>
        </w:rPr>
        <w:t>), y destaca que el entorno natural y cultural forma parte de lo que se protege. Entre sus objetivos figura ofrecer pautas para que los itinerarios se usen como recurso para el desarrollo social y económico sostenible.</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El aporte principal es entender la continuidad como valor patrimonial. Un corredor continuo no es solo una solución de diseño, sino la forma de preservar la relación entre los lugares, y la discontinuidad, como un tramo interrumpido o un hito sin acceso, es una pérdida de significado. El indicador de continuidad del corredor puede así evaluarse no solo de forma física (si hay interrupciones) sino también interpretativa (si el recorrido se entiende como conjunto). La teoría sirve además porque vincula movimiento, paisaje y comunidad: el itinerario existe porque alguien lo recorre y le da uso.</w:t>
      </w:r>
    </w:p>
    <w:p>
      <w:r>
        <w:rPr>
          <w:rFonts w:ascii="Times New Roman" w:hAnsi="Times New Roman" w:eastAsia="Times New Roman" w:cs="Times New Roman"/>
          <w:b w:val="0"/>
          <w:i w:val="0"/>
        </w:rPr>
        <w:t>Respecto de su aplicación, la Carta se pensó para itinerarios de gran escala, a veces transnacionales, y de significación intercultural demostrable; un corredor local no tendría por qué cumplir esos criterios. Se toma de ella el principio, un recorrido como patrimonio de conjunto, y no su clasificación. Será tarea del diagnóstico establecer si en el ámbito existen trazas históricas de caminos, sendas tradicionales o recorridos de uso comunitario que puedan servir de eje al corredor; si existieran, el enfoque ganaría un sustento material propio.</w:t>
      </w:r>
    </w:p>
    <w:p>
      <w:pPr>
        <w:pStyle w:val="Heading3"/>
      </w:pPr>
      <w:r>
        <w:rPr>
          <w:rFonts w:ascii="Times New Roman" w:hAnsi="Times New Roman" w:eastAsia="Times New Roman" w:cs="Times New Roman"/>
          <w:b/>
          <w:i/>
          <w:color w:val="000000"/>
        </w:rPr>
        <w:t>3.3. Red integrada de corredores ecológicos y culturales: Li, Wang y Dong (2021)</w:t>
      </w:r>
    </w:p>
    <w:p>
      <w:pPr>
        <w:keepNext/>
        <w:spacing w:after="80"/>
        <w:jc w:val="left"/>
      </w:pPr>
      <w:r>
        <w:rPr>
          <w:rFonts w:ascii="Times New Roman" w:hAnsi="Times New Roman" w:eastAsia="Times New Roman" w:cs="Times New Roman"/>
          <w:b w:val="0"/>
          <w:i/>
          <w:color w:val="595959"/>
          <w:sz w:val="21"/>
        </w:rPr>
        <w:t>Tipo de aporte: enfoque conceptual-metodológico (estudio de caso, artículo de la matriz internacional). Fuente: Li et al. (2021); evidencia complementaria de Del Castillo Cáceres y Castro De la Borda (2015) y Chen et al. (2024).</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Las dos teorías anteriores tratan la articulación desde la percepción y desde el patrimonio. Falta un enfoque que la plantee como estructura espacial que combine lo natural y lo cultural. El artículo de Li, Wang y Dong (2021) ofrece un marco para ello, formulado a partir de un estudio de caso en Beijing.</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Los autores parten de que las zonas de protección suelen delinearse tratando por separado los elementos naturales y los culturales, lo que no refleja su conexión espacial. Como alternativa, proponen un marco basado en corredores que integra ambos tipos de activos (Li et al., 2021). Las fuentes ecológicas se identifican a partir de la priorización de protección, las reservas naturales y los cuerpos de agua; los corredores ecológicos se obtienen con el modelo de resistencia acumulada mínima (MCR) aplicado a una superficie de resistencia basada en el uso del suelo. Los corredores culturales se definen a partir de rutas históricas y ríos que atraviesan nodos culturales. Con áreas de influencia (</w:t>
      </w:r>
      <w:r>
        <w:rPr>
          <w:rFonts w:ascii="Times New Roman" w:hAnsi="Times New Roman" w:eastAsia="Times New Roman" w:cs="Times New Roman"/>
          <w:b w:val="0"/>
          <w:i/>
        </w:rPr>
        <w:t>buffers</w:t>
      </w:r>
      <w:r>
        <w:rPr>
          <w:rFonts w:ascii="Times New Roman" w:hAnsi="Times New Roman" w:eastAsia="Times New Roman" w:cs="Times New Roman"/>
          <w:b w:val="0"/>
          <w:i w:val="0"/>
        </w:rPr>
        <w:t>) de 5 km, la superposición de lo ecológico y lo cultural delimita «regiones integrales» que se conectan en una red. Aplicado a Beijing, el procedimiento arrojó 2011 km² de fuentes ecológicas, 30 corredores ecológicos, 423 nodos culturales, siete corredores culturales y diez regiones integrales (2916 km²) (Li et al., 2021).</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Más que un modelo para copiar, el artículo aporta una forma de pensar: integrar lo ecológico y lo cultural en una sola red, en lugar de protegerlos por separado, es una tesis cercana a la hipótesis de esta investigación. Su estructura de fuentes, corredores, nodos y regiones integrales sugiere una manera de ordenar el diagnóstico en Vischongo: identificar las áreas naturales de mayor valor (fuentes), los recursos patrimoniales (nodos), los enlaces posibles entre ellos (corredores) y las zonas donde ambos coinciden, que serían los tramos prioritarios del corredor.</w:t>
      </w:r>
    </w:p>
    <w:p>
      <w:r>
        <w:rPr>
          <w:rFonts w:ascii="Times New Roman" w:hAnsi="Times New Roman" w:eastAsia="Times New Roman" w:cs="Times New Roman"/>
          <w:b w:val="0"/>
          <w:i w:val="0"/>
        </w:rPr>
        <w:t>Dos antecedentes de la matriz complementan este enfoque. Del Castillo Cáceres y Castro De la Borda (2015) analizan el Plan Metropolitano de Desarrollo Urbano Lima-Callao 2035, que vincula el sistema de espacios abiertos e infraestructura ecológica con la red de patrimonio y paisaje, y plantean que los sitios arqueológicos amenazados por botaderos y ocupación informal pueden convertirse en activos ecológico-culturales conectados mediante corredores verdes. Chen et al. (2024), por su parte, desarrollan un modelo espacial basado en SIG para describir la dinámica de corredores patrimoniales en un distrito minero de China y contrastan sus resultados con segmentación semántica de imágenes, una técnica de verificación que podría considerarse para monitorear tramos del corredor (según los resúmenes de ambos artículos).</w:t>
      </w:r>
    </w:p>
    <w:p>
      <w:r>
        <w:rPr>
          <w:rFonts w:ascii="Times New Roman" w:hAnsi="Times New Roman" w:eastAsia="Times New Roman" w:cs="Times New Roman"/>
          <w:b w:val="0"/>
          <w:i w:val="0"/>
        </w:rPr>
        <w:t>Como precauciones, el estudio de Beijing opera a escala de megaciudad, con datos espaciales y capacidad técnica que no se darán igual en un distrito rural; umbrales como los 5 km no son transferibles, y el artículo no incluye un centro de interpretación ni participación social. Se toma el principio de integración y la lógica por capas, adaptando la escala y las fuentes de datos.</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Lynch aporta el lenguaje para leer y proyectar la conectividad entre hitos; ICOMOS, el fundamento para valorar la continuidad del recorrido como patrimonio; y Li et al., una lógica espacial para combinar lo natural y lo cultural en una misma red, con ejemplos peruanos (Del Castillo Cáceres y Castro De la Borda, 2015) y de monitoreo (Chen et al., 2024). El tercer indicador, la integración con espacios públicos, se apoya en estas tres teorías y se profundiza desde la dimensión Y2.</w:t>
      </w:r>
    </w:p>
    <w:p>
      <w:pPr>
        <w:pStyle w:val="Heading2"/>
      </w:pPr>
      <w:r>
        <w:rPr>
          <w:rFonts w:ascii="Times New Roman" w:hAnsi="Times New Roman" w:eastAsia="Times New Roman" w:cs="Times New Roman"/>
          <w:b/>
          <w:i w:val="0"/>
          <w:color w:val="000000"/>
        </w:rPr>
        <w:t>4. Dimensión X3: Participación e identidad</w:t>
      </w:r>
    </w:p>
    <w:p>
      <w:r>
        <w:rPr>
          <w:rFonts w:ascii="Times New Roman" w:hAnsi="Times New Roman" w:eastAsia="Times New Roman" w:cs="Times New Roman"/>
          <w:b w:val="0"/>
          <w:i w:val="0"/>
        </w:rPr>
        <w:t>La dimensión X3 trata de la relación entre las personas y el patrimonio: quiénes participan en reconocerlo y gestionarlo, qué vínculos de identidad establecen con él y cómo lo usan. Los tres indicadores de la matriz, participación de actores locales, percepción de identidad y uso social de espacios patrimoniales, se corresponden con las tres teorías elegidas: la identidad de lugar (Proshansky et al.), la participación ciudadana (Arnstein) y la comunidad patrimonial (Convenio de Faro).</w:t>
      </w:r>
    </w:p>
    <w:p>
      <w:pPr>
        <w:pStyle w:val="Heading3"/>
      </w:pPr>
      <w:r>
        <w:rPr>
          <w:rFonts w:ascii="Times New Roman" w:hAnsi="Times New Roman" w:eastAsia="Times New Roman" w:cs="Times New Roman"/>
          <w:b/>
          <w:i/>
          <w:color w:val="000000"/>
        </w:rPr>
        <w:t>4.1. La identidad de lugar: Proshansky, Fabian y Kaminoff (1983)</w:t>
      </w:r>
    </w:p>
    <w:p>
      <w:pPr>
        <w:keepNext/>
        <w:spacing w:after="80"/>
        <w:jc w:val="left"/>
      </w:pPr>
      <w:r>
        <w:rPr>
          <w:rFonts w:ascii="Times New Roman" w:hAnsi="Times New Roman" w:eastAsia="Times New Roman" w:cs="Times New Roman"/>
          <w:b w:val="0"/>
          <w:i/>
          <w:color w:val="595959"/>
          <w:sz w:val="21"/>
        </w:rPr>
        <w:t>Tipo de aporte: teoría de la psicología ambiental. Fuente: Proshansky et al. (1983); evidencia complementaria de Zhou y Mohamed Afla (2026).</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Hablar de identidad cultural en relación con un espacio exige un concepto que explique cómo un lugar pasa a formar parte de quien lo habita. La psicología ambiental lo denomina identidad de lugar.</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Proshansky, Fabian y Kaminoff (1983) proponen que la identidad de lugar es una subestructura de la identidad del yo, compuesta por cogniciones sobre el mundo físico en el que la persona vive: recuerdos, ideas, sentimientos, actitudes, valores, preferencias y significados vinculados con los espacios y objetos que han marcado su experiencia. Desde esta perspectiva, la identidad personal no se construye solo en las relaciones sociales; el entorno físico participa en ella, y los lugares cumplen funciones psicológicas, como el reconocimiento, la atribución de significado y la expresión de la propia identidad, que se ven afectadas cuando esos lugares cambian o desaparecen (Proshansky et al., 1983).</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Esta teoría aporta el fundamento para el indicador de percepción de identidad. Si el espacio forma parte de la identidad de quienes lo habitan, esta puede explorarse preguntando por recuerdos, usos y significados asociados con los lugares del distrito y no solo por declaraciones generales sobre «cultura». Señala también un riesgo para el proyecto: transformar un lugar de arraigo puede generar desajuste, por lo que el corredor y el Centro no deberían alterar espacios de alto significado sin consulta previa.</w:t>
      </w:r>
    </w:p>
    <w:p>
      <w:r>
        <w:rPr>
          <w:rFonts w:ascii="Times New Roman" w:hAnsi="Times New Roman" w:eastAsia="Times New Roman" w:cs="Times New Roman"/>
          <w:b w:val="0"/>
          <w:i w:val="0"/>
        </w:rPr>
        <w:t>Zhou y Mohamed Afla (2026) ilustran cómo la percepción puede medirse. En el casco antiguo de Xizhou (China) analizan 580 reseñas de visitantes y reportan que los paisajes pastoriles y acuáticos reciben cerca de 97 % de valoraciones positivas, y la arquitectura y la cultura étnica cerca de 93 %; con base en ello proponen una intervención vegetal con 18 especies nativas orientada, entre otros fines, a fortalecer la identidad cultural (según el resumen del artículo). Es un caso útil como método, aunque mide la mirada de visitantes y no la de residentes.</w:t>
      </w:r>
    </w:p>
    <w:p>
      <w:r>
        <w:rPr>
          <w:rFonts w:ascii="Times New Roman" w:hAnsi="Times New Roman" w:eastAsia="Times New Roman" w:cs="Times New Roman"/>
          <w:b w:val="0"/>
          <w:i w:val="0"/>
        </w:rPr>
        <w:t>Como precauciones, la teoría proviene de la psicología individual y de entornos urbanos occidentales; en comunidades andinas el vínculo con el territorio suele concebirse de manera más colectiva, aspecto que debe explorarse en las entrevistas y encuestas previstas. Además, la identidad de lugar no se mide con una sola pregunta: la investigación deberá construir un instrumento y validarlo, tarea que la matriz ya señala como pendiente.</w:t>
      </w:r>
    </w:p>
    <w:p>
      <w:pPr>
        <w:pStyle w:val="Heading3"/>
      </w:pPr>
      <w:r>
        <w:rPr>
          <w:rFonts w:ascii="Times New Roman" w:hAnsi="Times New Roman" w:eastAsia="Times New Roman" w:cs="Times New Roman"/>
          <w:b/>
          <w:i/>
          <w:color w:val="000000"/>
        </w:rPr>
        <w:t>4.2. La escalera de la participación ciudadana: Arnstein (1969)</w:t>
      </w:r>
    </w:p>
    <w:p>
      <w:pPr>
        <w:keepNext/>
        <w:spacing w:after="80"/>
        <w:jc w:val="left"/>
      </w:pPr>
      <w:r>
        <w:rPr>
          <w:rFonts w:ascii="Times New Roman" w:hAnsi="Times New Roman" w:eastAsia="Times New Roman" w:cs="Times New Roman"/>
          <w:b w:val="0"/>
          <w:i/>
          <w:color w:val="595959"/>
          <w:sz w:val="21"/>
        </w:rPr>
        <w:t>Tipo de aporte: teoría clásica de la planificación participativa. Fuente: Arnstein (1969).</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La participación suele invocarse como un valor sin precisar de qué tipo es. Arnstein ofreció una forma de distinguir niveles, útil para evaluar la participación de actores locales que menciona el indicador.</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«A ladder of citizen participation», Arnstein (1969) sostiene que la participación ciudadana es una redistribución del poder que permite a quienes han sido excluidos de los procesos políticos y económicos incidir en ellos. Construye una tipología de ocho peldaños agrupados en tres categorías: la no participación (manipulación y terapia), el simbolismo o </w:t>
      </w:r>
      <w:r>
        <w:rPr>
          <w:rFonts w:ascii="Times New Roman" w:hAnsi="Times New Roman" w:eastAsia="Times New Roman" w:cs="Times New Roman"/>
          <w:b w:val="0"/>
          <w:i/>
        </w:rPr>
        <w:t>tokenism</w:t>
      </w:r>
      <w:r>
        <w:rPr>
          <w:rFonts w:ascii="Times New Roman" w:hAnsi="Times New Roman" w:eastAsia="Times New Roman" w:cs="Times New Roman"/>
          <w:b w:val="0"/>
          <w:i w:val="0"/>
        </w:rPr>
        <w:t xml:space="preserve"> (información, consulta y apaciguamiento) y el poder ciudadano (asociación, poder delegado y control ciudadano). La diferencia clave está entre ser escuchado y tener capacidad real de decisión: informar o consultar sin garantizar que lo expresado se tome en cuenta es un nivel simbólico (Arnstein, 1969).</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Para el proyecto, la escalera sirve como instrumento de diagnóstico y de diseño. De diagnóstico, porque permite clasificar cómo participan hoy los actores locales en la gestión del patrimonio y qué espacio les deja la gestión institucional. De diseño, porque obliga a decidir qué nivel se busca con el Centro de Interpretación: si se informa a la comunidad de un proyecto ya definido o si se la integra en su definición y su gestión. La hipótesis de trabajo de la matriz, según la cual el reconocimiento y la articulación de valores favorecen una intervención coherente con la identidad local, supone como mínimo un nivel de consulta efectiva.</w:t>
      </w:r>
    </w:p>
    <w:p>
      <w:r>
        <w:rPr>
          <w:rFonts w:ascii="Times New Roman" w:hAnsi="Times New Roman" w:eastAsia="Times New Roman" w:cs="Times New Roman"/>
          <w:b w:val="0"/>
          <w:i w:val="0"/>
        </w:rPr>
        <w:t>Debe usarse con cautela. Arnstein escribió sobre programas federales de renovación urbana en Estados Unidos y su escalera es una simplificación, pues los peldaños no son compartimentos estancos. En el ámbito rural andino, las formas de decisión colectiva y de organización local son propias, y el instrumento debe adaptarse a ellas en lugar de imponerse. Tampoco se afirma aquí cuál es el nivel de participación actual en Vischongo; eso será un resultado del trabajo de campo.</w:t>
      </w:r>
    </w:p>
    <w:p>
      <w:pPr>
        <w:pStyle w:val="Heading3"/>
      </w:pPr>
      <w:r>
        <w:rPr>
          <w:rFonts w:ascii="Times New Roman" w:hAnsi="Times New Roman" w:eastAsia="Times New Roman" w:cs="Times New Roman"/>
          <w:b/>
          <w:i/>
          <w:color w:val="000000"/>
        </w:rPr>
        <w:t>4.3. La comunidad patrimonial: Convenio Marco de Faro (Consejo de Europa, 2005)</w:t>
      </w:r>
    </w:p>
    <w:p>
      <w:pPr>
        <w:keepNext/>
        <w:spacing w:after="80"/>
        <w:jc w:val="left"/>
      </w:pPr>
      <w:r>
        <w:rPr>
          <w:rFonts w:ascii="Times New Roman" w:hAnsi="Times New Roman" w:eastAsia="Times New Roman" w:cs="Times New Roman"/>
          <w:b w:val="0"/>
          <w:i/>
          <w:color w:val="595959"/>
          <w:sz w:val="21"/>
        </w:rPr>
        <w:t>Tipo de aporte: marco institucional internacional (convenio). Fuente: Consejo de Europa (2005); contraste crítico con Smith (2006).</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El tercer indicador, el uso social de espacios patrimoniales, remite a la pregunta de para quién es el patrimonio y para qué sirve. El Convenio Marco de Faro desplaza el foco desde los bienes hacia las personas que los valoran.</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El Convenio Marco del Consejo de Europa sobre el valor del patrimonio cultural para la sociedad, adoptado en Faro, define el patrimonio cultural como un conjunto de recursos heredados del pasado que las personas identifican, con independencia de su titularidad, como reflejo y expresión de sus valores, creencias, conocimientos y tradiciones en continua evolución. Introduce además el concepto de comunidad patrimonial: personas que valoran aspectos específicos del patrimonio cultural y desean, en el marco de la acción pública, sostenerlos y transmitirlos a las generaciones futuras (Consejo de Europa, 2005, art. 2). A partir de ello promueve el acceso de todas las personas al patrimonio y su participación democrática en los procesos de identificación, estudio, interpretación, protección, conservación y presentación (art. 12), y lo entiende como un recurso para el desarrollo humano y la calidad de vida.</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La noción de comunidad patrimonial es útil porque no exige que quien valora un bien sea su propietario ni un especialista; basta con que lo reconozca como propio. Esto conecta con el uso social: un espacio patrimonial se mantiene vivo cuando se usa, lo que supone que el corredor y el Centro se piensen como lugares de uso cotidiano de la comunidad y no solo de visita. Smith (2006) aporta una cautela complementaria. Sostiene que el patrimonio no tiene un valor inherente, sino que es un proceso cultural de construcción de significados, y critica el «discurso patrimonial autorizado», dominado por expertos y por criterios de monumentalidad y antigüedad, que deja fuera otras formas de entender el patrimonio. Para la investigación, esto implica que el inventario técnico de X1 debe contrastarse con el reconocimiento que hace la comunidad.</w:t>
      </w:r>
    </w:p>
    <w:p>
      <w:r>
        <w:rPr>
          <w:rFonts w:ascii="Times New Roman" w:hAnsi="Times New Roman" w:eastAsia="Times New Roman" w:cs="Times New Roman"/>
          <w:b w:val="0"/>
          <w:i w:val="0"/>
        </w:rPr>
        <w:t>Como precauciones, Faro es un instrumento europeo y Perú no es parte de él; además, formula principios más que mecanismos precisos de aplicación, por lo que aquí se usa como marco conceptual. «Comunidad patrimonial» es también un concepto flexible: la investigación deberá precisar qué grupos de Vischongo se consideran actores locales.</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Proshansky et al. fundamentan qué se explora al hablar de identidad (los significados que las personas asocian con sus lugares); Arnstein, cómo distinguir niveles de participación; y Faro, quiénes forman la comunidad que da uso y sentido al patrimonio, con el contrapeso crítico de Smith. Respaldan así los tres indicadores de la dimensión: percepción de identidad, participación de actores locales y uso social de espacios patrimoniales.</w:t>
      </w:r>
    </w:p>
    <w:p>
      <w:pPr>
        <w:pStyle w:val="Heading2"/>
      </w:pPr>
      <w:r>
        <w:rPr>
          <w:rFonts w:ascii="Times New Roman" w:hAnsi="Times New Roman" w:eastAsia="Times New Roman" w:cs="Times New Roman"/>
          <w:b/>
          <w:i w:val="0"/>
          <w:color w:val="000000"/>
        </w:rPr>
        <w:t>5. Variable dependiente: Revitalización</w:t>
      </w:r>
    </w:p>
    <w:p>
      <w:r>
        <w:rPr>
          <w:rFonts w:ascii="Times New Roman" w:hAnsi="Times New Roman" w:eastAsia="Times New Roman" w:cs="Times New Roman"/>
          <w:b w:val="0"/>
          <w:i w:val="0"/>
        </w:rPr>
        <w:t>La revitalización cuenta con una literatura amplia en el urbanismo, aunque términos como regeneración, renovación, rehabilitación y revitalización se usan con matices distintos. La matriz la define como la recuperación y mejora de condiciones físicas, ambientales, sociales y funcionales. Las tres teorías elegidas la abordan como un proceso integral (Roberts), como una intervención puntual con efecto sobre el conjunto (Lerner) y como una recuperación de áreas con patrimonio y deterioro en América Latina (Rojas).</w:t>
      </w:r>
    </w:p>
    <w:p>
      <w:pPr>
        <w:pStyle w:val="Heading3"/>
      </w:pPr>
      <w:r>
        <w:rPr>
          <w:rFonts w:ascii="Times New Roman" w:hAnsi="Times New Roman" w:eastAsia="Times New Roman" w:cs="Times New Roman"/>
          <w:b/>
          <w:i/>
          <w:color w:val="000000"/>
        </w:rPr>
        <w:t>5.1. La regeneración urbana integral: Roberts (2000)</w:t>
      </w:r>
    </w:p>
    <w:p>
      <w:pPr>
        <w:keepNext/>
        <w:spacing w:after="80"/>
        <w:jc w:val="left"/>
      </w:pPr>
      <w:r>
        <w:rPr>
          <w:rFonts w:ascii="Times New Roman" w:hAnsi="Times New Roman" w:eastAsia="Times New Roman" w:cs="Times New Roman"/>
          <w:b w:val="0"/>
          <w:i/>
          <w:color w:val="595959"/>
          <w:sz w:val="21"/>
        </w:rPr>
        <w:t>Tipo de aporte: teoría de la regeneración urbana. Fuente: Roberts (2000).</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Toda teoría de revitalización debe decidir si se limita a mejorar lo físico o si abarca más. Roberts es una de las referencias más citadas para sostener lo segundo, y su definición permite fundamentar que la variable Y tenga varias dimensiones y no una sola.</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el capítulo que abre el manual editado con Sykes, Roberts (2000) define la regeneración urbana como una visión y una acción integral e integrada que conduce a la resolución de problemas urbanos y busca una mejora duradera de las condiciones económicas, físicas, sociales y ambientales de un área que ha sido objeto de cambio. Se distingue de las intervenciones sectoriales, como una obra de embellecimiento, porque parte del análisis del área y de las condiciones que la afectan, y pretende adaptar al mismo tiempo el tejido físico, la estructura social, la base económica y el entorno ambiental. Roberts sitúa además los términos próximos, como reconstrucción, revitalización, renovación, reurbanización y regeneración, en una secuencia histórica de políticas urbanas en la que la regeneración corresponde al giro hacia enfoques más integrales (Roberts, 2000).</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Aporta lo esencial para justificar que la revitalización se estudie en tres dimensiones: es integral cuando atiende a lo ambiental, lo urbano-funcional y lo sociocultural a la vez. Esa estructura coincide con la definición de la matriz, que habla de condiciones físicas, ambientales, sociales y funcionales. Ofrece además un criterio de método: la revitalización parte del análisis de las condiciones actuales, tal como lo plantea la definición operacional de Y, que habla de «condiciones actuales y cambios esperados».</w:t>
      </w:r>
    </w:p>
    <w:p>
      <w:r>
        <w:rPr>
          <w:rFonts w:ascii="Times New Roman" w:hAnsi="Times New Roman" w:eastAsia="Times New Roman" w:cs="Times New Roman"/>
          <w:b w:val="0"/>
          <w:i w:val="0"/>
        </w:rPr>
        <w:t>Las cautelas son dos. Roberts trata de áreas urbanas afectadas por el declive económico, sobre todo en el contexto británico y europeo; aquí se aplica a un ámbito rural andino, donde el problema no es tanto el declive de un área industrial o central como la fragmentación, el deterioro del paisaje y la escasa articulación del patrimonio. Por otra parte, el componente económico, central en Roberts, no es una dimensión de la matriz, y se reconoce como un límite del alcance. La investigación emplea el término «revitalización» como lo plantea su matriz y usa la literatura de regeneración como sustento conceptual, sin asumir que ambos términos sean idénticos.</w:t>
      </w:r>
    </w:p>
    <w:p>
      <w:pPr>
        <w:pStyle w:val="Heading3"/>
      </w:pPr>
      <w:r>
        <w:rPr>
          <w:rFonts w:ascii="Times New Roman" w:hAnsi="Times New Roman" w:eastAsia="Times New Roman" w:cs="Times New Roman"/>
          <w:b/>
          <w:i/>
          <w:color w:val="000000"/>
        </w:rPr>
        <w:t>5.2. La acupuntura urbana: Lerner (2005)</w:t>
      </w:r>
    </w:p>
    <w:p>
      <w:pPr>
        <w:keepNext/>
        <w:spacing w:after="80"/>
        <w:jc w:val="left"/>
      </w:pPr>
      <w:r>
        <w:rPr>
          <w:rFonts w:ascii="Times New Roman" w:hAnsi="Times New Roman" w:eastAsia="Times New Roman" w:cs="Times New Roman"/>
          <w:b w:val="0"/>
          <w:i/>
          <w:color w:val="595959"/>
          <w:sz w:val="21"/>
        </w:rPr>
        <w:t>Tipo de aporte: planteamiento de práctica proyectual. Fuente: Lerner (2005).</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La revitalización no siempre requiere grandes operaciones. Jaime Lerner, quien fue alcalde de Curitiba, defendió que pequeñas intervenciones bien ubicadas pueden desencadenar mejoras en su entorno. Esa idea resulta pertinente en un distrito de escala reducida, donde una operación de gran tamaño no sería viable.</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w:t>
      </w:r>
      <w:r>
        <w:rPr>
          <w:rFonts w:ascii="Times New Roman" w:hAnsi="Times New Roman" w:eastAsia="Times New Roman" w:cs="Times New Roman"/>
          <w:b w:val="0"/>
          <w:i/>
        </w:rPr>
        <w:t>Acupuntura urbana</w:t>
      </w:r>
      <w:r>
        <w:rPr>
          <w:rFonts w:ascii="Times New Roman" w:hAnsi="Times New Roman" w:eastAsia="Times New Roman" w:cs="Times New Roman"/>
          <w:b w:val="0"/>
          <w:i w:val="0"/>
        </w:rPr>
        <w:t>, Lerner (2005) toma el término de la medicina china para plantear el urbanismo como una terapia complementaria: así como una aguja aplicada en un punto preciso puede restablecer el funcionamiento de un órgano, una intervención puntual y oportuna puede revitalizar un área mayor al producir efectos positivos en cadena. El libro, compuesto por una introducción y una serie de relatos breves de experiencias, muchas de ellas ocurridas en Curitiba, no es un tratado teórico en sentido estricto sino una colección de experiencias y de principios de práctica. Su idea central es que una buena acupuntura urbana puede ser cualquier actuación, de escala manejable, que produzca efectos positivos en la ciudad (Lerner, 2005).</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Desde esta perspectiva, el Centro de Interpretación Patrimonial puede entenderse como un punto de acupuntura: una intervención localizada que reúne programa cultural, información y espacio público, y el corredor, como el medio por el cual sus efectos podrían extenderse al conjunto del paisaje. La idea ayuda a explicar la lógica de la propuesta y a justificar una intervención de escala moderada, acorde con las capacidades de un distrito.</w:t>
      </w:r>
    </w:p>
    <w:p>
      <w:r>
        <w:rPr>
          <w:rFonts w:ascii="Times New Roman" w:hAnsi="Times New Roman" w:eastAsia="Times New Roman" w:cs="Times New Roman"/>
          <w:b w:val="0"/>
          <w:i w:val="0"/>
        </w:rPr>
        <w:t>Es, sin embargo, la teoría con menor sustento empírico de las tres. Lerner presenta experiencias propias y no un método para comprobar que la intervención puntual produce los efectos esperados. Por eso la investigación no la usa como prueba sino como hipótesis de diseño, y por eso la matriz propone indicadores y la comparación entre condiciones actuales y cambios esperados: lo que Lerner supone debe aquí contrastarse. También requiere precaución la elección del punto, pues una intervención mal ubicada o desvinculada de la comunidad puede no generar ningún efecto de arrastre.</w:t>
      </w:r>
    </w:p>
    <w:p>
      <w:pPr>
        <w:pStyle w:val="Heading3"/>
      </w:pPr>
      <w:r>
        <w:rPr>
          <w:rFonts w:ascii="Times New Roman" w:hAnsi="Times New Roman" w:eastAsia="Times New Roman" w:cs="Times New Roman"/>
          <w:b/>
          <w:i/>
          <w:color w:val="000000"/>
        </w:rPr>
        <w:t>5.3. La recuperación de áreas patrimoniales degradadas: Rojas (2004)</w:t>
      </w:r>
    </w:p>
    <w:p>
      <w:pPr>
        <w:keepNext/>
        <w:spacing w:after="80"/>
        <w:jc w:val="left"/>
      </w:pPr>
      <w:r>
        <w:rPr>
          <w:rFonts w:ascii="Times New Roman" w:hAnsi="Times New Roman" w:eastAsia="Times New Roman" w:cs="Times New Roman"/>
          <w:b w:val="0"/>
          <w:i/>
          <w:color w:val="595959"/>
          <w:sz w:val="21"/>
        </w:rPr>
        <w:t>Tipo de aporte: estudio institucional regional (BID). Fuente: Rojas (2004).</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América Latina ha desarrollado su propia discusión sobre cómo recuperar áreas con patrimonio y deterioro. El estudio </w:t>
      </w:r>
      <w:r>
        <w:rPr>
          <w:rFonts w:ascii="Times New Roman" w:hAnsi="Times New Roman" w:eastAsia="Times New Roman" w:cs="Times New Roman"/>
          <w:b w:val="0"/>
          <w:i/>
        </w:rPr>
        <w:t>Volver al centro</w:t>
      </w:r>
      <w:r>
        <w:rPr>
          <w:rFonts w:ascii="Times New Roman" w:hAnsi="Times New Roman" w:eastAsia="Times New Roman" w:cs="Times New Roman"/>
          <w:b w:val="0"/>
          <w:i w:val="0"/>
        </w:rPr>
        <w:t>, del Banco Interamericano de Desarrollo, es una referencia de esa discusión y ofrece un marco para leer las condiciones de un ámbito que se pretende revitalizar.</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Rojas (2004) examina las características del problema de recuperar áreas urbanas centrales y presenta distintas opciones de financiamiento y ejecución de programas de rehabilitación urbana, con casos de ciudades de la región. Identifica tres tipos de obsolescencia que afectan a esas áreas: la funcional, cuando los espacios dejan de responder a las necesidades de uso; la física, que alude al deterioro de lo construido y de la infraestructura; y la económica, cuando el área pierde capacidad de generar actividad (Rojas, 2004). El planteamiento implica que la recuperación requiere atender estos tres frentes y no solo intervenir sobre lo físico.</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Aporta una forma de leer las condiciones actuales del ámbito como formas de obsolescencia: un espacio público subutilizado (funcional), un recurso patrimonial deteriorado o un paisaje degradado (física) y la escasa actividad que generan (económica). Los indicadores de la dimensión Y2 se relacionan directamente con la obsolescencia funcional y física, de modo que el marco sirve de guía para formular el diagnóstico (objetivo específico 2). Su valor está también en el contexto: se refiere a ciudades latinoamericanas, con problemas de gestión y financiamiento más próximos a los peruanos que los de la literatura europea, y en la región ayacuchana Mejia Curahua et al. (2024) hallan una brecha entre lo propuesto y lo ejecutado en la gestión patrimonial.</w:t>
      </w:r>
    </w:p>
    <w:p>
      <w:r>
        <w:rPr>
          <w:rFonts w:ascii="Times New Roman" w:hAnsi="Times New Roman" w:eastAsia="Times New Roman" w:cs="Times New Roman"/>
          <w:b w:val="0"/>
          <w:i w:val="0"/>
        </w:rPr>
        <w:t xml:space="preserve">Como precaución, </w:t>
      </w:r>
      <w:r>
        <w:rPr>
          <w:rFonts w:ascii="Times New Roman" w:hAnsi="Times New Roman" w:eastAsia="Times New Roman" w:cs="Times New Roman"/>
          <w:b w:val="0"/>
          <w:i/>
        </w:rPr>
        <w:t>Volver al centro</w:t>
      </w:r>
      <w:r>
        <w:rPr>
          <w:rFonts w:ascii="Times New Roman" w:hAnsi="Times New Roman" w:eastAsia="Times New Roman" w:cs="Times New Roman"/>
          <w:b w:val="0"/>
          <w:i w:val="0"/>
        </w:rPr>
        <w:t xml:space="preserve"> trata de áreas centrales de ciudades de cierto tamaño, y Vischongo es un distrito rural andino donde no existe un «centro» en el sentido de esos casos. Se emplea como marco de diagnóstico y no como modelo de intervención. La obsolescencia económica no forma parte de la matriz y queda fuera del análisis, aunque podría considerarse en fases posteriores.</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Roberts aporta la razón de ser de una revitalización integral y multidimensional; Lerner, una lógica de intervención puntual con efecto sobre el conjunto, que debe ser contrastada; y Rojas, una manera de leer las condiciones de partida como obsolescencias. En conjunto respaldan la definición de la matriz (recuperación y mejora de condiciones físicas, ambientales, sociales y funcionales) y su estrategia de evaluar condiciones actuales y cambios esperados.</w:t>
      </w:r>
    </w:p>
    <w:p>
      <w:pPr>
        <w:pStyle w:val="Heading2"/>
      </w:pPr>
      <w:r>
        <w:rPr>
          <w:rFonts w:ascii="Times New Roman" w:hAnsi="Times New Roman" w:eastAsia="Times New Roman" w:cs="Times New Roman"/>
          <w:b/>
          <w:i w:val="0"/>
          <w:color w:val="000000"/>
        </w:rPr>
        <w:t>6. Dimensión Y1: Revitalización ambiental</w:t>
      </w:r>
    </w:p>
    <w:p>
      <w:r>
        <w:rPr>
          <w:rFonts w:ascii="Times New Roman" w:hAnsi="Times New Roman" w:eastAsia="Times New Roman" w:cs="Times New Roman"/>
          <w:b w:val="0"/>
          <w:i w:val="0"/>
        </w:rPr>
        <w:t>La dimensión ambiental se refiere a recuperar el soporte natural del ámbito. Sus indicadores en la matriz son las áreas verdes recuperadas, la continuidad de vegetación y el manejo de residuos. Las tres teorías proponen cómo se organiza y se conecta un paisaje (ecología del paisaje), cómo se planifica una red de espacios verdes (infraestructura verde) y cómo se recupera un ecosistema degradado (restauración ecológica).</w:t>
      </w:r>
    </w:p>
    <w:p>
      <w:pPr>
        <w:pStyle w:val="Heading3"/>
      </w:pPr>
      <w:r>
        <w:rPr>
          <w:rFonts w:ascii="Times New Roman" w:hAnsi="Times New Roman" w:eastAsia="Times New Roman" w:cs="Times New Roman"/>
          <w:b/>
          <w:i/>
          <w:color w:val="000000"/>
        </w:rPr>
        <w:t>6.1. La ecología del paisaje y la conectividad: el modelo parche-corredor-matriz (Forman, 1995)</w:t>
      </w:r>
    </w:p>
    <w:p>
      <w:pPr>
        <w:keepNext/>
        <w:spacing w:after="80"/>
        <w:jc w:val="left"/>
      </w:pPr>
      <w:r>
        <w:rPr>
          <w:rFonts w:ascii="Times New Roman" w:hAnsi="Times New Roman" w:eastAsia="Times New Roman" w:cs="Times New Roman"/>
          <w:b w:val="0"/>
          <w:i/>
          <w:color w:val="595959"/>
          <w:sz w:val="21"/>
        </w:rPr>
        <w:t>Tipo de aporte: teoría científica (ecología del paisaje). Fuente: Forman (1995), Forman y Godron (1986), Taylor et al. (1993); evidencia complementaria de Urbina Lavajos y Vargas Chozo (2025).</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Un corredor ecológico es, antes que una obra, un concepto de la ecología del paisaje. Comprender cómo se disponen y se conectan los fragmentos de vegetación es necesario para evaluar el indicador de continuidad de vegetación y para decidir dónde y cómo intervenir.</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ecología del paisaje estudia cómo la disposición espacial de los elementos de un territorio afecta a los procesos ecológicos. Forman y Godron (1986) propusieron describir cualquier paisaje mediante tres componentes: los parches, áreas relativamente homogéneas que difieren de su entorno; los corredores, elementos lineales que se distinguen de lo que los rodea; y la matriz, el elemento dominante y más conectado. Forman (1995) amplió el modelo a la escala de las regiones y analizó cómo el tamaño, la forma y la conexión de parches y corredores influyen en los flujos de especies, agua y materiales. Los corredores pueden cumplir varias funciones, como hábitat, conducto de movimiento, filtro, barrera, fuente o sumidero, de modo que no todo elemento lineal favorece la conexión. Taylor et al. (1993) precisaron la noción de conectividad del paisaje como el grado en que este facilita o impide el movimiento entre parches de recursos, y la presentaron como un elemento vital de su estructura. Hilty et al. (2006) sintetizaron después la ciencia y la práctica de los corredores para la conservación de la biodiversidad.</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El modelo aporta un lenguaje espacial para describir el ámbito antes de intervenir: qué fragmentos de vegetación existen, qué elementos lineales (cauces, bordes de cultivo, caminos) podrían actuar como corredores y cuál es la matriz en la que todo ello se inserta. En un paisaje agrícola y de ladera, la matriz no será necesariamente natural sino productiva, y reconocerlo evita diseñar el corredor como si se tratara de un espacio vacío. Urbina Lavajos y Vargas Chozo (2025) ofrecen un caso peruano consistente con este enfoque: en el Barranco Tumino de Moyobamba reportan que la fragmentación debilita la conectividad ecológica y la biodiversidad, y proponen un sistema de parches ecológicos (huertos urbanos, corredores verdes, senderos, malecones, miradores, humedales y lagunas urbanas) para recuperar el paisaje cultural (según el resumen del artículo).</w:t>
      </w:r>
    </w:p>
    <w:p>
      <w:r>
        <w:rPr>
          <w:rFonts w:ascii="Times New Roman" w:hAnsi="Times New Roman" w:eastAsia="Times New Roman" w:cs="Times New Roman"/>
          <w:b w:val="0"/>
          <w:i w:val="0"/>
        </w:rPr>
        <w:t>Debe tenerse presente que la conectividad es siempre específica de cada especie y de cada escala: un corredor que sirve a un grupo de organismos puede ser una barrera para otro. Como la matriz no incluye especies objetivo, la investigación evalúa la continuidad de la vegetación y no una conectividad funcional demostrada; esa diferencia debe quedar explícita. Además, el caso de Moyobamba corresponde a un contexto urbano de selva alta, y Vischongo es andino, con otra vegetación y otras presiones.</w:t>
      </w:r>
    </w:p>
    <w:p>
      <w:pPr>
        <w:pStyle w:val="Heading3"/>
      </w:pPr>
      <w:r>
        <w:rPr>
          <w:rFonts w:ascii="Times New Roman" w:hAnsi="Times New Roman" w:eastAsia="Times New Roman" w:cs="Times New Roman"/>
          <w:b/>
          <w:i/>
          <w:color w:val="000000"/>
        </w:rPr>
        <w:t>6.2. La infraestructura verde: Benedict y McMahon (2006)</w:t>
      </w:r>
    </w:p>
    <w:p>
      <w:pPr>
        <w:keepNext/>
        <w:spacing w:after="80"/>
        <w:jc w:val="left"/>
      </w:pPr>
      <w:r>
        <w:rPr>
          <w:rFonts w:ascii="Times New Roman" w:hAnsi="Times New Roman" w:eastAsia="Times New Roman" w:cs="Times New Roman"/>
          <w:b w:val="0"/>
          <w:i/>
          <w:color w:val="595959"/>
          <w:sz w:val="21"/>
        </w:rPr>
        <w:t>Tipo de aporte: enfoque de planificación del paisaje. Fuente: Benedict y McMahon (2006); antecedente complementario de Raymundo et al. (2025).</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Si la ecología del paisaje describe, la infraestructura verde planifica: convierte la conectividad ecológica en una estrategia de ordenamiento territorial. Es el marco más directo para el indicador de áreas verdes recuperadas.</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Benedict y McMahon (2006) conceptualizan la infraestructura verde como una red interconectada de áreas naturales y otros espacios abiertos que conserva los valores y funciones de los ecosistemas y aporta beneficios a las personas. La red se compone de núcleos (</w:t>
      </w:r>
      <w:r>
        <w:rPr>
          <w:rFonts w:ascii="Times New Roman" w:hAnsi="Times New Roman" w:eastAsia="Times New Roman" w:cs="Times New Roman"/>
          <w:b w:val="0"/>
          <w:i/>
        </w:rPr>
        <w:t>hubs</w:t>
      </w:r>
      <w:r>
        <w:rPr>
          <w:rFonts w:ascii="Times New Roman" w:hAnsi="Times New Roman" w:eastAsia="Times New Roman" w:cs="Times New Roman"/>
          <w:b w:val="0"/>
          <w:i w:val="0"/>
        </w:rPr>
        <w:t>), como reservas y tierras de conservación, y de enlaces (</w:t>
      </w:r>
      <w:r>
        <w:rPr>
          <w:rFonts w:ascii="Times New Roman" w:hAnsi="Times New Roman" w:eastAsia="Times New Roman" w:cs="Times New Roman"/>
          <w:b w:val="0"/>
          <w:i/>
        </w:rPr>
        <w:t>links</w:t>
      </w:r>
      <w:r>
        <w:rPr>
          <w:rFonts w:ascii="Times New Roman" w:hAnsi="Times New Roman" w:eastAsia="Times New Roman" w:cs="Times New Roman"/>
          <w:b w:val="0"/>
          <w:i w:val="0"/>
        </w:rPr>
        <w:t>) que los conectan, y se plantea como el marco que debe planificarse y protegerse antes del desarrollo, y no como el espacio que queda libre una vez construido. Los autores sostienen que debe tratarse como una infraestructura, con planificación, financiamiento y mantenimiento, y no como un adorno, y que su diseño debe considerar a la vez la conservación de los ecosistemas y las necesidades de las comunidades (Benedict y McMahon, 2006).</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La propuesta de convertir los espacios verdes en parte de un sistema, y no en un resto, respalda la ubicación del corredor y la medición de las áreas verdes recuperadas. Para el ámbito de estudio, la distinción entre núcleos y enlaces permite pensar el corredor como un enlace entre núcleos de valor natural y cultural. En el contexto peruano, Raymundo et al. (2025) plantean la infraestructura verde como estrategia de paisaje urbano para la revalorización de los humedales de Ite, en Tacna, con corredores verdes, senderos interpretativos, áreas de descanso, miradores de aves y jardines botánicos que se presentan como apoyo a la conservación y a la identidad cultural local (según el resumen del artículo). Es un antecedente cercano en vocabulario y en programa, aunque se trata de una propuesta de diseño.</w:t>
      </w:r>
    </w:p>
    <w:p>
      <w:r>
        <w:rPr>
          <w:rFonts w:ascii="Times New Roman" w:hAnsi="Times New Roman" w:eastAsia="Times New Roman" w:cs="Times New Roman"/>
          <w:b w:val="0"/>
          <w:i w:val="0"/>
        </w:rPr>
        <w:t>Como precauciones, el concepto se formuló en Estados Unidos, con atención a redes de áreas protegidas y a la planificación del crecimiento. En un territorio rural andino, la infraestructura verde incluye pastos, cultivos y cauces que ya cumplen funciones ecológicas y culturales, y esa condición debe reconocerse en el diagnóstico en lugar de suponer un territorio sin uso. Que los beneficios de la red para las personas, como la salud o la cohesión, se den en Vischongo debe tratarse como hipótesis y no como resultado.</w:t>
      </w:r>
    </w:p>
    <w:p>
      <w:pPr>
        <w:pStyle w:val="Heading3"/>
      </w:pPr>
      <w:r>
        <w:rPr>
          <w:rFonts w:ascii="Times New Roman" w:hAnsi="Times New Roman" w:eastAsia="Times New Roman" w:cs="Times New Roman"/>
          <w:b/>
          <w:i/>
          <w:color w:val="000000"/>
        </w:rPr>
        <w:t>6.3. La restauración ecológica: Society for Ecological Restoration (2004)</w:t>
      </w:r>
    </w:p>
    <w:p>
      <w:pPr>
        <w:keepNext/>
        <w:spacing w:after="80"/>
        <w:jc w:val="left"/>
      </w:pPr>
      <w:r>
        <w:rPr>
          <w:rFonts w:ascii="Times New Roman" w:hAnsi="Times New Roman" w:eastAsia="Times New Roman" w:cs="Times New Roman"/>
          <w:b w:val="0"/>
          <w:i/>
          <w:color w:val="595959"/>
          <w:sz w:val="21"/>
        </w:rPr>
        <w:t>Tipo de aporte: marco científico-profesional (guía de referencia). Fuente: SER (2004); evidencia complementaria de Urbina Lavajos y Vargas Chozo (2025), Del Castillo Cáceres y Castro De la Borda (2015) y Zhou y Mohamed Afla (2026).</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Recuperar un espacio natural degradado no es lo mismo que plantar árboles. La restauración ecológica ofrece criterios para definir qué se quiere recuperar y cómo saber si se avanza, y sirve para dar rigor al indicador de áreas verdes recuperadas y al de manejo de residuos.</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El </w:t>
      </w:r>
      <w:r>
        <w:rPr>
          <w:rFonts w:ascii="Times New Roman" w:hAnsi="Times New Roman" w:eastAsia="Times New Roman" w:cs="Times New Roman"/>
          <w:b w:val="0"/>
          <w:i/>
        </w:rPr>
        <w:t>Primer</w:t>
      </w:r>
      <w:r>
        <w:rPr>
          <w:rFonts w:ascii="Times New Roman" w:hAnsi="Times New Roman" w:eastAsia="Times New Roman" w:cs="Times New Roman"/>
          <w:b w:val="0"/>
          <w:i w:val="0"/>
        </w:rPr>
        <w:t xml:space="preserve"> internacional de la Society for Ecological Restoration define la restauración ecológica como el proceso de asistir la recuperación de un ecosistema que ha sido degradado, dañado o destruido (Society for Ecological Restoration International Science &amp; Policy Working Group [SER], 2004; traducción propia). Se trata de una actividad intencional que inicia o acelera esa recuperación con respecto a la salud, la integridad y la sostenibilidad del ecosistema. El documento propone tomar como guía un ecosistema de referencia, un modelo de lo que se desea recuperar construido a partir de sitios conservados y de información histórica, y evaluar el avance mediante atributos como la composición de especies nativas, la presencia de grupos funcionales, la capacidad del ambiente físico de sostener poblaciones, el funcionamiento normal del ecosistema, su integración en el paisaje mayor y la eliminación de amenazas potenciales (SER, 2004).</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La noción de ecosistema de referencia es la más útil para esta dimensión, porque obliga a documentar qué vegetación y qué condiciones se consideran recuperables en Vischongo antes de proponer especies o trazados. El atributo de eliminación de amenazas ayuda a justificar el manejo de residuos como parte de la revitalización ambiental: antes de restaurar hay que detener la fuente de degradación. Los antecedentes peruanos de la matriz apuntan en esa dirección. Urbina Lavajos y Vargas Chozo (2025) reportan botaderos y desagües entre los usos insostenibles que afectan a cerca del 41 % del Barranco Tumino, y Del Castillo Cáceres y Castro De la Borda (2015) señalan los botaderos entre las amenazas al patrimonio arqueológico de Lima (según los resúmenes). Zhou y Mohamed Afla (2026) proponen, por su parte, una intervención vegetal con 18 especies nativas para mejorar la estética, la identidad cultural y la resiliencia ecológica de un pueblo patrimonial, un ejemplo de selección de vegetación autóctona, aunque en un entorno distinto.</w:t>
      </w:r>
    </w:p>
    <w:p>
      <w:r>
        <w:rPr>
          <w:rFonts w:ascii="Times New Roman" w:hAnsi="Times New Roman" w:eastAsia="Times New Roman" w:cs="Times New Roman"/>
          <w:b w:val="0"/>
          <w:i w:val="0"/>
        </w:rPr>
        <w:t>La restauración plena es un ideal que rara vez se alcanza en paisajes habitados y productivos. En este proyecto el alcance sería el de una recuperación parcial y una rehabilitación, no el de un retorno a un estado original. El manejo de residuos se aborda aquí desde la eliminación de amenazas; un desarrollo posterior podría incorporar teorías específicas de gestión de residuos para fortalecer ese indicador.</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Forman, con Taylor et al., aporta el modelo espacial de la continuidad de vegetación; Benedict y McMahon, la planificación de una red de espacios verdes; y la SER, el criterio para definir y evaluar la recuperación, incluida la eliminación de amenazas como los residuos. Los tres indicadores de la dimensión encuentran así sustento: la continuidad de vegetación (Forman), las áreas verdes recuperadas (Benedict y McMahon; SER) y el manejo de residuos (SER, de manera indirecta).</w:t>
      </w:r>
    </w:p>
    <w:p>
      <w:pPr>
        <w:pStyle w:val="Heading2"/>
      </w:pPr>
      <w:r>
        <w:rPr>
          <w:rFonts w:ascii="Times New Roman" w:hAnsi="Times New Roman" w:eastAsia="Times New Roman" w:cs="Times New Roman"/>
          <w:b/>
          <w:i w:val="0"/>
          <w:color w:val="000000"/>
        </w:rPr>
        <w:t>7. Dimensión Y2: Revitalización urbana y funcional</w:t>
      </w:r>
    </w:p>
    <w:p>
      <w:r>
        <w:rPr>
          <w:rFonts w:ascii="Times New Roman" w:hAnsi="Times New Roman" w:eastAsia="Times New Roman" w:cs="Times New Roman"/>
          <w:b w:val="0"/>
          <w:i w:val="0"/>
        </w:rPr>
        <w:t>La dimensión urbana y funcional alude a que los espacios puedan usarse, recorrerse y disfrutarse. Sus tres indicadores, accesibilidad peatonal, calidad del espacio público y conectividad de recorridos, se corresponden con tres teorías: la vitalidad urbana de Jacobs, la calidad del espacio público a escala humana de Gehl y las cualidades de diseño que hacen caminable un lugar, de Ewing y Handy.</w:t>
      </w:r>
    </w:p>
    <w:p>
      <w:pPr>
        <w:pStyle w:val="Heading3"/>
      </w:pPr>
      <w:r>
        <w:rPr>
          <w:rFonts w:ascii="Times New Roman" w:hAnsi="Times New Roman" w:eastAsia="Times New Roman" w:cs="Times New Roman"/>
          <w:b/>
          <w:i/>
          <w:color w:val="000000"/>
        </w:rPr>
        <w:t>7.1. La vitalidad urbana: Jacobs (1961)</w:t>
      </w:r>
    </w:p>
    <w:p>
      <w:pPr>
        <w:keepNext/>
        <w:spacing w:after="80"/>
        <w:jc w:val="left"/>
      </w:pPr>
      <w:r>
        <w:rPr>
          <w:rFonts w:ascii="Times New Roman" w:hAnsi="Times New Roman" w:eastAsia="Times New Roman" w:cs="Times New Roman"/>
          <w:b w:val="0"/>
          <w:i/>
          <w:color w:val="595959"/>
          <w:sz w:val="21"/>
        </w:rPr>
        <w:t>Tipo de aporte: teoría clásica del urbanismo. Fuente: Jacobs (1961).</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Jane Jacobs cambió la pregunta de cómo se ve un lugar a cómo funciona. Su idea de vitalidad es una referencia para entender qué significa que un espacio esté revitalizado en el plano funcional.</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w:t>
      </w:r>
      <w:r>
        <w:rPr>
          <w:rFonts w:ascii="Times New Roman" w:hAnsi="Times New Roman" w:eastAsia="Times New Roman" w:cs="Times New Roman"/>
          <w:b w:val="0"/>
          <w:i/>
        </w:rPr>
        <w:t>The death and life of great American cities</w:t>
      </w:r>
      <w:r>
        <w:rPr>
          <w:rFonts w:ascii="Times New Roman" w:hAnsi="Times New Roman" w:eastAsia="Times New Roman" w:cs="Times New Roman"/>
          <w:b w:val="0"/>
          <w:i w:val="0"/>
        </w:rPr>
        <w:t xml:space="preserve"> (1961), Jacobs sostiene que la vitalidad de los barrios proviene de la diversidad y del uso continuo de calles y aceras, y no de una planificación abstracta. Describe las aceras como el principal espacio de contacto cotidiano y de seguridad, que se mantiene cuando hay «ojos en la calle», es decir, personas que al usar y observar el espacio lo vigilan de manera natural. Para generar esa diversidad propone cuatro condiciones: que el distrito cumpla más de una función principal, de modo que haya gente en distintos horarios; que las manzanas sean cortas, para ofrecer más opciones de recorrido; que haya edificios de distintas edades y estados, que permitan usos variados; y que exista una concentración suficiente de personas (Jacobs, 1961).</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La lección central, que un espacio revitalizado es el que se usa en distintos momentos y para distintas cosas, se aplica al proyecto: si el Centro de Interpretación y el corredor funcionaran solo como un atractivo ocasional, no cumplirían la revitalización funcional que plantea la matriz. Sugiere que el programa del Centro combine funciones (interpretación, encuentro comunitario, actividad cotidiana) y que los recorridos del corredor pasen por los lugares donde ya hay actividad. Es una guía para el indicador de calidad del espacio público.</w:t>
      </w:r>
    </w:p>
    <w:p>
      <w:r>
        <w:rPr>
          <w:rFonts w:ascii="Times New Roman" w:hAnsi="Times New Roman" w:eastAsia="Times New Roman" w:cs="Times New Roman"/>
          <w:b w:val="0"/>
          <w:i w:val="0"/>
        </w:rPr>
        <w:t>Jacobs observó barrios densos de grandes ciudades estadounidenses; sus condiciones de manzanas cortas y alta concentración de personas no son transferibles a un distrito rural de baja densidad. Se toma el principio, uso diverso y continuo del espacio, y no los umbrales. Su análisis, además, no considera el paisaje natural, que en este caso es un componente central.</w:t>
      </w:r>
    </w:p>
    <w:p>
      <w:pPr>
        <w:pStyle w:val="Heading3"/>
      </w:pPr>
      <w:r>
        <w:rPr>
          <w:rFonts w:ascii="Times New Roman" w:hAnsi="Times New Roman" w:eastAsia="Times New Roman" w:cs="Times New Roman"/>
          <w:b/>
          <w:i/>
          <w:color w:val="000000"/>
        </w:rPr>
        <w:t>7.2. La calidad del espacio público a escala humana: Gehl (2010)</w:t>
      </w:r>
    </w:p>
    <w:p>
      <w:pPr>
        <w:keepNext/>
        <w:spacing w:after="80"/>
        <w:jc w:val="left"/>
      </w:pPr>
      <w:r>
        <w:rPr>
          <w:rFonts w:ascii="Times New Roman" w:hAnsi="Times New Roman" w:eastAsia="Times New Roman" w:cs="Times New Roman"/>
          <w:b w:val="0"/>
          <w:i/>
          <w:color w:val="595959"/>
          <w:sz w:val="21"/>
        </w:rPr>
        <w:t>Tipo de aporte: teoría y método del diseño urbano. Fuente: Gehl (2010; 2011).</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Si Jacobs sostiene que la vida en el espacio público es la clave, Gehl se pregunta qué condiciones físicas la hacen posible. Su trabajo ofrece criterios concretos de calidad, aplicables a plazas, calles y recorridos.</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A partir de su estudio de la vida en el espacio público, Gehl (2011) distinguió entre actividades necesarias, como desplazarse al trabajo; opcionales, como pasear o sentarse al sol; y sociales, que dependen de la presencia de otras personas. Mostró que las actividades opcionales, y con ellas la vida social, aumentan cuando la calidad del entorno es alta. En </w:t>
      </w:r>
      <w:r>
        <w:rPr>
          <w:rFonts w:ascii="Times New Roman" w:hAnsi="Times New Roman" w:eastAsia="Times New Roman" w:cs="Times New Roman"/>
          <w:b w:val="0"/>
          <w:i/>
        </w:rPr>
        <w:t>Cities for people</w:t>
      </w:r>
      <w:r>
        <w:rPr>
          <w:rFonts w:ascii="Times New Roman" w:hAnsi="Times New Roman" w:eastAsia="Times New Roman" w:cs="Times New Roman"/>
          <w:b w:val="0"/>
          <w:i w:val="0"/>
        </w:rPr>
        <w:t xml:space="preserve"> (2010) sistematizó esos hallazgos en doce criterios de calidad agrupados en tres: protección (frente al tráfico, la inseguridad y las experiencias sensoriales desagradables), confort (oportunidades de caminar, permanecer de pie, sentarse, ver, oír y hablar, jugar y hacer ejercicio) y disfrute (escala humana, aprovechamiento de los aspectos positivos del clima y calidad estética) (Gehl, 2010).</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Los doce criterios son una lista de verificación útil para evaluar la calidad del espacio público y pueden adaptarse a una ficha de observación. Para el proyecto resultan relevantes los criterios de confort, como lugares para sentarse y permanecer, y de disfrute, como el clima y la escala, porque los recorridos del corredor y el entorno del Centro deben invitar a quedarse y no solo a pasar. Se conecta además con la dimensión X3, pues los espacios de encuentro son los lugares donde ocurre el uso social del patrimonio.</w:t>
      </w:r>
    </w:p>
    <w:p>
      <w:r>
        <w:rPr>
          <w:rFonts w:ascii="Times New Roman" w:hAnsi="Times New Roman" w:eastAsia="Times New Roman" w:cs="Times New Roman"/>
          <w:b w:val="0"/>
          <w:i w:val="0"/>
        </w:rPr>
        <w:t>Gehl trabajó principalmente en ciudades del norte de Europa y su propuesta presupone una cultura de espacio público urbano. En Vischongo, el clima y la topografía andinos, y las formas locales de reunión, condicionan qué significa «confort» o «disfrute»; si existen ferias, fiestas u otros usos colectivos, deberán incorporarse al análisis. Los criterios han de ajustarse con observación en el lugar.</w:t>
      </w:r>
    </w:p>
    <w:p>
      <w:pPr>
        <w:pStyle w:val="Heading3"/>
      </w:pPr>
      <w:r>
        <w:rPr>
          <w:rFonts w:ascii="Times New Roman" w:hAnsi="Times New Roman" w:eastAsia="Times New Roman" w:cs="Times New Roman"/>
          <w:b/>
          <w:i/>
          <w:color w:val="000000"/>
        </w:rPr>
        <w:t>7.3. Cualidades de diseño y caminabilidad: Ewing y Handy (2009)</w:t>
      </w:r>
    </w:p>
    <w:p>
      <w:pPr>
        <w:keepNext/>
        <w:spacing w:after="80"/>
        <w:jc w:val="left"/>
      </w:pPr>
      <w:r>
        <w:rPr>
          <w:rFonts w:ascii="Times New Roman" w:hAnsi="Times New Roman" w:eastAsia="Times New Roman" w:cs="Times New Roman"/>
          <w:b w:val="0"/>
          <w:i/>
          <w:color w:val="595959"/>
          <w:sz w:val="21"/>
        </w:rPr>
        <w:t>Tipo de aporte: enfoque metodológico (artículo científico). Fuente: Ewing y Handy (2009); referencia complementaria de Naciones Unidas (2015).</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El indicador de accesibilidad peatonal requiere un modo de evaluar si caminar es posible y agradable. Ewing y Handy aportan una forma de medir cualidades de diseño que suelen describirse de manera vaga.</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Ewing y Handy (2009) parten de que se atribuye una relación con la caminabilidad a ciertas cualidades de diseño urbano que son difíciles de medir. Mediante la evaluación de un panel de expertos, definieron operacionalmente cinco cualidades en términos de características físicas de las calles y sus bordes: imaginabilidad, cierre espacial, escala humana, transparencia y complejidad. Mostraron que es posible medirlas a partir de rasgos físicos observables y advirtieron que las definiciones operacionales no siempre coinciden con las cualitativas, lo que ofrece una comprensión más precisa de lo que esas cualidades significan en la práctica (Ewing y Handy, 2009).</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Aporta el paso de lo cualitativo a lo observable: el indicador de accesibilidad peatonal puede apoyarse en fichas que registren características físicas del recorrido, y la imaginabilidad, de raíz lynchiana, conecta con la dimensión X2. El método de definir operacionalmente cualidades de diseño es transferible aunque sus valores no lo sean.</w:t>
      </w:r>
    </w:p>
    <w:p>
      <w:r>
        <w:rPr>
          <w:rFonts w:ascii="Times New Roman" w:hAnsi="Times New Roman" w:eastAsia="Times New Roman" w:cs="Times New Roman"/>
          <w:b w:val="0"/>
          <w:i w:val="0"/>
        </w:rPr>
        <w:t>Como precaución, el estudio se hizo en calles urbanas de Estados Unidos con un panel de expertos, y sus cualidades se definieron para calles con edificios a ambos lados. En un camino rural o de ladera, nociones como el cierre espacial o la transparencia tienen otro sentido, y la accesibilidad remite también a la pendiente, la superficie y el acceso universal. En ese último aspecto puede añadirse la meta 11.7 de la Agenda 2030, que plantea proporcionar acceso universal a zonas verdes y espacios públicos seguros, inclusivos y accesibles (Naciones Unidas, 2015).</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Jacobs aporta el criterio de vitalidad funcional, es decir, un espacio usado con diversidad y continuidad; Gehl, los criterios de calidad que hacen agradable permanecer y recorrer; y Ewing y Handy, un método para convertir cualidades de diseño en rasgos observables. Respaldan los indicadores de la dimensión: calidad del espacio público (Jacobs, Gehl), accesibilidad peatonal (Ewing y Handy, Gehl) y conectividad de recorridos (Ewing y Handy, con el apoyo de Lynch en X2).</w:t>
      </w:r>
    </w:p>
    <w:p>
      <w:pPr>
        <w:pStyle w:val="Heading2"/>
      </w:pPr>
      <w:r>
        <w:rPr>
          <w:rFonts w:ascii="Times New Roman" w:hAnsi="Times New Roman" w:eastAsia="Times New Roman" w:cs="Times New Roman"/>
          <w:b/>
          <w:i w:val="0"/>
          <w:color w:val="000000"/>
        </w:rPr>
        <w:t>8. Dimensión Y3: Revitalización sociocultural</w:t>
      </w:r>
    </w:p>
    <w:p>
      <w:r>
        <w:rPr>
          <w:rFonts w:ascii="Times New Roman" w:hAnsi="Times New Roman" w:eastAsia="Times New Roman" w:cs="Times New Roman"/>
          <w:b w:val="0"/>
          <w:i w:val="0"/>
        </w:rPr>
        <w:t>La revitalización sociocultural busca que el patrimonio se comunique, se use y se reconozca como propio. Sus indicadores en la matriz, actividades culturales, participación comunitaria y frecuencia de uso del Centro, se relacionan con tres teorías: la interpretación del patrimonio (Tilden), los principios internacionales de interpretación y presentación (ICOMOS) y el patrimonio como recurso de desarrollo local comunitario (de Varine).</w:t>
      </w:r>
    </w:p>
    <w:p>
      <w:pPr>
        <w:pStyle w:val="Heading3"/>
      </w:pPr>
      <w:r>
        <w:rPr>
          <w:rFonts w:ascii="Times New Roman" w:hAnsi="Times New Roman" w:eastAsia="Times New Roman" w:cs="Times New Roman"/>
          <w:b/>
          <w:i/>
          <w:color w:val="000000"/>
        </w:rPr>
        <w:t>8.1. La interpretación del patrimonio: Tilden (1957)</w:t>
      </w:r>
    </w:p>
    <w:p>
      <w:pPr>
        <w:keepNext/>
        <w:spacing w:after="80"/>
        <w:jc w:val="left"/>
      </w:pPr>
      <w:r>
        <w:rPr>
          <w:rFonts w:ascii="Times New Roman" w:hAnsi="Times New Roman" w:eastAsia="Times New Roman" w:cs="Times New Roman"/>
          <w:b w:val="0"/>
          <w:i/>
          <w:color w:val="595959"/>
          <w:sz w:val="21"/>
        </w:rPr>
        <w:t>Tipo de aporte: teoría clásica de la interpretación. Fuente: Tilden (1957); contraste crítico con Smith (2006).</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Un Centro de Interpretación no es un depósito de objetos ni un panel informativo: es una forma de comunicar el patrimonio. Esa idea se debe en gran medida a Freeman Tilden, quien sistematizó la interpretación a partir de su trabajo con los parques nacionales de Estados Unidos.</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w:t>
      </w:r>
      <w:r>
        <w:rPr>
          <w:rFonts w:ascii="Times New Roman" w:hAnsi="Times New Roman" w:eastAsia="Times New Roman" w:cs="Times New Roman"/>
          <w:b w:val="0"/>
          <w:i/>
        </w:rPr>
        <w:t>Interpreting our heritage</w:t>
      </w:r>
      <w:r>
        <w:rPr>
          <w:rFonts w:ascii="Times New Roman" w:hAnsi="Times New Roman" w:eastAsia="Times New Roman" w:cs="Times New Roman"/>
          <w:b w:val="0"/>
          <w:i w:val="0"/>
        </w:rPr>
        <w:t xml:space="preserve"> (1957), Tilden definió la interpretación como una actividad educativa que busca revelar significados y relaciones mediante el uso de objetos originales, la experiencia directa y medios ilustrativos, y no solo comunicar información. Propuso seis principios: (1) toda interpretación que no relacione lo que se muestra con algo de la personalidad o la experiencia del visitante será estéril; (2) la información no es interpretación, que es una revelación basada en información; (3) la interpretación es un arte que combina muchas artes, y cualquier arte es en cierta medida enseñable; (4) su objetivo principal no es la instrucción sino la provocación; (5) debe presentar un todo y no una parte, dirigiéndose a la persona completa; y (6) la interpretación dirigida a niños no debe ser una dilución de la dirigida a adultos, sino un enfoque distinto (Tilden, 1957).</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Para el proyecto, la idea de usar el objeto original y la experiencia directa justifica que el Centro y el corredor funcionen de manera integrada: el territorio es el objeto original, y el Centro, el lugar donde se prepara y se da sentido al recorrido. Los principios 1 y 5 orientan el programa, porque piden un relato que relacione las partes del patrimonio con la experiencia de quien lo recorre y no una lista de elementos. El principio 6 invita a pensar en públicos distintos, por ejemplo escolares de la zona.</w:t>
      </w:r>
    </w:p>
    <w:p>
      <w:r>
        <w:rPr>
          <w:rFonts w:ascii="Times New Roman" w:hAnsi="Times New Roman" w:eastAsia="Times New Roman" w:cs="Times New Roman"/>
          <w:b w:val="0"/>
          <w:i w:val="0"/>
        </w:rPr>
        <w:t>Tilden escribió desde la experiencia de los parques nacionales estadounidenses, centrada en el visitante que llega de fuera. En Vischongo el público principal podría ser la propia comunidad, y una interpretación pensada solo para visitantes correría el riesgo de simplificar o de imponer una lectura experta, el problema que describe Smith (2006). La interpretación debe construirse con la comunidad. Además, los principios de Tilden son una guía de práctica y no una teoría contrastada empíricamente.</w:t>
      </w:r>
    </w:p>
    <w:p>
      <w:pPr>
        <w:pStyle w:val="Heading3"/>
      </w:pPr>
      <w:r>
        <w:rPr>
          <w:rFonts w:ascii="Times New Roman" w:hAnsi="Times New Roman" w:eastAsia="Times New Roman" w:cs="Times New Roman"/>
          <w:b/>
          <w:i/>
          <w:color w:val="000000"/>
        </w:rPr>
        <w:t>8.2. Los principios de interpretación y presentación: ICOMOS (2008a)</w:t>
      </w:r>
    </w:p>
    <w:p>
      <w:pPr>
        <w:keepNext/>
        <w:spacing w:after="80"/>
        <w:jc w:val="left"/>
      </w:pPr>
      <w:r>
        <w:rPr>
          <w:rFonts w:ascii="Times New Roman" w:hAnsi="Times New Roman" w:eastAsia="Times New Roman" w:cs="Times New Roman"/>
          <w:b w:val="0"/>
          <w:i/>
          <w:color w:val="595959"/>
          <w:sz w:val="21"/>
        </w:rPr>
        <w:t>Tipo de aporte: marco doctrinal internacional (carta). Fuente: ICOMOS (2008a).</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Tilden orienta el cómo comunicar; la Carta ICOMOS para la Interpretación y Presentación de Sitios de Patrimonio Cultural fija principios de alcance internacional sobre para quién, con qué base y con qué responsabilidades se comunica. Es el marco normativo más directo para un Centro de Interpretación.</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La Carta, ratificada en 2008 por la 16.ª Asamblea General de ICOMOS en Québec, entiende la interpretación como la gama de actividades destinadas a aumentar la conciencia pública y mejorar la comprensión de un sitio de patrimonio cultural, que incluye publicaciones impresas y electrónicas, charlas, instalaciones en el sitio o directamente relacionadas con él, programas educativos, actividades comunitarias y la investigación, la formación y la evaluación continuas del propio proceso interpretativo. La presentación es la comunicación planificada del contenido interpretativo mediante la organización de la información, el acceso físico y la infraestructura interpretativa (ICOMOS, 2008a; traducción propia). Establece siete principios: acceso y comprensión; fuentes de información fiables y de amplia base; atención al entorno y al contexto; preservación de la autenticidad; planificación para la sostenibilidad; atención a la inclusión; e importancia de la investigación, la formación y la evaluación (ICOMOS, 2008a).</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Tres principios son especialmente pertinentes. El del contexto exige que la interpretación incluya el entorno del sitio, lo que fundamenta la relación entre el Centro y el corredor. El de inclusión plantea facilitar la participación de las partes interesadas y de las comunidades asociadas en el desarrollo y la aplicación de los programas interpretativos, lo que se vincula con los indicadores de participación comunitaria y de actividades culturales. El de evaluación respalda medir la frecuencia de uso del Centro y las actividades que lo animan. El de sostenibilidad recuerda, además, que el mantenimiento de la infraestructura interpretativa debe preverse desde el diseño.</w:t>
      </w:r>
    </w:p>
    <w:p>
      <w:r>
        <w:rPr>
          <w:rFonts w:ascii="Times New Roman" w:hAnsi="Times New Roman" w:eastAsia="Times New Roman" w:cs="Times New Roman"/>
          <w:b w:val="0"/>
          <w:i w:val="0"/>
        </w:rPr>
        <w:t>Los principios son deliberadamente abstractos para poder aplicarse a contextos diversos, por lo que no indican tipologías de edificio ni programa; la investigación deberá construir los criterios de diseño (objetivo específico 3). Tampoco prescriben cómo lograr que la comunidad participe de manera efectiva, aspecto que remite a Arnstein (1969) y a Faro (Consejo de Europa, 2005) en la dimensión X3.</w:t>
      </w:r>
    </w:p>
    <w:p>
      <w:pPr>
        <w:pStyle w:val="Heading3"/>
      </w:pPr>
      <w:r>
        <w:rPr>
          <w:rFonts w:ascii="Times New Roman" w:hAnsi="Times New Roman" w:eastAsia="Times New Roman" w:cs="Times New Roman"/>
          <w:b/>
          <w:i/>
          <w:color w:val="000000"/>
        </w:rPr>
        <w:t>8.3. El patrimonio como recurso de desarrollo local comunitario: de Varine (2002)</w:t>
      </w:r>
    </w:p>
    <w:p>
      <w:pPr>
        <w:keepNext/>
        <w:spacing w:after="80"/>
        <w:jc w:val="left"/>
      </w:pPr>
      <w:r>
        <w:rPr>
          <w:rFonts w:ascii="Times New Roman" w:hAnsi="Times New Roman" w:eastAsia="Times New Roman" w:cs="Times New Roman"/>
          <w:b w:val="0"/>
          <w:i/>
          <w:color w:val="595959"/>
          <w:sz w:val="21"/>
        </w:rPr>
        <w:t>Tipo de aporte: planteamiento de la museología y el desarrollo local. Fuente: de Varine (2002).</w:t>
      </w:r>
    </w:p>
    <w:p>
      <w:r>
        <w:rPr>
          <w:rFonts w:ascii="Times New Roman" w:hAnsi="Times New Roman" w:eastAsia="Times New Roman" w:cs="Times New Roman"/>
          <w:b/>
          <w:i/>
        </w:rPr>
        <w:t>Introducción.</w:t>
      </w:r>
      <w:r>
        <w:rPr>
          <w:rFonts w:ascii="Times New Roman" w:hAnsi="Times New Roman" w:eastAsia="Times New Roman" w:cs="Times New Roman"/>
          <w:b w:val="0"/>
          <w:i w:val="0"/>
        </w:rPr>
        <w:t xml:space="preserve"> Los indicadores de participación comunitaria y de uso social requieren una teoría que explique para quién se hace el Centro. Hugues de Varine, uno de los referentes de la museología social, plantea el patrimonio como un recurso de la comunidad y no solo como un objeto de visita.</w:t>
      </w:r>
    </w:p>
    <w:p>
      <w:r>
        <w:rPr>
          <w:rFonts w:ascii="Times New Roman" w:hAnsi="Times New Roman" w:eastAsia="Times New Roman" w:cs="Times New Roman"/>
          <w:b/>
          <w:i/>
        </w:rPr>
        <w:t>Planteamiento teórico.</w:t>
      </w:r>
      <w:r>
        <w:rPr>
          <w:rFonts w:ascii="Times New Roman" w:hAnsi="Times New Roman" w:eastAsia="Times New Roman" w:cs="Times New Roman"/>
          <w:b w:val="0"/>
          <w:i w:val="0"/>
        </w:rPr>
        <w:t xml:space="preserve"> En </w:t>
      </w:r>
      <w:r>
        <w:rPr>
          <w:rFonts w:ascii="Times New Roman" w:hAnsi="Times New Roman" w:eastAsia="Times New Roman" w:cs="Times New Roman"/>
          <w:b w:val="0"/>
          <w:i/>
        </w:rPr>
        <w:t>Les racines du futur</w:t>
      </w:r>
      <w:r>
        <w:rPr>
          <w:rFonts w:ascii="Times New Roman" w:hAnsi="Times New Roman" w:eastAsia="Times New Roman" w:cs="Times New Roman"/>
          <w:b w:val="0"/>
          <w:i w:val="0"/>
        </w:rPr>
        <w:t>, de Varine (2002) sostiene que el patrimonio de una comunidad, sea cultural, natural o inmaterial, es un recurso para su desarrollo local, a condición de que la propia comunidad se lo apropie y participe en decidir qué hacer con él. En esta perspectiva, los especialistas y las instituciones acompañan el proceso más que dirigirlo, y los equipamientos culturales, como museos, ecomuseos o centros de interpretación, se conciben como herramientas al servicio de un proyecto comunitario antes que como espacios de exhibición para visitantes (de Varine, 2002).</w:t>
      </w:r>
    </w:p>
    <w:p>
      <w:r>
        <w:rPr>
          <w:rFonts w:ascii="Times New Roman" w:hAnsi="Times New Roman" w:eastAsia="Times New Roman" w:cs="Times New Roman"/>
          <w:b/>
          <w:i/>
        </w:rPr>
        <w:t>Reflexión crítica.</w:t>
      </w:r>
      <w:r>
        <w:rPr>
          <w:rFonts w:ascii="Times New Roman" w:hAnsi="Times New Roman" w:eastAsia="Times New Roman" w:cs="Times New Roman"/>
          <w:b w:val="0"/>
          <w:i w:val="0"/>
        </w:rPr>
        <w:t xml:space="preserve"> El aporte es poner a la comunidad en el centro del proyecto: el Centro de Interpretación de Vischongo se evaluaría no solo por cuántos visitantes recibe, sino por quién lo usa, quién lo gestiona y qué actividades culturales se generan, lo que coincide con los indicadores de actividades culturales, participación comunitaria y frecuencia de uso. El planteamiento se alinea con Faro (4.3) y con la escalera de Arnstein (4.2), y complementa la interpretación orientada al visitante de Tilden.</w:t>
      </w:r>
    </w:p>
    <w:p>
      <w:r>
        <w:rPr>
          <w:rFonts w:ascii="Times New Roman" w:hAnsi="Times New Roman" w:eastAsia="Times New Roman" w:cs="Times New Roman"/>
          <w:b w:val="0"/>
          <w:i w:val="0"/>
        </w:rPr>
        <w:t>Como precauciones, de Varine trabaja desde proyectos de desarrollo local en contextos específicos y su planteamiento es de carácter programático. No hay garantía de que un equipamiento cultural produzca por sí mismo desarrollo local: su sostenibilidad exige gestión, financiamiento y capacidades que deberán analizarse. Para Vischongo, esto significa que las actividades socioculturales son una hipótesis de trabajo y no un resultado asegurado.</w:t>
      </w:r>
    </w:p>
    <w:p>
      <w:r>
        <w:rPr>
          <w:rFonts w:ascii="Times New Roman" w:hAnsi="Times New Roman" w:eastAsia="Times New Roman" w:cs="Times New Roman"/>
          <w:b/>
          <w:i/>
        </w:rPr>
        <w:t>Síntesis del apartado.</w:t>
      </w:r>
      <w:r>
        <w:rPr>
          <w:rFonts w:ascii="Times New Roman" w:hAnsi="Times New Roman" w:eastAsia="Times New Roman" w:cs="Times New Roman"/>
          <w:b w:val="0"/>
          <w:i w:val="0"/>
        </w:rPr>
        <w:t xml:space="preserve"> Tilden aporta los principios de una interpretación que revela y provoca; ICOMOS, los principios internacionales de acceso, contexto, inclusión y evaluación; y de Varine, la mirada comunitaria sobre quién usa y gestiona el equipamiento. Con ello se sustentan los tres indicadores: las actividades culturales (Tilden, ICOMOS), la participación comunitaria (ICOMOS, de Varine) y la frecuencia de uso del Centro (ICOMOS, de Varine).</w:t>
      </w:r>
    </w:p>
    <w:p>
      <w:pPr>
        <w:pStyle w:val="Heading1"/>
      </w:pPr>
      <w:r>
        <w:rPr>
          <w:rFonts w:ascii="Times New Roman" w:hAnsi="Times New Roman" w:eastAsia="Times New Roman" w:cs="Times New Roman"/>
          <w:b/>
          <w:i w:val="0"/>
          <w:color w:val="000000"/>
        </w:rPr>
        <w:t>CAPÍTULO II. DEFINICIONES CONCEPTUALES</w:t>
      </w:r>
    </w:p>
    <w:p>
      <w:r>
        <w:rPr>
          <w:rFonts w:ascii="Times New Roman" w:hAnsi="Times New Roman" w:eastAsia="Times New Roman" w:cs="Times New Roman"/>
          <w:b w:val="0"/>
          <w:i w:val="0"/>
        </w:rPr>
        <w:t>Las definiciones conceptuales aclaran el significado teórico de cada término y establecen cómo se entenderá en esta investigación. No deben confundirse con las definiciones operacionales de la matriz de operacionalización, que indican mediante qué indicadores se observará o evaluará cada variable y que se conservan sin modificación. Cada definición se presenta en dos partes: el sustento teórico, con las fuentes que lo respaldan, y la precisión de cómo se entiende el concepto en el estudio del distrito de Vischongo. Las traducciones al español de textos en inglés y francés son propias.</w:t>
      </w:r>
    </w:p>
    <w:p>
      <w:pPr>
        <w:pStyle w:val="Heading2"/>
      </w:pPr>
      <w:r>
        <w:rPr>
          <w:rFonts w:ascii="Times New Roman" w:hAnsi="Times New Roman" w:eastAsia="Times New Roman" w:cs="Times New Roman"/>
          <w:b/>
          <w:i w:val="0"/>
          <w:color w:val="000000"/>
        </w:rPr>
        <w:t>2.1. Integración patrimonial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La doctrina de la conservación sostiene que proteger bienes aislados es insuficiente y propone integrar el patrimonio en la planificación (Consejo de Europa, 1975) y en el paisaje y el territorio que lo contienen, entendidos como una superposición histórica de valores culturales y naturales (UNESCO, 2011). En el contexto peruano, Martínez Martínez (2020) plantea el paisaje como concepto para alinear la gestión del patrimonio con el ordenamiento territorial. De estas fuentes se desprende que la integración patrimonial es un proceso y no un estado, y que une tres planos: el de los valores, el del territorio y el de la sociedad.</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Se entiende por integración patrimonial el proceso por el cual los valores culturales, históricos, naturales y sociales de un ámbito se reconocen, se articulan entre sí y con el territorio, y se vinculan con la vida de la comunidad. Esta formulación desarrolla, sin modificarla, la definición de la matriz: articulación de valores culturales y naturales con la vida social y el territorio.</w:t>
      </w:r>
    </w:p>
    <w:p>
      <w:pPr>
        <w:pStyle w:val="Heading2"/>
      </w:pPr>
      <w:r>
        <w:rPr>
          <w:rFonts w:ascii="Times New Roman" w:hAnsi="Times New Roman" w:eastAsia="Times New Roman" w:cs="Times New Roman"/>
          <w:b/>
          <w:i w:val="0"/>
          <w:color w:val="000000"/>
        </w:rPr>
        <w:t>2.2. Reconocimiento patrimonial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Reconocer el patrimonio es identificarlo, documentarlo y atribuirle valor. Riegl (1903/1987) sostiene que los valores de un monumento (de antigüedad, históricos, de uso, entre otros) son atribuidos por quienes lo contemplan. La Carta de Burra define el significado cultural como el valor estético, histórico, científico, social o espiritual de un lugar para generaciones pasadas, presentes y futuras, y plantea que debe comprenderse mediante la investigación y el registro antes de decidir intervenciones (Australia ICOMOS, 2013). El Convenio Europeo del Paisaje agrega que los paisajes deben identificarse, calificarse y valorarse teniendo en cuenta los valores que les atribuye la población (Consejo de Europa, 2000).</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El reconocimiento patrimonial es el proceso de identificar, documentar y valorar los bienes y recursos culturales y naturales del ámbito, y los valores históricos, culturales y paisajísticos que se les atribuyen, tanto desde el conocimiento técnico como desde la percepción de la comunidad.</w:t>
      </w:r>
    </w:p>
    <w:p>
      <w:pPr>
        <w:pStyle w:val="Heading2"/>
      </w:pPr>
      <w:r>
        <w:rPr>
          <w:rFonts w:ascii="Times New Roman" w:hAnsi="Times New Roman" w:eastAsia="Times New Roman" w:cs="Times New Roman"/>
          <w:b/>
          <w:i w:val="0"/>
          <w:color w:val="000000"/>
        </w:rPr>
        <w:t>2.3. Articulación territorial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Articular es establecer relaciones funcionales y espaciales entre elementos de un territorio. Lynch (1960) describe cómo las personas estructuran su entorno mediante sendas, nodos, hitos, bordes y barrios. En ecología del paisaje, la conectividad es el grado en que el paisaje facilita o impide el movimiento entre parches de recursos (Taylor et al., 1993). Desde el patrimonio, un itinerario cultural es un conjunto que vale por la relación entre sus partes y no por la suma de ellas (ICOMOS, 2008b), y Li et al. (2021) proponen combinar corredores ecológicos y culturales en una sola red.</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La articulación territorial es la relación espacial y funcional, de conectividad y continuidad, entre los hitos patrimoniales, los paisajes, los recorridos y los espacios públicos del ámbito, que permite que los recursos culturales y naturales operen como un sistema y no como elementos aislados.</w:t>
      </w:r>
    </w:p>
    <w:p>
      <w:pPr>
        <w:pStyle w:val="Heading2"/>
      </w:pPr>
      <w:r>
        <w:rPr>
          <w:rFonts w:ascii="Times New Roman" w:hAnsi="Times New Roman" w:eastAsia="Times New Roman" w:cs="Times New Roman"/>
          <w:b/>
          <w:i w:val="0"/>
          <w:color w:val="000000"/>
        </w:rPr>
        <w:t>2.4. Participación e identidad</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La participación ciudadana es, según Arnstein (1969), una redistribución del poder que permite incidir en las decisiones, y puede darse en niveles que van de la manipulación al control ciudadano. La identidad de lugar es la subestructura de la identidad personal formada por las cogniciones sobre los espacios que han marcado la experiencia de la persona (Proshansky et al., 1983). El Convenio de Faro agrega la noción de comunidad patrimonial, formada por quienes valoran aspectos del patrimonio y desean sostenerlos y transmitirlos (Consejo de Europa, 2005).</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La participación e identidad comprende la implicación de los actores locales en el reconocimiento, la gestión y el uso del patrimonio, junto con los vínculos de pertenencia y los significados que la población asocia con sus lugares patrimoniales.</w:t>
      </w:r>
    </w:p>
    <w:p>
      <w:pPr>
        <w:pStyle w:val="Heading2"/>
      </w:pPr>
      <w:r>
        <w:rPr>
          <w:rFonts w:ascii="Times New Roman" w:hAnsi="Times New Roman" w:eastAsia="Times New Roman" w:cs="Times New Roman"/>
          <w:b/>
          <w:i w:val="0"/>
          <w:color w:val="000000"/>
        </w:rPr>
        <w:t>2.5. Revitalización</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La literatura emplea términos próximos con matices distintos. Roberts (2000) define la regeneración urbana como una visión y acción integrada que busca una mejora duradera de las condiciones económicas, físicas, sociales y ambientales de un área. Rojas (2004) describe la recuperación de áreas degradadas como la superación de formas de obsolescencia funcional, física y económica. Lerner (2005) sostiene que intervenciones puntuales pueden devolver vitalidad a áreas mayores.</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Se emplea el término revitalización, tal como figura en la matriz, para designar la recuperación y mejora de las condiciones físicas, ambientales, sociales y funcionales de un ámbito, de modo que recupere uso y vitalidad. Se diferencia de la conservación estricta, que busca mantener lo existente, y de la renovación o reconstrucción, que sustituyen lo existente. La literatura de regeneración se usa como sustento conceptual, sin suponer que ambos términos sean sinónimos.</w:t>
      </w:r>
    </w:p>
    <w:p>
      <w:pPr>
        <w:pStyle w:val="Heading2"/>
      </w:pPr>
      <w:r>
        <w:rPr>
          <w:rFonts w:ascii="Times New Roman" w:hAnsi="Times New Roman" w:eastAsia="Times New Roman" w:cs="Times New Roman"/>
          <w:b/>
          <w:i w:val="0"/>
          <w:color w:val="000000"/>
        </w:rPr>
        <w:t>2.6. Revitalización ambiental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Comprende la recuperación de los componentes naturales de un ámbito. La restauración ecológica es el proceso de asistir la recuperación de un ecosistema degradado, dañado o destruido (Society for Ecological Restoration International Science &amp; Policy Working Group [SER], 2004). La infraestructura verde es una red interconectada de áreas naturales y espacios abiertos que conserva valores y funciones ecológicas y beneficia a las personas (Benedict y McMahon, 2006), y la ecología del paisaje explica cómo parches y corredores afectan a los procesos ecológicos (Forman, 1995).</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La revitalización ambiental es la recuperación parcial de áreas verdes, la mejora de la continuidad de la vegetación y la reducción de amenazas como los residuos, con el fin de fortalecer el soporte natural del corredor. No implica restituir un estado original ni se asume que logre conectividad para especies determinadas sin un estudio específico.</w:t>
      </w:r>
    </w:p>
    <w:p>
      <w:pPr>
        <w:pStyle w:val="Heading2"/>
      </w:pPr>
      <w:r>
        <w:rPr>
          <w:rFonts w:ascii="Times New Roman" w:hAnsi="Times New Roman" w:eastAsia="Times New Roman" w:cs="Times New Roman"/>
          <w:b/>
          <w:i w:val="0"/>
          <w:color w:val="000000"/>
        </w:rPr>
        <w:t>2.7. Revitalización urbana y funcional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Se refiere a la recuperación del uso y de la calidad de los espacios construidos y abiertos. Jacobs (1961) vincula la vitalidad con el uso diverso y continuo de calles y espacios; Gehl (2010) propone criterios de protección, confort y disfrute para evaluar la calidad del espacio público; y Ewing y Handy (2009) definen cualidades de diseño observables relacionadas con la caminabilidad. Rojas (2004) la asocia con la superación de la obsolescencia funcional y física de las áreas deterioradas.</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La revitalización urbana y funcional es la mejora de la accesibilidad peatonal, de la calidad del espacio público y de la conectividad de los recorridos del ámbito, de manera que los espacios sean usados, recorridos y disfrutados por la población.</w:t>
      </w:r>
    </w:p>
    <w:p>
      <w:pPr>
        <w:pStyle w:val="Heading2"/>
      </w:pPr>
      <w:r>
        <w:rPr>
          <w:rFonts w:ascii="Times New Roman" w:hAnsi="Times New Roman" w:eastAsia="Times New Roman" w:cs="Times New Roman"/>
          <w:b/>
          <w:i w:val="0"/>
          <w:color w:val="000000"/>
        </w:rPr>
        <w:t>2.8. Revitalización sociocultural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Alude a que el patrimonio se comunique, se use y sea apropiado por la comunidad. Tilden (1957) entiende la interpretación como una actividad educativa que revela significados y relaciones. La Carta ICOMOS (2008a) establece principios de acceso, contexto, inclusión y evaluación para la interpretación y presentación del patrimonio. De Varine (2002) plantea el patrimonio como recurso de desarrollo local que debe ser apropiado por la comunidad.</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La revitalización sociocultural es el fortalecimiento de las actividades culturales, de la participación comunitaria y del uso del Centro de Interpretación y de los espacios patrimoniales, mediante la comunicación del patrimonio y su apropiación social.</w:t>
      </w:r>
    </w:p>
    <w:p>
      <w:pPr>
        <w:pStyle w:val="Heading2"/>
      </w:pPr>
      <w:r>
        <w:rPr>
          <w:rFonts w:ascii="Times New Roman" w:hAnsi="Times New Roman" w:eastAsia="Times New Roman" w:cs="Times New Roman"/>
          <w:b/>
          <w:i w:val="0"/>
          <w:color w:val="000000"/>
        </w:rPr>
        <w:t>2.9. Corredor ecológico</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En la ecología del paisaje, un corredor es un elemento lineal distinto de su entorno (Forman y Godron, 1986) que, según su diseño, puede funcionar como hábitat, conducto, filtro o barrera (Forman, 1995). Los corredores buscan mantener o recuperar la conectividad entre áreas naturales para conservar la biodiversidad (Hilty et al., 2006). Li et al. (2021) amplían la noción al combinar corredores ecológicos y culturales en una red, y Urbina Lavajos y Vargas Chozo (2025) incluyen los corredores verdes dentro de un sistema de parches ecológicos para recuperar un paisaje cultural.</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Se entiende por corredor ecológico, en su acepción de proyecto, una franja lineal de paisaje que conecta áreas de valor natural con recursos patrimoniales mediante vegetación, sendas y espacios de permanencia, con funciones ecológicas (continuidad de vegetación), de recorrido y de interpretación. Corresponde a un corredor ecológico-patrimonial, en el sentido integrador de Li et al. (2021), y no se afirma que cumpla una función de corredor para fauna específica sin estudio previo.</w:t>
      </w:r>
    </w:p>
    <w:p>
      <w:pPr>
        <w:pStyle w:val="Heading2"/>
      </w:pPr>
      <w:r>
        <w:rPr>
          <w:rFonts w:ascii="Times New Roman" w:hAnsi="Times New Roman" w:eastAsia="Times New Roman" w:cs="Times New Roman"/>
          <w:b/>
          <w:i w:val="0"/>
          <w:color w:val="000000"/>
        </w:rPr>
        <w:t>2.10. Centro de Interpretación Patrimonial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La interpretación del patrimonio es una actividad educativa orientada a revelar significados y relaciones mediante la experiencia directa y los objetos originales (Tilden, 1957). La Carta ICOMOS la define como el conjunto de actividades destinadas a aumentar la conciencia pública y mejorar la comprensión de un sitio patrimonial, y distingue la presentación, que es la comunicación planificada del contenido interpretativo mediante la organización de la información, el acceso físico y la infraestructura (ICOMOS, 2008a). Desde la museología social, los equipamientos culturales se conciben como herramientas de un proyecto comunitario (de Varine, 2002).</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El Centro de Interpretación Patrimonial es un equipamiento cultural destinado a comunicar los valores del patrimonio y del paisaje de Vischongo, orientar y dar sentido al recorrido del corredor, y alojar actividades de la comunidad. Se diferencia de un museo de colección porque su objeto principal es el territorio y no un conjunto de piezas.</w:t>
      </w:r>
    </w:p>
    <w:p>
      <w:pPr>
        <w:pStyle w:val="Heading2"/>
      </w:pPr>
      <w:r>
        <w:rPr>
          <w:rFonts w:ascii="Times New Roman" w:hAnsi="Times New Roman" w:eastAsia="Times New Roman" w:cs="Times New Roman"/>
          <w:b/>
          <w:i w:val="0"/>
          <w:color w:val="000000"/>
        </w:rPr>
        <w:t>2.11. Patrimonio cultural y natural</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La Convención sobre la Protección del Patrimonio Mundial, Cultural y Natural distingue el patrimonio cultural (monumentos, conjuntos y lugares de valor universal excepcional desde el punto de vista de la historia, el arte, la ciencia, la estética, la etnología o la antropología) del natural (monumentos naturales, formaciones geológicas y fisiográficas, hábitats de especies amenazadas y lugares naturales de valor universal excepcional) (UNESCO, 1972, arts. 1 y 2). En el Perú, la Ley General del Patrimonio Cultural de la Nación entiende por bien cultural toda manifestación del quehacer humano, material o inmaterial, que por su importancia, valor y significado histórico, arqueológico, arquitectónico, artístico, social u otros sea declarada o presumida como tal; sus modificatorias posteriores ampliaron la formulación para incluir expresamente lugares, sitios, paisajes y espacios (Congreso de la República del Perú, 2004, art. II).</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Se considera patrimonio al conjunto de recursos culturales y naturales del ámbito que la población o las instituciones reconocen como valiosos, hayan sido o no declarados formalmente. Esta amplitud es coherente con la comunidad patrimonial del Convenio de Faro (Consejo de Europa, 2005).</w:t>
      </w:r>
    </w:p>
    <w:p>
      <w:pPr>
        <w:pStyle w:val="Heading2"/>
      </w:pPr>
      <w:r>
        <w:rPr>
          <w:rFonts w:ascii="Times New Roman" w:hAnsi="Times New Roman" w:eastAsia="Times New Roman" w:cs="Times New Roman"/>
          <w:b/>
          <w:i w:val="0"/>
          <w:color w:val="000000"/>
        </w:rPr>
        <w:t>2.12. Paisaje</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El Convenio Europeo del Paisaje lo define como cualquier parte del territorio tal como la percibe la población, cuyo carácter resulta de la acción y la interacción de factores naturales y/o humanos (Consejo de Europa, 2000, art. 1). La Recomendación sobre el Paisaje Urbano Histórico lo extiende a una superposición histórica de valores y atributos culturales y naturales (UNESCO, 2011).</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El paisaje es el territorio tal como lo perciben y lo usan sus habitantes, resultado de la interacción de factores naturales y culturales. Constituye la unidad en la que se articulan los recursos patrimoniales y naturales del ámbito y sobre la cual se proyecta el corredor.</w:t>
      </w:r>
    </w:p>
    <w:p>
      <w:pPr>
        <w:pStyle w:val="Heading2"/>
      </w:pPr>
      <w:r>
        <w:rPr>
          <w:rFonts w:ascii="Times New Roman" w:hAnsi="Times New Roman" w:eastAsia="Times New Roman" w:cs="Times New Roman"/>
          <w:b/>
          <w:i w:val="0"/>
          <w:color w:val="000000"/>
        </w:rPr>
        <w:t>2.13. Infraestructura verde</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Benedict y McMahon (2006) la definen como una red interconectada de áreas naturales y otros espacios abiertos que conserva valores y funciones ecosistémicas y beneficia a las personas, compuesta por núcleos y enlaces. Raymundo et al. (2025) la plantean como estrategia de paisaje para revalorizar humedales degradados.</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Se entiende como el sistema de espacios verdes y naturales, incluidos los que ya cumplen funciones productivas o culturales, que el corredor busca conectar y recuperar.</w:t>
      </w:r>
    </w:p>
    <w:p>
      <w:pPr>
        <w:pStyle w:val="Heading2"/>
      </w:pPr>
      <w:r>
        <w:rPr>
          <w:rFonts w:ascii="Times New Roman" w:hAnsi="Times New Roman" w:eastAsia="Times New Roman" w:cs="Times New Roman"/>
          <w:b/>
          <w:i w:val="0"/>
          <w:color w:val="000000"/>
        </w:rPr>
        <w:t>2.14. Espacio público</w:t>
      </w:r>
    </w:p>
    <w:p>
      <w:r>
        <w:rPr>
          <w:rFonts w:ascii="Times New Roman" w:hAnsi="Times New Roman" w:eastAsia="Times New Roman" w:cs="Times New Roman"/>
          <w:b/>
          <w:i/>
        </w:rPr>
        <w:t>Sustento teórico.</w:t>
      </w:r>
      <w:r>
        <w:rPr>
          <w:rFonts w:ascii="Times New Roman" w:hAnsi="Times New Roman" w:eastAsia="Times New Roman" w:cs="Times New Roman"/>
          <w:b w:val="0"/>
          <w:i w:val="0"/>
        </w:rPr>
        <w:t xml:space="preserve"> Jacobs (1961) considera las calles y aceras como el principal espacio de contacto cotidiano de la vida urbana, y Gehl (2011) lo analiza como el escenario de actividades necesarias, opcionales y sociales cuya calidad condiciona la vida colectiva. La Agenda 2030 plantea la meta de proporcionar acceso universal a zonas verdes y espacios públicos seguros, inclusivos y accesibles (Naciones Unidas, 2015).</w:t>
      </w:r>
    </w:p>
    <w:p>
      <w:r>
        <w:rPr>
          <w:rFonts w:ascii="Times New Roman" w:hAnsi="Times New Roman" w:eastAsia="Times New Roman" w:cs="Times New Roman"/>
          <w:b/>
          <w:i/>
        </w:rPr>
        <w:t>En esta investigación.</w:t>
      </w:r>
      <w:r>
        <w:rPr>
          <w:rFonts w:ascii="Times New Roman" w:hAnsi="Times New Roman" w:eastAsia="Times New Roman" w:cs="Times New Roman"/>
          <w:b w:val="0"/>
          <w:i w:val="0"/>
        </w:rPr>
        <w:t xml:space="preserve"> El espacio público comprende las plazas, calles, senderos y espacios abiertos de uso colectivo del distrito donde se encuentran los recursos patrimoniales, y en particular los espacios de encuentro y recorrido a los que el corredor y el Centro pueden integrarse.</w:t>
      </w:r>
    </w:p>
    <w:p>
      <w:pPr>
        <w:pStyle w:val="Heading1"/>
      </w:pPr>
      <w:r>
        <w:rPr>
          <w:rFonts w:ascii="Times New Roman" w:hAnsi="Times New Roman" w:eastAsia="Times New Roman" w:cs="Times New Roman"/>
          <w:b/>
          <w:i w:val="0"/>
          <w:color w:val="000000"/>
        </w:rPr>
        <w:t>CAPÍTULO III. SUSTENTACIÓN DE VARIABLES</w:t>
      </w:r>
    </w:p>
    <w:p>
      <w:r>
        <w:rPr>
          <w:rFonts w:ascii="Times New Roman" w:hAnsi="Times New Roman" w:eastAsia="Times New Roman" w:cs="Times New Roman"/>
          <w:b w:val="0"/>
          <w:i w:val="0"/>
        </w:rPr>
        <w:t>Este capítulo explica por qué las variables y las dimensiones definidas en la matriz del Trabajo de Investigación 01 son adecuadas para estudiar el problema planteado, y cómo se relacionan entre sí a la luz de las teorías desarrolladas en el Capítulo I. La Figura 1 sintetiza las teorías que sustentan cada variable y dimensión, y el Cuadro 1 las vincula con los indicadores de la matriz.</w:t>
      </w:r>
    </w:p>
    <w:p>
      <w:pPr>
        <w:keepNext/>
        <w:spacing w:after="0"/>
        <w:jc w:val="left"/>
      </w:pPr>
      <w:r>
        <w:rPr>
          <w:rFonts w:ascii="Times New Roman" w:hAnsi="Times New Roman" w:eastAsia="Times New Roman" w:cs="Times New Roman"/>
          <w:b/>
          <w:i w:val="0"/>
        </w:rPr>
        <w:t>Figura 1</w:t>
      </w:r>
    </w:p>
    <w:p>
      <w:pPr>
        <w:keepNext/>
        <w:spacing w:after="80"/>
        <w:jc w:val="left"/>
      </w:pPr>
      <w:r>
        <w:rPr>
          <w:rFonts w:ascii="Times New Roman" w:hAnsi="Times New Roman" w:eastAsia="Times New Roman" w:cs="Times New Roman"/>
          <w:b w:val="0"/>
          <w:i/>
        </w:rPr>
        <w:t>Síntesis de teorías por variable y dimensión</w:t>
      </w:r>
    </w:p>
    <w:tbl>
      <w:tblPr>
        <w:tblW w:type="auto" w:w="0"/>
        <w:jc w:val="center"/>
        <w:tblLayout w:type="fixed"/>
        <w:tblLook w:firstColumn="1" w:firstRow="1" w:lastColumn="0" w:lastRow="0" w:noHBand="0" w:noVBand="1" w:val="04A0"/>
      </w:tblPr>
      <w:tblGrid>
        <w:gridCol w:w="4535"/>
        <w:gridCol w:w="4535"/>
      </w:tblGrid>
      <w:tr>
        <w:trPr>
          <w:cantSplit/>
        </w:trPr>
        <w:tc>
          <w:tcPr>
            <w:tcW w:type="dxa" w:w="9071"/>
            <w:gridSpan w:val="2"/>
            <w:tcBorders>
              <w:top w:val="single" w:sz="12" w:space="0" w:color="FFFFFF"/>
              <w:left w:val="single" w:sz="12" w:space="0" w:color="FFFFFF"/>
              <w:bottom w:val="single" w:sz="12" w:space="0" w:color="FFFFFF"/>
              <w:right w:val="single" w:sz="12" w:space="0" w:color="FFFFFF"/>
            </w:tcBorders>
            <w:shd w:val="clear" w:color="auto" w:fill="404040"/>
            <w:tcMar>
              <w:top w:w="70" w:type="dxa"/>
              <w:left w:w="110" w:type="dxa"/>
              <w:bottom w:w="70" w:type="dxa"/>
              <w:right w:w="110" w:type="dxa"/>
            </w:tcMar>
          </w:tcPr>
          <w:p>
            <w:pPr>
              <w:spacing w:after="40" w:line="252" w:lineRule="auto"/>
              <w:jc w:val="center"/>
            </w:pPr>
            <w:r>
              <w:rPr>
                <w:rFonts w:ascii="Times New Roman" w:hAnsi="Times New Roman" w:eastAsia="Times New Roman" w:cs="Times New Roman"/>
                <w:b/>
                <w:i w:val="0"/>
                <w:color w:val="FFFFFF"/>
                <w:sz w:val="20"/>
              </w:rPr>
              <w:t>SUSTENTACIÓN DE VARIABLES: SÍNTESIS DE TEORÍAS</w:t>
            </w:r>
          </w:p>
        </w:tc>
      </w:tr>
      <w:tr>
        <w:trPr>
          <w:cantSplit/>
        </w:trPr>
        <w:tc>
          <w:tcPr>
            <w:tcW w:type="dxa" w:w="4535"/>
            <w:tcBorders>
              <w:top w:val="single" w:sz="12" w:space="0" w:color="FFFFFF"/>
              <w:left w:val="single" w:sz="12" w:space="0" w:color="FFFFFF"/>
              <w:bottom w:val="single" w:sz="12" w:space="0" w:color="FFFFFF"/>
              <w:right w:val="single" w:sz="12" w:space="0" w:color="FFFFFF"/>
            </w:tcBorders>
            <w:shd w:val="clear" w:color="auto" w:fill="A9D18E"/>
            <w:tcMar>
              <w:top w:w="70" w:type="dxa"/>
              <w:left w:w="110" w:type="dxa"/>
              <w:bottom w:w="70" w:type="dxa"/>
              <w:right w:w="110" w:type="dxa"/>
            </w:tcMar>
          </w:tcPr>
          <w:p>
            <w:pPr>
              <w:spacing w:after="40" w:line="252" w:lineRule="auto"/>
              <w:jc w:val="center"/>
            </w:pPr>
            <w:r>
              <w:rPr>
                <w:rFonts w:ascii="Times New Roman" w:hAnsi="Times New Roman" w:eastAsia="Times New Roman" w:cs="Times New Roman"/>
                <w:b/>
                <w:i w:val="0"/>
                <w:sz w:val="20"/>
              </w:rPr>
              <w:t>VARIABLE INDEPENDIENTE (X): INTEGRACIÓN PATRIMONIAL</w:t>
            </w:r>
          </w:p>
        </w:tc>
        <w:tc>
          <w:tcPr>
            <w:tcW w:type="dxa" w:w="4535"/>
            <w:tcBorders>
              <w:top w:val="single" w:sz="12" w:space="0" w:color="FFFFFF"/>
              <w:left w:val="single" w:sz="12" w:space="0" w:color="FFFFFF"/>
              <w:bottom w:val="single" w:sz="12" w:space="0" w:color="FFFFFF"/>
              <w:right w:val="single" w:sz="12" w:space="0" w:color="FFFFFF"/>
            </w:tcBorders>
            <w:shd w:val="clear" w:color="auto" w:fill="F4B183"/>
            <w:tcMar>
              <w:top w:w="70" w:type="dxa"/>
              <w:left w:w="110" w:type="dxa"/>
              <w:bottom w:w="70" w:type="dxa"/>
              <w:right w:w="110" w:type="dxa"/>
            </w:tcMar>
          </w:tcPr>
          <w:p>
            <w:pPr>
              <w:spacing w:after="40" w:line="252" w:lineRule="auto"/>
              <w:jc w:val="center"/>
            </w:pPr>
            <w:r>
              <w:rPr>
                <w:rFonts w:ascii="Times New Roman" w:hAnsi="Times New Roman" w:eastAsia="Times New Roman" w:cs="Times New Roman"/>
                <w:b/>
                <w:i w:val="0"/>
                <w:sz w:val="20"/>
              </w:rPr>
              <w:t>VARIABLE DEPENDIENTE (Y): REVITALIZACIÓN</w:t>
            </w:r>
          </w:p>
        </w:tc>
      </w:tr>
      <w:tr>
        <w:trPr>
          <w:cantSplit/>
        </w:trPr>
        <w:tc>
          <w:tcPr>
            <w:tcW w:type="dxa" w:w="4535"/>
            <w:tcBorders>
              <w:top w:val="single" w:sz="12" w:space="0" w:color="FFFFFF"/>
              <w:left w:val="single" w:sz="12" w:space="0" w:color="FFFFFF"/>
              <w:bottom w:val="single" w:sz="12" w:space="0" w:color="FFFFFF"/>
              <w:right w:val="single" w:sz="12" w:space="0" w:color="FFFFFF"/>
            </w:tcBorders>
            <w:shd w:val="clear" w:color="auto" w:fill="E2F0D9"/>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val="0"/>
                <w:i w:val="0"/>
                <w:sz w:val="18"/>
              </w:rPr>
              <w:t>• Conservación integrada (Consejo de Europa, 1975)</w:t>
            </w:r>
          </w:p>
          <w:p>
            <w:pPr>
              <w:spacing w:after="40" w:line="252" w:lineRule="auto"/>
              <w:jc w:val="left"/>
            </w:pPr>
            <w:r>
              <w:rPr>
                <w:rFonts w:ascii="Times New Roman" w:hAnsi="Times New Roman" w:eastAsia="Times New Roman" w:cs="Times New Roman"/>
                <w:b w:val="0"/>
                <w:i w:val="0"/>
                <w:sz w:val="18"/>
              </w:rPr>
              <w:t>• Paisaje urbano histórico (UNESCO, 2011)</w:t>
            </w:r>
          </w:p>
          <w:p>
            <w:pPr>
              <w:spacing w:after="40" w:line="252" w:lineRule="auto"/>
              <w:jc w:val="left"/>
            </w:pPr>
            <w:r>
              <w:rPr>
                <w:rFonts w:ascii="Times New Roman" w:hAnsi="Times New Roman" w:eastAsia="Times New Roman" w:cs="Times New Roman"/>
                <w:b w:val="0"/>
                <w:i w:val="0"/>
                <w:sz w:val="18"/>
              </w:rPr>
              <w:t>• Paisaje y gestión territorial del patrimonio (Martínez Martínez, 2020)</w:t>
            </w:r>
          </w:p>
        </w:tc>
        <w:tc>
          <w:tcPr>
            <w:tcW w:type="dxa" w:w="4535"/>
            <w:tcBorders>
              <w:top w:val="single" w:sz="12" w:space="0" w:color="FFFFFF"/>
              <w:left w:val="single" w:sz="12" w:space="0" w:color="FFFFFF"/>
              <w:bottom w:val="single" w:sz="12" w:space="0" w:color="FFFFFF"/>
              <w:right w:val="single" w:sz="12" w:space="0" w:color="FFFFFF"/>
            </w:tcBorders>
            <w:shd w:val="clear" w:color="auto" w:fill="FBE5D6"/>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val="0"/>
                <w:i w:val="0"/>
                <w:sz w:val="18"/>
              </w:rPr>
              <w:t>• Regeneración urbana integral (Roberts, 2000)</w:t>
            </w:r>
          </w:p>
          <w:p>
            <w:pPr>
              <w:spacing w:after="40" w:line="252" w:lineRule="auto"/>
              <w:jc w:val="left"/>
            </w:pPr>
            <w:r>
              <w:rPr>
                <w:rFonts w:ascii="Times New Roman" w:hAnsi="Times New Roman" w:eastAsia="Times New Roman" w:cs="Times New Roman"/>
                <w:b w:val="0"/>
                <w:i w:val="0"/>
                <w:sz w:val="18"/>
              </w:rPr>
              <w:t>• Acupuntura urbana (Lerner, 2005)</w:t>
            </w:r>
          </w:p>
          <w:p>
            <w:pPr>
              <w:spacing w:after="40" w:line="252" w:lineRule="auto"/>
              <w:jc w:val="left"/>
            </w:pPr>
            <w:r>
              <w:rPr>
                <w:rFonts w:ascii="Times New Roman" w:hAnsi="Times New Roman" w:eastAsia="Times New Roman" w:cs="Times New Roman"/>
                <w:b w:val="0"/>
                <w:i w:val="0"/>
                <w:sz w:val="18"/>
              </w:rPr>
              <w:t>• Recuperación de áreas patrimoniales degradadas (Rojas, 2004)</w:t>
            </w:r>
          </w:p>
        </w:tc>
      </w:tr>
      <w:tr>
        <w:trPr>
          <w:cantSplit/>
        </w:trPr>
        <w:tc>
          <w:tcPr>
            <w:tcW w:type="dxa" w:w="4535"/>
            <w:tcBorders>
              <w:top w:val="single" w:sz="12" w:space="0" w:color="FFFFFF"/>
              <w:left w:val="single" w:sz="12" w:space="0" w:color="FFFFFF"/>
              <w:bottom w:val="single" w:sz="12" w:space="0" w:color="FFFFFF"/>
              <w:right w:val="single" w:sz="12" w:space="0" w:color="FFFFFF"/>
            </w:tcBorders>
            <w:shd w:val="clear" w:color="auto" w:fill="7F7F7F"/>
            <w:tcMar>
              <w:top w:w="70" w:type="dxa"/>
              <w:left w:w="110" w:type="dxa"/>
              <w:bottom w:w="70" w:type="dxa"/>
              <w:right w:w="110" w:type="dxa"/>
            </w:tcMar>
          </w:tcPr>
          <w:p>
            <w:pPr>
              <w:spacing w:after="40" w:line="252" w:lineRule="auto"/>
              <w:jc w:val="center"/>
            </w:pPr>
            <w:r>
              <w:rPr>
                <w:rFonts w:ascii="Times New Roman" w:hAnsi="Times New Roman" w:eastAsia="Times New Roman" w:cs="Times New Roman"/>
                <w:b/>
                <w:i w:val="0"/>
                <w:color w:val="FFFFFF"/>
                <w:sz w:val="18"/>
              </w:rPr>
              <w:t>Dimensiones</w:t>
            </w:r>
          </w:p>
        </w:tc>
        <w:tc>
          <w:tcPr>
            <w:tcW w:type="dxa" w:w="4535"/>
            <w:tcBorders>
              <w:top w:val="single" w:sz="12" w:space="0" w:color="FFFFFF"/>
              <w:left w:val="single" w:sz="12" w:space="0" w:color="FFFFFF"/>
              <w:bottom w:val="single" w:sz="12" w:space="0" w:color="FFFFFF"/>
              <w:right w:val="single" w:sz="12" w:space="0" w:color="FFFFFF"/>
            </w:tcBorders>
            <w:shd w:val="clear" w:color="auto" w:fill="7F7F7F"/>
            <w:tcMar>
              <w:top w:w="70" w:type="dxa"/>
              <w:left w:w="110" w:type="dxa"/>
              <w:bottom w:w="70" w:type="dxa"/>
              <w:right w:w="110" w:type="dxa"/>
            </w:tcMar>
          </w:tcPr>
          <w:p>
            <w:pPr>
              <w:spacing w:after="40" w:line="252" w:lineRule="auto"/>
              <w:jc w:val="center"/>
            </w:pPr>
            <w:r>
              <w:rPr>
                <w:rFonts w:ascii="Times New Roman" w:hAnsi="Times New Roman" w:eastAsia="Times New Roman" w:cs="Times New Roman"/>
                <w:b/>
                <w:i w:val="0"/>
                <w:color w:val="FFFFFF"/>
                <w:sz w:val="18"/>
              </w:rPr>
              <w:t>Dimensiones</w:t>
            </w:r>
          </w:p>
        </w:tc>
      </w:tr>
      <w:tr>
        <w:trPr>
          <w:cantSplit/>
        </w:trPr>
        <w:tc>
          <w:tcPr>
            <w:tcW w:type="dxa" w:w="4535"/>
            <w:tcBorders>
              <w:top w:val="single" w:sz="12" w:space="0" w:color="FFFFFF"/>
              <w:left w:val="single" w:sz="12" w:space="0" w:color="FFFFFF"/>
              <w:bottom w:val="single" w:sz="12" w:space="0" w:color="FFFFFF"/>
              <w:right w:val="single" w:sz="12" w:space="0" w:color="FFFFFF"/>
            </w:tcBorders>
            <w:shd w:val="clear" w:color="auto" w:fill="F2F9EE"/>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i w:val="0"/>
                <w:sz w:val="18"/>
              </w:rPr>
              <w:t>X1. Reconocimiento patrimonial</w:t>
            </w:r>
          </w:p>
          <w:p>
            <w:pPr>
              <w:spacing w:after="40" w:line="252" w:lineRule="auto"/>
              <w:jc w:val="left"/>
            </w:pPr>
            <w:r>
              <w:rPr>
                <w:rFonts w:ascii="Times New Roman" w:hAnsi="Times New Roman" w:eastAsia="Times New Roman" w:cs="Times New Roman"/>
                <w:b w:val="0"/>
                <w:i w:val="0"/>
                <w:sz w:val="18"/>
              </w:rPr>
              <w:t>• Valores del monumento (Riegl, 1903/1987)</w:t>
            </w:r>
          </w:p>
          <w:p>
            <w:pPr>
              <w:spacing w:after="40" w:line="252" w:lineRule="auto"/>
              <w:jc w:val="left"/>
            </w:pPr>
            <w:r>
              <w:rPr>
                <w:rFonts w:ascii="Times New Roman" w:hAnsi="Times New Roman" w:eastAsia="Times New Roman" w:cs="Times New Roman"/>
                <w:b w:val="0"/>
                <w:i w:val="0"/>
                <w:sz w:val="18"/>
              </w:rPr>
              <w:t>• Significado cultural (Australia ICOMOS, 2013)</w:t>
            </w:r>
          </w:p>
          <w:p>
            <w:pPr>
              <w:spacing w:after="40" w:line="252" w:lineRule="auto"/>
              <w:jc w:val="left"/>
            </w:pPr>
            <w:r>
              <w:rPr>
                <w:rFonts w:ascii="Times New Roman" w:hAnsi="Times New Roman" w:eastAsia="Times New Roman" w:cs="Times New Roman"/>
                <w:b w:val="0"/>
                <w:i w:val="0"/>
                <w:sz w:val="18"/>
              </w:rPr>
              <w:t>• Reconocimiento del paisaje (Consejo de Europa, 2000)</w:t>
            </w:r>
          </w:p>
        </w:tc>
        <w:tc>
          <w:tcPr>
            <w:tcW w:type="dxa" w:w="4535"/>
            <w:tcBorders>
              <w:top w:val="single" w:sz="12" w:space="0" w:color="FFFFFF"/>
              <w:left w:val="single" w:sz="12" w:space="0" w:color="FFFFFF"/>
              <w:bottom w:val="single" w:sz="12" w:space="0" w:color="FFFFFF"/>
              <w:right w:val="single" w:sz="12" w:space="0" w:color="FFFFFF"/>
            </w:tcBorders>
            <w:shd w:val="clear" w:color="auto" w:fill="FEF4EC"/>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i w:val="0"/>
                <w:sz w:val="18"/>
              </w:rPr>
              <w:t>Y1. Revitalización ambiental</w:t>
            </w:r>
          </w:p>
          <w:p>
            <w:pPr>
              <w:spacing w:after="40" w:line="252" w:lineRule="auto"/>
              <w:jc w:val="left"/>
            </w:pPr>
            <w:r>
              <w:rPr>
                <w:rFonts w:ascii="Times New Roman" w:hAnsi="Times New Roman" w:eastAsia="Times New Roman" w:cs="Times New Roman"/>
                <w:b w:val="0"/>
                <w:i w:val="0"/>
                <w:sz w:val="18"/>
              </w:rPr>
              <w:t>• Ecología del paisaje (Forman, 1995)</w:t>
            </w:r>
          </w:p>
          <w:p>
            <w:pPr>
              <w:spacing w:after="40" w:line="252" w:lineRule="auto"/>
              <w:jc w:val="left"/>
            </w:pPr>
            <w:r>
              <w:rPr>
                <w:rFonts w:ascii="Times New Roman" w:hAnsi="Times New Roman" w:eastAsia="Times New Roman" w:cs="Times New Roman"/>
                <w:b w:val="0"/>
                <w:i w:val="0"/>
                <w:sz w:val="18"/>
              </w:rPr>
              <w:t>• Infraestructura verde (Benedict y McMahon, 2006)</w:t>
            </w:r>
          </w:p>
          <w:p>
            <w:pPr>
              <w:spacing w:after="40" w:line="252" w:lineRule="auto"/>
              <w:jc w:val="left"/>
            </w:pPr>
            <w:r>
              <w:rPr>
                <w:rFonts w:ascii="Times New Roman" w:hAnsi="Times New Roman" w:eastAsia="Times New Roman" w:cs="Times New Roman"/>
                <w:b w:val="0"/>
                <w:i w:val="0"/>
                <w:sz w:val="18"/>
              </w:rPr>
              <w:t>• Restauración ecológica (SER, 2004)</w:t>
            </w:r>
          </w:p>
        </w:tc>
      </w:tr>
      <w:tr>
        <w:trPr>
          <w:cantSplit/>
        </w:trPr>
        <w:tc>
          <w:tcPr>
            <w:tcW w:type="dxa" w:w="4535"/>
            <w:tcBorders>
              <w:top w:val="single" w:sz="12" w:space="0" w:color="FFFFFF"/>
              <w:left w:val="single" w:sz="12" w:space="0" w:color="FFFFFF"/>
              <w:bottom w:val="single" w:sz="12" w:space="0" w:color="FFFFFF"/>
              <w:right w:val="single" w:sz="12" w:space="0" w:color="FFFFFF"/>
            </w:tcBorders>
            <w:shd w:val="clear" w:color="auto" w:fill="F2F9EE"/>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i w:val="0"/>
                <w:sz w:val="18"/>
              </w:rPr>
              <w:t>X2. Articulación territorial</w:t>
            </w:r>
          </w:p>
          <w:p>
            <w:pPr>
              <w:spacing w:after="40" w:line="252" w:lineRule="auto"/>
              <w:jc w:val="left"/>
            </w:pPr>
            <w:r>
              <w:rPr>
                <w:rFonts w:ascii="Times New Roman" w:hAnsi="Times New Roman" w:eastAsia="Times New Roman" w:cs="Times New Roman"/>
                <w:b w:val="0"/>
                <w:i w:val="0"/>
                <w:sz w:val="18"/>
              </w:rPr>
              <w:t>• Legibilidad y estructura (Lynch, 1960)</w:t>
            </w:r>
          </w:p>
          <w:p>
            <w:pPr>
              <w:spacing w:after="40" w:line="252" w:lineRule="auto"/>
              <w:jc w:val="left"/>
            </w:pPr>
            <w:r>
              <w:rPr>
                <w:rFonts w:ascii="Times New Roman" w:hAnsi="Times New Roman" w:eastAsia="Times New Roman" w:cs="Times New Roman"/>
                <w:b w:val="0"/>
                <w:i w:val="0"/>
                <w:sz w:val="18"/>
              </w:rPr>
              <w:t>• Itinerarios culturales (ICOMOS, 2008b)</w:t>
            </w:r>
          </w:p>
          <w:p>
            <w:pPr>
              <w:spacing w:after="40" w:line="252" w:lineRule="auto"/>
              <w:jc w:val="left"/>
            </w:pPr>
            <w:r>
              <w:rPr>
                <w:rFonts w:ascii="Times New Roman" w:hAnsi="Times New Roman" w:eastAsia="Times New Roman" w:cs="Times New Roman"/>
                <w:b w:val="0"/>
                <w:i w:val="0"/>
                <w:sz w:val="18"/>
              </w:rPr>
              <w:t>• Red de corredores ecológicos y culturales (Li et al., 2021)</w:t>
            </w:r>
          </w:p>
        </w:tc>
        <w:tc>
          <w:tcPr>
            <w:tcW w:type="dxa" w:w="4535"/>
            <w:tcBorders>
              <w:top w:val="single" w:sz="12" w:space="0" w:color="FFFFFF"/>
              <w:left w:val="single" w:sz="12" w:space="0" w:color="FFFFFF"/>
              <w:bottom w:val="single" w:sz="12" w:space="0" w:color="FFFFFF"/>
              <w:right w:val="single" w:sz="12" w:space="0" w:color="FFFFFF"/>
            </w:tcBorders>
            <w:shd w:val="clear" w:color="auto" w:fill="FEF4EC"/>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i w:val="0"/>
                <w:sz w:val="18"/>
              </w:rPr>
              <w:t>Y2. Revitalización urbana y funcional</w:t>
            </w:r>
          </w:p>
          <w:p>
            <w:pPr>
              <w:spacing w:after="40" w:line="252" w:lineRule="auto"/>
              <w:jc w:val="left"/>
            </w:pPr>
            <w:r>
              <w:rPr>
                <w:rFonts w:ascii="Times New Roman" w:hAnsi="Times New Roman" w:eastAsia="Times New Roman" w:cs="Times New Roman"/>
                <w:b w:val="0"/>
                <w:i w:val="0"/>
                <w:sz w:val="18"/>
              </w:rPr>
              <w:t>• Vitalidad urbana (Jacobs, 1961)</w:t>
            </w:r>
          </w:p>
          <w:p>
            <w:pPr>
              <w:spacing w:after="40" w:line="252" w:lineRule="auto"/>
              <w:jc w:val="left"/>
            </w:pPr>
            <w:r>
              <w:rPr>
                <w:rFonts w:ascii="Times New Roman" w:hAnsi="Times New Roman" w:eastAsia="Times New Roman" w:cs="Times New Roman"/>
                <w:b w:val="0"/>
                <w:i w:val="0"/>
                <w:sz w:val="18"/>
              </w:rPr>
              <w:t>• Espacio público a escala humana (Gehl, 2010)</w:t>
            </w:r>
          </w:p>
          <w:p>
            <w:pPr>
              <w:spacing w:after="40" w:line="252" w:lineRule="auto"/>
              <w:jc w:val="left"/>
            </w:pPr>
            <w:r>
              <w:rPr>
                <w:rFonts w:ascii="Times New Roman" w:hAnsi="Times New Roman" w:eastAsia="Times New Roman" w:cs="Times New Roman"/>
                <w:b w:val="0"/>
                <w:i w:val="0"/>
                <w:sz w:val="18"/>
              </w:rPr>
              <w:t>• Cualidades de diseño y caminabilidad (Ewing y Handy, 2009)</w:t>
            </w:r>
          </w:p>
        </w:tc>
      </w:tr>
      <w:tr>
        <w:trPr>
          <w:cantSplit/>
        </w:trPr>
        <w:tc>
          <w:tcPr>
            <w:tcW w:type="dxa" w:w="4535"/>
            <w:tcBorders>
              <w:top w:val="single" w:sz="12" w:space="0" w:color="FFFFFF"/>
              <w:left w:val="single" w:sz="12" w:space="0" w:color="FFFFFF"/>
              <w:bottom w:val="single" w:sz="12" w:space="0" w:color="FFFFFF"/>
              <w:right w:val="single" w:sz="12" w:space="0" w:color="FFFFFF"/>
            </w:tcBorders>
            <w:shd w:val="clear" w:color="auto" w:fill="F2F9EE"/>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i w:val="0"/>
                <w:sz w:val="18"/>
              </w:rPr>
              <w:t>X3. Participación e identidad</w:t>
            </w:r>
          </w:p>
          <w:p>
            <w:pPr>
              <w:spacing w:after="40" w:line="252" w:lineRule="auto"/>
              <w:jc w:val="left"/>
            </w:pPr>
            <w:r>
              <w:rPr>
                <w:rFonts w:ascii="Times New Roman" w:hAnsi="Times New Roman" w:eastAsia="Times New Roman" w:cs="Times New Roman"/>
                <w:b w:val="0"/>
                <w:i w:val="0"/>
                <w:sz w:val="18"/>
              </w:rPr>
              <w:t>• Identidad de lugar (Proshansky et al., 1983)</w:t>
            </w:r>
          </w:p>
          <w:p>
            <w:pPr>
              <w:spacing w:after="40" w:line="252" w:lineRule="auto"/>
              <w:jc w:val="left"/>
            </w:pPr>
            <w:r>
              <w:rPr>
                <w:rFonts w:ascii="Times New Roman" w:hAnsi="Times New Roman" w:eastAsia="Times New Roman" w:cs="Times New Roman"/>
                <w:b w:val="0"/>
                <w:i w:val="0"/>
                <w:sz w:val="18"/>
              </w:rPr>
              <w:t>• Participación ciudadana (Arnstein, 1969)</w:t>
            </w:r>
          </w:p>
          <w:p>
            <w:pPr>
              <w:spacing w:after="40" w:line="252" w:lineRule="auto"/>
              <w:jc w:val="left"/>
            </w:pPr>
            <w:r>
              <w:rPr>
                <w:rFonts w:ascii="Times New Roman" w:hAnsi="Times New Roman" w:eastAsia="Times New Roman" w:cs="Times New Roman"/>
                <w:b w:val="0"/>
                <w:i w:val="0"/>
                <w:sz w:val="18"/>
              </w:rPr>
              <w:t>• Comunidad patrimonial (Consejo de Europa, 2005)</w:t>
            </w:r>
          </w:p>
        </w:tc>
        <w:tc>
          <w:tcPr>
            <w:tcW w:type="dxa" w:w="4535"/>
            <w:tcBorders>
              <w:top w:val="single" w:sz="12" w:space="0" w:color="FFFFFF"/>
              <w:left w:val="single" w:sz="12" w:space="0" w:color="FFFFFF"/>
              <w:bottom w:val="single" w:sz="12" w:space="0" w:color="FFFFFF"/>
              <w:right w:val="single" w:sz="12" w:space="0" w:color="FFFFFF"/>
            </w:tcBorders>
            <w:shd w:val="clear" w:color="auto" w:fill="FEF4EC"/>
            <w:tcMar>
              <w:top w:w="70" w:type="dxa"/>
              <w:left w:w="110" w:type="dxa"/>
              <w:bottom w:w="70" w:type="dxa"/>
              <w:right w:w="110" w:type="dxa"/>
            </w:tcMar>
          </w:tcPr>
          <w:p>
            <w:pPr>
              <w:spacing w:after="40" w:line="252" w:lineRule="auto"/>
              <w:jc w:val="left"/>
            </w:pPr>
            <w:r>
              <w:rPr>
                <w:rFonts w:ascii="Times New Roman" w:hAnsi="Times New Roman" w:eastAsia="Times New Roman" w:cs="Times New Roman"/>
                <w:b/>
                <w:i w:val="0"/>
                <w:sz w:val="18"/>
              </w:rPr>
              <w:t>Y3. Revitalización sociocultural</w:t>
            </w:r>
          </w:p>
          <w:p>
            <w:pPr>
              <w:spacing w:after="40" w:line="252" w:lineRule="auto"/>
              <w:jc w:val="left"/>
            </w:pPr>
            <w:r>
              <w:rPr>
                <w:rFonts w:ascii="Times New Roman" w:hAnsi="Times New Roman" w:eastAsia="Times New Roman" w:cs="Times New Roman"/>
                <w:b w:val="0"/>
                <w:i w:val="0"/>
                <w:sz w:val="18"/>
              </w:rPr>
              <w:t>• Interpretación del patrimonio (Tilden, 1957)</w:t>
            </w:r>
          </w:p>
          <w:p>
            <w:pPr>
              <w:spacing w:after="40" w:line="252" w:lineRule="auto"/>
              <w:jc w:val="left"/>
            </w:pPr>
            <w:r>
              <w:rPr>
                <w:rFonts w:ascii="Times New Roman" w:hAnsi="Times New Roman" w:eastAsia="Times New Roman" w:cs="Times New Roman"/>
                <w:b w:val="0"/>
                <w:i w:val="0"/>
                <w:sz w:val="18"/>
              </w:rPr>
              <w:t>• Principios de interpretación (ICOMOS, 2008a)</w:t>
            </w:r>
          </w:p>
          <w:p>
            <w:pPr>
              <w:spacing w:after="40" w:line="252" w:lineRule="auto"/>
              <w:jc w:val="left"/>
            </w:pPr>
            <w:r>
              <w:rPr>
                <w:rFonts w:ascii="Times New Roman" w:hAnsi="Times New Roman" w:eastAsia="Times New Roman" w:cs="Times New Roman"/>
                <w:b w:val="0"/>
                <w:i w:val="0"/>
                <w:sz w:val="18"/>
              </w:rPr>
              <w:t>• Patrimonio y desarrollo local (de Varine, 2002)</w:t>
            </w:r>
          </w:p>
        </w:tc>
      </w:tr>
    </w:tbl>
    <w:p>
      <w:pPr>
        <w:spacing w:after="40"/>
      </w:pPr>
    </w:p>
    <w:p>
      <w:pPr>
        <w:spacing w:after="160"/>
        <w:jc w:val="left"/>
      </w:pPr>
      <w:r>
        <w:rPr>
          <w:rFonts w:ascii="Times New Roman" w:hAnsi="Times New Roman" w:eastAsia="Times New Roman" w:cs="Times New Roman"/>
          <w:b w:val="0"/>
          <w:i w:val="0"/>
          <w:sz w:val="20"/>
        </w:rPr>
        <w:t>Nota. Elaboración propia a partir del marco teórico desarrollado en el Capítulo I.</w:t>
      </w:r>
    </w:p>
    <w:p>
      <w:pPr>
        <w:keepNext/>
        <w:spacing w:after="0"/>
        <w:jc w:val="left"/>
      </w:pPr>
      <w:r>
        <w:rPr>
          <w:rFonts w:ascii="Times New Roman" w:hAnsi="Times New Roman" w:eastAsia="Times New Roman" w:cs="Times New Roman"/>
          <w:b/>
          <w:i w:val="0"/>
        </w:rPr>
        <w:t>Cuadro 1</w:t>
      </w:r>
    </w:p>
    <w:p>
      <w:pPr>
        <w:keepNext/>
        <w:spacing w:after="80"/>
        <w:jc w:val="left"/>
      </w:pPr>
      <w:r>
        <w:rPr>
          <w:rFonts w:ascii="Times New Roman" w:hAnsi="Times New Roman" w:eastAsia="Times New Roman" w:cs="Times New Roman"/>
          <w:b w:val="0"/>
          <w:i/>
        </w:rPr>
        <w:t>Relación entre teorías, dimensiones e indicadores de la matriz</w:t>
      </w:r>
    </w:p>
    <w:tbl>
      <w:tblPr>
        <w:tblW w:type="auto" w:w="0"/>
        <w:jc w:val="center"/>
        <w:tblLayout w:type="fixed"/>
        <w:tblLook w:firstColumn="1" w:firstRow="1" w:lastColumn="0" w:lastRow="0" w:noHBand="0" w:noVBand="1" w:val="04A0"/>
      </w:tblPr>
      <w:tblGrid>
        <w:gridCol w:w="1429"/>
        <w:gridCol w:w="2529"/>
        <w:gridCol w:w="2419"/>
        <w:gridCol w:w="2694"/>
      </w:tblGrid>
      <w:tr>
        <w:trPr>
          <w:cantSplit/>
          <w:tblHeader/>
        </w:trPr>
        <w:tc>
          <w:tcPr>
            <w:tcW w:type="dxa" w:w="1429"/>
            <w:tcBorders>
              <w:top w:val="single" w:sz="4" w:space="0" w:color="A6A6A6"/>
              <w:left w:val="single" w:sz="4" w:space="0" w:color="A6A6A6"/>
              <w:bottom w:val="single" w:sz="4" w:space="0" w:color="A6A6A6"/>
              <w:right w:val="single" w:sz="4" w:space="0" w:color="A6A6A6"/>
            </w:tcBorders>
            <w:shd w:val="clear" w:color="auto" w:fill="1F4E3D"/>
            <w:tcMar>
              <w:top w:w="60" w:type="dxa"/>
              <w:left w:w="90" w:type="dxa"/>
              <w:bottom w:w="60" w:type="dxa"/>
              <w:right w:w="90" w:type="dxa"/>
            </w:tcMar>
          </w:tcPr>
          <w:p>
            <w:pPr>
              <w:spacing w:after="40" w:line="252" w:lineRule="auto"/>
              <w:jc w:val="left"/>
            </w:pPr>
            <w:r>
              <w:rPr>
                <w:rFonts w:ascii="Times New Roman" w:hAnsi="Times New Roman" w:eastAsia="Times New Roman" w:cs="Times New Roman"/>
                <w:b/>
                <w:i w:val="0"/>
                <w:color w:val="FFFFFF"/>
                <w:sz w:val="19"/>
              </w:rPr>
              <w:t>Variable o dimensión</w:t>
            </w:r>
          </w:p>
        </w:tc>
        <w:tc>
          <w:tcPr>
            <w:tcW w:type="dxa" w:w="2529"/>
            <w:tcBorders>
              <w:top w:val="single" w:sz="4" w:space="0" w:color="A6A6A6"/>
              <w:left w:val="single" w:sz="4" w:space="0" w:color="A6A6A6"/>
              <w:bottom w:val="single" w:sz="4" w:space="0" w:color="A6A6A6"/>
              <w:right w:val="single" w:sz="4" w:space="0" w:color="A6A6A6"/>
            </w:tcBorders>
            <w:shd w:val="clear" w:color="auto" w:fill="1F4E3D"/>
            <w:tcMar>
              <w:top w:w="60" w:type="dxa"/>
              <w:left w:w="90" w:type="dxa"/>
              <w:bottom w:w="60" w:type="dxa"/>
              <w:right w:w="90" w:type="dxa"/>
            </w:tcMar>
          </w:tcPr>
          <w:p>
            <w:pPr>
              <w:spacing w:after="40" w:line="252" w:lineRule="auto"/>
              <w:jc w:val="left"/>
            </w:pPr>
            <w:r>
              <w:rPr>
                <w:rFonts w:ascii="Times New Roman" w:hAnsi="Times New Roman" w:eastAsia="Times New Roman" w:cs="Times New Roman"/>
                <w:b/>
                <w:i w:val="0"/>
                <w:color w:val="FFFFFF"/>
                <w:sz w:val="19"/>
              </w:rPr>
              <w:t>Teorías que la sustentan</w:t>
            </w:r>
          </w:p>
        </w:tc>
        <w:tc>
          <w:tcPr>
            <w:tcW w:type="dxa" w:w="2419"/>
            <w:tcBorders>
              <w:top w:val="single" w:sz="4" w:space="0" w:color="A6A6A6"/>
              <w:left w:val="single" w:sz="4" w:space="0" w:color="A6A6A6"/>
              <w:bottom w:val="single" w:sz="4" w:space="0" w:color="A6A6A6"/>
              <w:right w:val="single" w:sz="4" w:space="0" w:color="A6A6A6"/>
            </w:tcBorders>
            <w:shd w:val="clear" w:color="auto" w:fill="1F4E3D"/>
            <w:tcMar>
              <w:top w:w="60" w:type="dxa"/>
              <w:left w:w="90" w:type="dxa"/>
              <w:bottom w:w="60" w:type="dxa"/>
              <w:right w:w="90" w:type="dxa"/>
            </w:tcMar>
          </w:tcPr>
          <w:p>
            <w:pPr>
              <w:spacing w:after="40" w:line="252" w:lineRule="auto"/>
              <w:jc w:val="left"/>
            </w:pPr>
            <w:r>
              <w:rPr>
                <w:rFonts w:ascii="Times New Roman" w:hAnsi="Times New Roman" w:eastAsia="Times New Roman" w:cs="Times New Roman"/>
                <w:b/>
                <w:i w:val="0"/>
                <w:color w:val="FFFFFF"/>
                <w:sz w:val="19"/>
              </w:rPr>
              <w:t>Indicadores de la matriz</w:t>
            </w:r>
          </w:p>
        </w:tc>
        <w:tc>
          <w:tcPr>
            <w:tcW w:type="dxa" w:w="2694"/>
            <w:tcBorders>
              <w:top w:val="single" w:sz="4" w:space="0" w:color="A6A6A6"/>
              <w:left w:val="single" w:sz="4" w:space="0" w:color="A6A6A6"/>
              <w:bottom w:val="single" w:sz="4" w:space="0" w:color="A6A6A6"/>
              <w:right w:val="single" w:sz="4" w:space="0" w:color="A6A6A6"/>
            </w:tcBorders>
            <w:shd w:val="clear" w:color="auto" w:fill="1F4E3D"/>
            <w:tcMar>
              <w:top w:w="60" w:type="dxa"/>
              <w:left w:w="90" w:type="dxa"/>
              <w:bottom w:w="60" w:type="dxa"/>
              <w:right w:w="90" w:type="dxa"/>
            </w:tcMar>
          </w:tcPr>
          <w:p>
            <w:pPr>
              <w:spacing w:after="40" w:line="252" w:lineRule="auto"/>
              <w:jc w:val="left"/>
            </w:pPr>
            <w:r>
              <w:rPr>
                <w:rFonts w:ascii="Times New Roman" w:hAnsi="Times New Roman" w:eastAsia="Times New Roman" w:cs="Times New Roman"/>
                <w:b/>
                <w:i w:val="0"/>
                <w:color w:val="FFFFFF"/>
                <w:sz w:val="19"/>
              </w:rPr>
              <w:t>Qué aporta cada grupo de teorías</w:t>
            </w:r>
          </w:p>
        </w:tc>
      </w:tr>
      <w:tr>
        <w:trPr>
          <w:cantSplit/>
        </w:trPr>
        <w:tc>
          <w:tcPr>
            <w:tcW w:type="dxa" w:w="14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Variable X. Integración patrimonial</w:t>
            </w:r>
          </w:p>
        </w:tc>
        <w:tc>
          <w:tcPr>
            <w:tcW w:type="dxa" w:w="25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Consejo de Europa (1975); UNESCO (2011); Martínez Martínez (2020)</w:t>
            </w:r>
          </w:p>
        </w:tc>
        <w:tc>
          <w:tcPr>
            <w:tcW w:type="dxa" w:w="241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Se observa mediante sus tres dimensiones</w:t>
            </w:r>
          </w:p>
        </w:tc>
        <w:tc>
          <w:tcPr>
            <w:tcW w:type="dxa" w:w="2694"/>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Integrar el patrimonio con la planificación, el territorio y el paisaje</w:t>
            </w:r>
          </w:p>
        </w:tc>
      </w:tr>
      <w:tr>
        <w:trPr>
          <w:cantSplit/>
        </w:trPr>
        <w:tc>
          <w:tcPr>
            <w:tcW w:type="dxa" w:w="14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X1. Reconocimiento patrimonial</w:t>
            </w:r>
          </w:p>
        </w:tc>
        <w:tc>
          <w:tcPr>
            <w:tcW w:type="dxa" w:w="25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Riegl (1903/1987); Australia ICOMOS (2013); Consejo de Europa (2000)</w:t>
            </w:r>
          </w:p>
        </w:tc>
        <w:tc>
          <w:tcPr>
            <w:tcW w:type="dxa" w:w="241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Inventario de bienes y recursos; valores históricos, culturales y paisajísticos</w:t>
            </w:r>
          </w:p>
        </w:tc>
        <w:tc>
          <w:tcPr>
            <w:tcW w:type="dxa" w:w="2694"/>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Categorías de valor; proceso de documentación; reconocimiento del paisaje</w:t>
            </w:r>
          </w:p>
        </w:tc>
      </w:tr>
      <w:tr>
        <w:trPr>
          <w:cantSplit/>
        </w:trPr>
        <w:tc>
          <w:tcPr>
            <w:tcW w:type="dxa" w:w="14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X2. Articulación territorial</w:t>
            </w:r>
          </w:p>
        </w:tc>
        <w:tc>
          <w:tcPr>
            <w:tcW w:type="dxa" w:w="25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Lynch (1960); ICOMOS (2008b); Li et al. (2021)</w:t>
            </w:r>
          </w:p>
        </w:tc>
        <w:tc>
          <w:tcPr>
            <w:tcW w:type="dxa" w:w="241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Conectividad entre hitos; continuidad del corredor; integración con espacios públicos</w:t>
            </w:r>
          </w:p>
        </w:tc>
        <w:tc>
          <w:tcPr>
            <w:tcW w:type="dxa" w:w="2694"/>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Lectura de hitos y sendas; continuidad como valor; red ecológico-cultural</w:t>
            </w:r>
          </w:p>
        </w:tc>
      </w:tr>
      <w:tr>
        <w:trPr>
          <w:cantSplit/>
        </w:trPr>
        <w:tc>
          <w:tcPr>
            <w:tcW w:type="dxa" w:w="14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X3. Participación e identidad</w:t>
            </w:r>
          </w:p>
        </w:tc>
        <w:tc>
          <w:tcPr>
            <w:tcW w:type="dxa" w:w="25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Proshansky et al. (1983); Arnstein (1969); Consejo de Europa (2005)</w:t>
            </w:r>
          </w:p>
        </w:tc>
        <w:tc>
          <w:tcPr>
            <w:tcW w:type="dxa" w:w="241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Participación de actores locales; percepción de identidad; uso social de espacios patrimoniales</w:t>
            </w:r>
          </w:p>
        </w:tc>
        <w:tc>
          <w:tcPr>
            <w:tcW w:type="dxa" w:w="2694"/>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Identidad de lugar; niveles de participación; comunidad patrimonial</w:t>
            </w:r>
          </w:p>
        </w:tc>
      </w:tr>
      <w:tr>
        <w:trPr>
          <w:cantSplit/>
        </w:trPr>
        <w:tc>
          <w:tcPr>
            <w:tcW w:type="dxa" w:w="14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Variable Y. Revitalización</w:t>
            </w:r>
          </w:p>
        </w:tc>
        <w:tc>
          <w:tcPr>
            <w:tcW w:type="dxa" w:w="25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Roberts (2000); Lerner (2005); Rojas (2004)</w:t>
            </w:r>
          </w:p>
        </w:tc>
        <w:tc>
          <w:tcPr>
            <w:tcW w:type="dxa" w:w="241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Se observa mediante sus tres dimensiones</w:t>
            </w:r>
          </w:p>
        </w:tc>
        <w:tc>
          <w:tcPr>
            <w:tcW w:type="dxa" w:w="2694"/>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Revitalización integral; intervención puntual; lectura de obsolescencias</w:t>
            </w:r>
          </w:p>
        </w:tc>
      </w:tr>
      <w:tr>
        <w:trPr>
          <w:cantSplit/>
        </w:trPr>
        <w:tc>
          <w:tcPr>
            <w:tcW w:type="dxa" w:w="14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Y1. Revitalización ambiental</w:t>
            </w:r>
          </w:p>
        </w:tc>
        <w:tc>
          <w:tcPr>
            <w:tcW w:type="dxa" w:w="25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Forman (1995); Benedict y McMahon (2006); SER (2004)</w:t>
            </w:r>
          </w:p>
        </w:tc>
        <w:tc>
          <w:tcPr>
            <w:tcW w:type="dxa" w:w="241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Áreas verdes recuperadas; continuidad de vegetación; manejo de residuos</w:t>
            </w:r>
          </w:p>
        </w:tc>
        <w:tc>
          <w:tcPr>
            <w:tcW w:type="dxa" w:w="2694"/>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Modelo parche-corredor-matriz; red verde; ecosistema de referencia y eliminación de amenazas</w:t>
            </w:r>
          </w:p>
        </w:tc>
      </w:tr>
      <w:tr>
        <w:trPr>
          <w:cantSplit/>
        </w:trPr>
        <w:tc>
          <w:tcPr>
            <w:tcW w:type="dxa" w:w="14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Y2. Revitalización urbana y funcional</w:t>
            </w:r>
          </w:p>
        </w:tc>
        <w:tc>
          <w:tcPr>
            <w:tcW w:type="dxa" w:w="252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Jacobs (1961); Gehl (2010); Ewing y Handy (2009)</w:t>
            </w:r>
          </w:p>
        </w:tc>
        <w:tc>
          <w:tcPr>
            <w:tcW w:type="dxa" w:w="2419"/>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Accesibilidad peatonal; calidad del espacio público; conectividad de recorridos</w:t>
            </w:r>
          </w:p>
        </w:tc>
        <w:tc>
          <w:tcPr>
            <w:tcW w:type="dxa" w:w="2694"/>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Vitalidad funcional; criterios de calidad; cualidades observables</w:t>
            </w:r>
          </w:p>
        </w:tc>
      </w:tr>
      <w:tr>
        <w:trPr>
          <w:cantSplit/>
        </w:trPr>
        <w:tc>
          <w:tcPr>
            <w:tcW w:type="dxa" w:w="14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Y3. Revitalización sociocultural</w:t>
            </w:r>
          </w:p>
        </w:tc>
        <w:tc>
          <w:tcPr>
            <w:tcW w:type="dxa" w:w="252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Tilden (1957); ICOMOS (2008a); de Varine (2002)</w:t>
            </w:r>
          </w:p>
        </w:tc>
        <w:tc>
          <w:tcPr>
            <w:tcW w:type="dxa" w:w="2419"/>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Actividades culturales; participación comunitaria; frecuencia de uso del Centro</w:t>
            </w:r>
          </w:p>
        </w:tc>
        <w:tc>
          <w:tcPr>
            <w:tcW w:type="dxa" w:w="2694"/>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tcPr>
          <w:p>
            <w:pPr>
              <w:spacing w:after="40" w:line="252" w:lineRule="auto"/>
              <w:jc w:val="left"/>
            </w:pPr>
            <w:r>
              <w:rPr>
                <w:rFonts w:ascii="Times New Roman" w:hAnsi="Times New Roman" w:eastAsia="Times New Roman" w:cs="Times New Roman"/>
                <w:b w:val="0"/>
                <w:i w:val="0"/>
                <w:sz w:val="19"/>
              </w:rPr>
              <w:t>Interpretación; principios de interpretación; patrimonio como recurso comunitario</w:t>
            </w:r>
          </w:p>
        </w:tc>
      </w:tr>
    </w:tbl>
    <w:p>
      <w:pPr>
        <w:spacing w:after="40"/>
      </w:pPr>
    </w:p>
    <w:p>
      <w:pPr>
        <w:spacing w:after="160"/>
        <w:jc w:val="left"/>
      </w:pPr>
      <w:r>
        <w:rPr>
          <w:rFonts w:ascii="Times New Roman" w:hAnsi="Times New Roman" w:eastAsia="Times New Roman" w:cs="Times New Roman"/>
          <w:b w:val="0"/>
          <w:i w:val="0"/>
          <w:sz w:val="20"/>
        </w:rPr>
        <w:t>Nota. Los indicadores corresponden a la matriz de operacionalización del Trabajo de Investigación 01 y no han sido modificados.</w:t>
      </w:r>
    </w:p>
    <w:p>
      <w:pPr>
        <w:pStyle w:val="Heading2"/>
      </w:pPr>
      <w:r>
        <w:rPr>
          <w:rFonts w:ascii="Times New Roman" w:hAnsi="Times New Roman" w:eastAsia="Times New Roman" w:cs="Times New Roman"/>
          <w:b/>
          <w:i w:val="0"/>
          <w:color w:val="000000"/>
        </w:rPr>
        <w:t>3.1. Sustentación de la variable independiente: Integración patrimonial</w:t>
      </w:r>
    </w:p>
    <w:p>
      <w:r>
        <w:rPr>
          <w:rFonts w:ascii="Times New Roman" w:hAnsi="Times New Roman" w:eastAsia="Times New Roman" w:cs="Times New Roman"/>
          <w:b w:val="0"/>
          <w:i w:val="0"/>
        </w:rPr>
        <w:t>La integración patrimonial es pertinente para estudiar la relación entre los bienes culturales y naturales, el territorio y la comunidad de Vischongo porque, conceptualmente, reúne a los tres. La conservación integrada (Consejo de Europa, 1975) y el paisaje urbano histórico (UNESCO, 2011) establecen que el patrimonio deja de entenderse como un objeto y pasa a ser una relación: entre valores culturales y naturales, y entre estos y el territorio. Martínez Martínez (2020) muestra que en el Perú esa relación es precisamente la que suele fallar, con sitios protegidos de forma aislada mientras el territorio se transforma, y Mejia Curahua et al. (2024) reportan, en el Centro Histórico de Ayacucho, una distancia entre lo propuesto y lo ejecutado en la gestión municipal del patrimonio. Estudiar la integración en Vischongo equivale, entonces, a preguntar si sus recursos son reconocidos, están conectados entre sí y son apropiados por la comunidad.</w:t>
      </w:r>
    </w:p>
    <w:p>
      <w:r>
        <w:rPr>
          <w:rFonts w:ascii="Times New Roman" w:hAnsi="Times New Roman" w:eastAsia="Times New Roman" w:cs="Times New Roman"/>
          <w:b w:val="0"/>
          <w:i w:val="0"/>
        </w:rPr>
        <w:t>Las tres dimensiones permiten analizar la variable porque responden a tres preguntas que la teoría presenta como inseparables. La primera, qué se reconoce y con qué valor, corresponde a X1 y se sustenta en Riegl (1903/1987), la Carta de Burra (Australia ICOMOS, 2013) y el Convenio Europeo del Paisaje (Consejo de Europa, 2000). La segunda, cómo se relacionan espacialmente esos valores, corresponde a X2 y se sustenta en Lynch (1960), ICOMOS (2008b) y Li et al. (2021). La tercera, quién lo reconoce, lo gestiona y lo usa, corresponde a X3 y se sustenta en Proshansky et al. (1983), Arnstein (1969) y el Convenio de Faro (Consejo de Europa, 2005). Sin reconocimiento no hay qué integrar; sin articulación, lo reconocido queda disperso; y sin participación e identidad, la integración sería una operación técnica sin sostén social, el riesgo que Smith (2006) describe como un discurso patrimonial dominado por expertos.</w:t>
      </w:r>
    </w:p>
    <w:p>
      <w:r>
        <w:rPr>
          <w:rFonts w:ascii="Times New Roman" w:hAnsi="Times New Roman" w:eastAsia="Times New Roman" w:cs="Times New Roman"/>
          <w:b w:val="0"/>
          <w:i w:val="0"/>
        </w:rPr>
        <w:t>Los indicadores de la matriz son la forma de observar cada una de esas preguntas: el inventario y los valores (X1), la conectividad, la continuidad y la integración con espacios públicos (X2), y la participación, la identidad y el uso social (X3). La variable se mantiene así como una construcción de tres planos —valores, territorio y sociedad— coherente con la definición de la matriz.</w:t>
      </w:r>
    </w:p>
    <w:p>
      <w:pPr>
        <w:pStyle w:val="Heading2"/>
      </w:pPr>
      <w:r>
        <w:rPr>
          <w:rFonts w:ascii="Times New Roman" w:hAnsi="Times New Roman" w:eastAsia="Times New Roman" w:cs="Times New Roman"/>
          <w:b/>
          <w:i w:val="0"/>
          <w:color w:val="000000"/>
        </w:rPr>
        <w:t>3.2. Sustentación de la variable dependiente: Revitalización</w:t>
      </w:r>
    </w:p>
    <w:p>
      <w:r>
        <w:rPr>
          <w:rFonts w:ascii="Times New Roman" w:hAnsi="Times New Roman" w:eastAsia="Times New Roman" w:cs="Times New Roman"/>
          <w:b w:val="0"/>
          <w:i w:val="0"/>
        </w:rPr>
        <w:t>Roberts (2000) sostiene que una mejora duradera de un área exige atender de manera conjunta sus condiciones físicas, sociales, económicas y ambientales. La matriz adopta ese carácter integral y lo concreta en tres dimensiones que permiten examinar las condiciones que se pretende mejorar en el territorio. La revitalización ambiental (Y1) examina el soporte natural: las áreas verdes, la continuidad de la vegetación y las amenazas como los residuos, con apoyo en Forman (1995), Benedict y McMahon (2006) y la SER (2004). La revitalización urbana y funcional (Y2) examina el uso y la calidad de los espacios y de los recorridos, con apoyo en Jacobs (1961), Gehl (2010) y Ewing y Handy (2009). La revitalización sociocultural (Y3) examina la comunicación, el uso y la apropiación del patrimonio, con apoyo en Tilden (1957), ICOMOS (2008a) y de Varine (2002).</w:t>
      </w:r>
    </w:p>
    <w:p>
      <w:r>
        <w:rPr>
          <w:rFonts w:ascii="Times New Roman" w:hAnsi="Times New Roman" w:eastAsia="Times New Roman" w:cs="Times New Roman"/>
          <w:b w:val="0"/>
          <w:i w:val="0"/>
        </w:rPr>
        <w:t>Los antecedentes de la matriz muestran que esas condiciones pueden estar deterioradas simultáneamente en un mismo ámbito. En el Barranco Tumino de Moyobamba, Urbina Lavajos y Vargas Chozo (2025) reportan fragmentación del paisaje, botaderos y ocupación informal con pérdida de conectividad ecológica; Del Castillo Cáceres y Castro De la Borda (2015) describen sitios arqueológicos expuestos a basurales y reducidos a espacios residuales; y Rojas (2004) ofrece categorías, obsolescencia funcional, física y económica, para leer ese deterioro. Esta coexistencia de problemas ambientales, funcionales y sociales es lo que justifica una variable de tres dimensiones y no una sola.</w:t>
      </w:r>
    </w:p>
    <w:p>
      <w:r>
        <w:rPr>
          <w:rFonts w:ascii="Times New Roman" w:hAnsi="Times New Roman" w:eastAsia="Times New Roman" w:cs="Times New Roman"/>
          <w:b w:val="0"/>
          <w:i w:val="0"/>
        </w:rPr>
        <w:t>La definición operacional de Y establece que se evaluará mediante condiciones actuales y cambios esperados con estrategias de espacio público, paisaje y actividad cultural. Esto implica que la investigación diagnostica primero las condiciones de partida y que los cambios que se proponen son, en esta etapa, objetivos y expectativas fundamentadas en la teoría, no resultados comprobados. La dimensión económica que considera Roberts (2000) no forma parte de la matriz y se reconoce como un límite del alcance.</w:t>
      </w:r>
    </w:p>
    <w:p>
      <w:pPr>
        <w:pStyle w:val="Heading2"/>
      </w:pPr>
      <w:r>
        <w:rPr>
          <w:rFonts w:ascii="Times New Roman" w:hAnsi="Times New Roman" w:eastAsia="Times New Roman" w:cs="Times New Roman"/>
          <w:b/>
          <w:i w:val="0"/>
          <w:color w:val="000000"/>
        </w:rPr>
        <w:t>3.3. Relación teórica entre ambas variables y aplicación al objeto de estudio</w:t>
      </w:r>
    </w:p>
    <w:p>
      <w:r>
        <w:rPr>
          <w:rFonts w:ascii="Times New Roman" w:hAnsi="Times New Roman" w:eastAsia="Times New Roman" w:cs="Times New Roman"/>
          <w:b w:val="0"/>
          <w:i w:val="0"/>
        </w:rPr>
        <w:t>La relación propuesta por el problema general y por la hipótesis de trabajo de la matriz es que la integración patrimonial, articulada mediante un corredor ecológico y un Centro de Interpretación Patrimonial, puede contribuir a la revitalización ambiental, urbana y sociocultural de Vischongo. El esquema de dimensiones e indicadores del Trabajo de Investigación 01 vincula cada dimensión de X con las de Y; a la luz de las teorías revisadas, se identifica aquí el mecanismo principal de cada vínculo, sin excluir los secundarios.</w:t>
      </w:r>
    </w:p>
    <w:p>
      <w:r>
        <w:rPr>
          <w:rFonts w:ascii="Times New Roman" w:hAnsi="Times New Roman" w:eastAsia="Times New Roman" w:cs="Times New Roman"/>
          <w:b w:val="0"/>
          <w:i w:val="0"/>
        </w:rPr>
        <w:t>El reconocimiento patrimonial (X1) orienta qué se recupera y cómo. Si el significado de un lugar se comprende antes de intervenir (Australia ICOMOS, 2013) y los valores pueden entrar en tensión (Riegl, 1903/1987), el inventario y la valoración definen los criterios de diseño del corredor y del Centro, y delimitan lo que se debe recuperar, conservar o dejar como está. Es el vínculo más directo con el objetivo específico de establecer criterios de diseño.</w:t>
      </w:r>
    </w:p>
    <w:p>
      <w:r>
        <w:rPr>
          <w:rFonts w:ascii="Times New Roman" w:hAnsi="Times New Roman" w:eastAsia="Times New Roman" w:cs="Times New Roman"/>
          <w:b w:val="0"/>
          <w:i w:val="0"/>
        </w:rPr>
        <w:t>La articulación territorial (X2) provee el soporte físico de la revitalización ambiental y funcional. Una red que combine lo ecológico y lo cultural (Li et al., 2021) y que mantenga la continuidad de un recorrido de valor patrimonial (ICOMOS, 2008b) respalda a la vez la continuidad de la vegetación (Forman, 1995; Taylor et al., 1993) y la conectividad de los recorridos peatonales, cuya legibilidad depende de hitos, sendas y nodos (Lynch, 1960; Ewing y Handy, 2009). En este punto, el corredor es el principal dispositivo del objeto de estudio.</w:t>
      </w:r>
    </w:p>
    <w:p>
      <w:r>
        <w:rPr>
          <w:rFonts w:ascii="Times New Roman" w:hAnsi="Times New Roman" w:eastAsia="Times New Roman" w:cs="Times New Roman"/>
          <w:b w:val="0"/>
          <w:i w:val="0"/>
        </w:rPr>
        <w:t>La participación e identidad (X3) es la condición de apropiación y sostenibilidad de la revitalización sociocultural. Un Centro de Interpretación que se construya con la comunidad (Arnstein, 1969; Consejo de Europa, 2005), que respete los significados asociados con los lugares (Proshansky et al., 1983) y que prevea inclusión y evaluación (ICOMOS, 2008a) tiene más probabilidades de ser usado y de dar lugar a actividades culturales (de Varine, 2002). Es el principal dispositivo de la dimensión Y3.</w:t>
      </w:r>
    </w:p>
    <w:p>
      <w:r>
        <w:rPr>
          <w:rFonts w:ascii="Times New Roman" w:hAnsi="Times New Roman" w:eastAsia="Times New Roman" w:cs="Times New Roman"/>
          <w:b w:val="0"/>
          <w:i w:val="0"/>
        </w:rPr>
        <w:t>En términos del objeto de estudio, el corredor materializa sobre todo la articulación territorial (X2) y la revitalización ambiental y funcional (Y1 e Y2), y se apoya en la lógica de red de la infraestructura verde (Benedict y McMahon, 2006). El Centro materializa el reconocimiento y la interpretación de los valores (X1), la participación y el uso social (X3) y la revitalización sociocultural (Y3), y puede entenderse como una intervención puntual desde la cual se busca extender efectos al conjunto (Lerner, 2005). Ambos se complementan: el corredor lleva la interpretación al territorio, y el Centro da sentido al recorrido.</w:t>
      </w:r>
    </w:p>
    <w:p>
      <w:r>
        <w:rPr>
          <w:rFonts w:ascii="Times New Roman" w:hAnsi="Times New Roman" w:eastAsia="Times New Roman" w:cs="Times New Roman"/>
          <w:b w:val="0"/>
          <w:i w:val="0"/>
        </w:rPr>
        <w:t>Los antecedentes de la matriz muestran que propuestas de este tipo son conceptualmente viables y han sido formuladas en distintos contextos: redes de corredores ecológicos y culturales (Li et al., 2021), sistemas de parches ecológicos para recuperar un paisaje cultural (Urbina Lavajos y Vargas Chozo, 2025), infraestructura verde con senderos interpretativos (Raymundo et al., 2025) y modelos de monitoreo de corredores patrimoniales (Chen et al., 2024). Sin embargo, no demuestran que produzcan en Vischongo los efectos que aquí se esperan. La relación entre las variables se sostiene, por ahora, como un supuesto de trabajo con respaldo teórico; su contraste dependerá del diagnóstico de campo y de los resultados de la investigación.</w:t>
      </w:r>
    </w:p>
    <w:p>
      <w:pPr>
        <w:pStyle w:val="Heading2"/>
      </w:pPr>
      <w:r>
        <w:rPr>
          <w:rFonts w:ascii="Times New Roman" w:hAnsi="Times New Roman" w:eastAsia="Times New Roman" w:cs="Times New Roman"/>
          <w:b/>
          <w:i w:val="0"/>
          <w:color w:val="000000"/>
        </w:rPr>
        <w:t>3.4. Alcances y límites del sustento teórico</w:t>
      </w:r>
    </w:p>
    <w:p>
      <w:r>
        <w:rPr>
          <w:rFonts w:ascii="Times New Roman" w:hAnsi="Times New Roman" w:eastAsia="Times New Roman" w:cs="Times New Roman"/>
          <w:b w:val="0"/>
          <w:i w:val="0"/>
        </w:rPr>
        <w:t>El sustento teórico presentado tiene límites que conviene explicitar. Primero, la mayor parte de las teorías fue formulada en contextos urbanos, metropolitanos o europeos; su aplicación a un distrito rural andino se hizo reconociendo la diferencia de escala y de contexto en cada reflexión crítica, y requerirá ajustes en los instrumentos de campo. Segundo, los artículos de la matriz se utilizaron a partir de sus resúmenes y datos indexados, por lo que se les atribuye únicamente lo que ahí consta. Tercero, el indicador de manejo de residuos cuenta con un sustento indirecto y podría fortalecerse con teorías específicas de gestión de residuos. Cuarto, el marco no incorpora fuentes propias del distrito, como documentos de planificación local, inventarios oficiales o información comunitaria, que corresponden al diagnóstico de campo previsto en la metodología. Estas limitaciones no alteran la estructura de variables, dimensiones e indicadores de la matriz; indican, más bien, dónde deberá profundizarse en las siguientes etapas de la investigación.</w:t>
      </w:r>
    </w:p>
    <w:p>
      <w:pPr>
        <w:pStyle w:val="Heading1"/>
      </w:pPr>
      <w:r>
        <w:rPr>
          <w:rFonts w:ascii="Times New Roman" w:hAnsi="Times New Roman" w:eastAsia="Times New Roman" w:cs="Times New Roman"/>
          <w:b/>
          <w:i w:val="0"/>
          <w:color w:val="000000"/>
        </w:rPr>
        <w:t>REFERENCIAS BIBLIOGRÁFICAS</w:t>
      </w:r>
    </w:p>
    <w:p>
      <w:pPr>
        <w:spacing w:after="120" w:line="264" w:lineRule="auto"/>
        <w:ind w:left="720" w:hanging="720"/>
        <w:jc w:val="left"/>
      </w:pPr>
      <w:r>
        <w:rPr>
          <w:rFonts w:ascii="Times New Roman" w:hAnsi="Times New Roman" w:eastAsia="Times New Roman" w:cs="Times New Roman"/>
          <w:b w:val="0"/>
          <w:i w:val="0"/>
        </w:rPr>
        <w:t xml:space="preserve">Arnstein, S. R. (1969). A ladder of citizen participation. </w:t>
      </w:r>
      <w:r>
        <w:rPr>
          <w:rFonts w:ascii="Times New Roman" w:hAnsi="Times New Roman" w:eastAsia="Times New Roman" w:cs="Times New Roman"/>
          <w:b w:val="0"/>
          <w:i/>
        </w:rPr>
        <w:t>Journal of the American Institute of Planners, 35</w:t>
      </w:r>
      <w:r>
        <w:rPr>
          <w:rFonts w:ascii="Times New Roman" w:hAnsi="Times New Roman" w:eastAsia="Times New Roman" w:cs="Times New Roman"/>
          <w:b w:val="0"/>
          <w:i w:val="0"/>
        </w:rPr>
        <w:t>(4), 216–224. https://doi.org/10.1080/01944366908977225</w:t>
      </w:r>
    </w:p>
    <w:p>
      <w:pPr>
        <w:spacing w:after="120" w:line="264" w:lineRule="auto"/>
        <w:ind w:left="720" w:hanging="720"/>
        <w:jc w:val="left"/>
      </w:pPr>
      <w:r>
        <w:rPr>
          <w:rFonts w:ascii="Times New Roman" w:hAnsi="Times New Roman" w:eastAsia="Times New Roman" w:cs="Times New Roman"/>
          <w:b w:val="0"/>
          <w:i w:val="0"/>
        </w:rPr>
        <w:t xml:space="preserve">Australia ICOMOS. (2013). </w:t>
      </w:r>
      <w:r>
        <w:rPr>
          <w:rFonts w:ascii="Times New Roman" w:hAnsi="Times New Roman" w:eastAsia="Times New Roman" w:cs="Times New Roman"/>
          <w:b w:val="0"/>
          <w:i/>
        </w:rPr>
        <w:t>The Burra Charter: The Australia ICOMOS Charter for places of cultural significance</w:t>
      </w:r>
      <w:r>
        <w:rPr>
          <w:rFonts w:ascii="Times New Roman" w:hAnsi="Times New Roman" w:eastAsia="Times New Roman" w:cs="Times New Roman"/>
          <w:b w:val="0"/>
          <w:i w:val="0"/>
        </w:rPr>
        <w:t>. Australia ICOMOS Incorporated.</w:t>
      </w:r>
    </w:p>
    <w:p>
      <w:pPr>
        <w:spacing w:after="120" w:line="264" w:lineRule="auto"/>
        <w:ind w:left="720" w:hanging="720"/>
        <w:jc w:val="left"/>
      </w:pPr>
      <w:r>
        <w:rPr>
          <w:rFonts w:ascii="Times New Roman" w:hAnsi="Times New Roman" w:eastAsia="Times New Roman" w:cs="Times New Roman"/>
          <w:b w:val="0"/>
          <w:i w:val="0"/>
        </w:rPr>
        <w:t xml:space="preserve">Benedict, M. A., &amp; McMahon, E. T. (2006). </w:t>
      </w:r>
      <w:r>
        <w:rPr>
          <w:rFonts w:ascii="Times New Roman" w:hAnsi="Times New Roman" w:eastAsia="Times New Roman" w:cs="Times New Roman"/>
          <w:b w:val="0"/>
          <w:i/>
        </w:rPr>
        <w:t>Green infrastructure: Linking landscapes and communities</w:t>
      </w:r>
      <w:r>
        <w:rPr>
          <w:rFonts w:ascii="Times New Roman" w:hAnsi="Times New Roman" w:eastAsia="Times New Roman" w:cs="Times New Roman"/>
          <w:b w:val="0"/>
          <w:i w:val="0"/>
        </w:rPr>
        <w:t>. Island Press.</w:t>
      </w:r>
    </w:p>
    <w:p>
      <w:pPr>
        <w:spacing w:after="120" w:line="264" w:lineRule="auto"/>
        <w:ind w:left="720" w:hanging="720"/>
        <w:jc w:val="left"/>
      </w:pPr>
      <w:r>
        <w:rPr>
          <w:rFonts w:ascii="Times New Roman" w:hAnsi="Times New Roman" w:eastAsia="Times New Roman" w:cs="Times New Roman"/>
          <w:b w:val="0"/>
          <w:i w:val="0"/>
        </w:rPr>
        <w:t xml:space="preserve">Bolaños Baldassari, A. F. (2021). Paisajes con monumentos arqueológicos: El caso de las líneas y geoglifos de Nasca y Palpa. </w:t>
      </w:r>
      <w:r>
        <w:rPr>
          <w:rFonts w:ascii="Times New Roman" w:hAnsi="Times New Roman" w:eastAsia="Times New Roman" w:cs="Times New Roman"/>
          <w:b w:val="0"/>
          <w:i/>
        </w:rPr>
        <w:t>La Vida &amp; la Historia, 8</w:t>
      </w:r>
      <w:r>
        <w:rPr>
          <w:rFonts w:ascii="Times New Roman" w:hAnsi="Times New Roman" w:eastAsia="Times New Roman" w:cs="Times New Roman"/>
          <w:b w:val="0"/>
          <w:i w:val="0"/>
        </w:rPr>
        <w:t>(2), 3–19. https://doi.org/10.33326/26176041.2021.2.1327</w:t>
      </w:r>
    </w:p>
    <w:p>
      <w:pPr>
        <w:spacing w:after="120" w:line="264" w:lineRule="auto"/>
        <w:ind w:left="720" w:hanging="720"/>
        <w:jc w:val="left"/>
      </w:pPr>
      <w:r>
        <w:rPr>
          <w:rFonts w:ascii="Times New Roman" w:hAnsi="Times New Roman" w:eastAsia="Times New Roman" w:cs="Times New Roman"/>
          <w:b w:val="0"/>
          <w:i w:val="0"/>
        </w:rPr>
        <w:t xml:space="preserve">Chen, J., Zhao, X., Wang, H., Yan, J., Yang, D., &amp; Xie, K. (2024). Portraying heritage corridor dynamics and cultivating conservation strategies based on environment spatial model: An integration of multi-source data and image semantic segmentation. </w:t>
      </w:r>
      <w:r>
        <w:rPr>
          <w:rFonts w:ascii="Times New Roman" w:hAnsi="Times New Roman" w:eastAsia="Times New Roman" w:cs="Times New Roman"/>
          <w:b w:val="0"/>
          <w:i/>
        </w:rPr>
        <w:t>Heritage Science, 12</w:t>
      </w:r>
      <w:r>
        <w:rPr>
          <w:rFonts w:ascii="Times New Roman" w:hAnsi="Times New Roman" w:eastAsia="Times New Roman" w:cs="Times New Roman"/>
          <w:b w:val="0"/>
          <w:i w:val="0"/>
        </w:rPr>
        <w:t>(1). https://doi.org/10.1186/s40494-024-01497-7</w:t>
      </w:r>
    </w:p>
    <w:p>
      <w:pPr>
        <w:spacing w:after="120" w:line="264" w:lineRule="auto"/>
        <w:ind w:left="720" w:hanging="720"/>
        <w:jc w:val="left"/>
      </w:pPr>
      <w:r>
        <w:rPr>
          <w:rFonts w:ascii="Times New Roman" w:hAnsi="Times New Roman" w:eastAsia="Times New Roman" w:cs="Times New Roman"/>
          <w:b w:val="0"/>
          <w:i w:val="0"/>
        </w:rPr>
        <w:t xml:space="preserve">Congreso de la República del Perú. (2004). </w:t>
      </w:r>
      <w:r>
        <w:rPr>
          <w:rFonts w:ascii="Times New Roman" w:hAnsi="Times New Roman" w:eastAsia="Times New Roman" w:cs="Times New Roman"/>
          <w:b w:val="0"/>
          <w:i/>
        </w:rPr>
        <w:t>Ley n.º 28296, Ley General del Patrimonio Cultural de la Nación</w:t>
      </w:r>
      <w:r>
        <w:rPr>
          <w:rFonts w:ascii="Times New Roman" w:hAnsi="Times New Roman" w:eastAsia="Times New Roman" w:cs="Times New Roman"/>
          <w:b w:val="0"/>
          <w:i w:val="0"/>
        </w:rPr>
        <w:t>. https://www.congreso.gob.pe/Docs/congresistas2001/ElviradelaPuente/files/leyes/28296.pdf</w:t>
      </w:r>
    </w:p>
    <w:p>
      <w:pPr>
        <w:spacing w:after="120" w:line="264" w:lineRule="auto"/>
        <w:ind w:left="720" w:hanging="720"/>
        <w:jc w:val="left"/>
      </w:pPr>
      <w:r>
        <w:rPr>
          <w:rFonts w:ascii="Times New Roman" w:hAnsi="Times New Roman" w:eastAsia="Times New Roman" w:cs="Times New Roman"/>
          <w:b w:val="0"/>
          <w:i w:val="0"/>
        </w:rPr>
        <w:t xml:space="preserve">Consejo de Europa. (1975). </w:t>
      </w:r>
      <w:r>
        <w:rPr>
          <w:rFonts w:ascii="Times New Roman" w:hAnsi="Times New Roman" w:eastAsia="Times New Roman" w:cs="Times New Roman"/>
          <w:b w:val="0"/>
          <w:i/>
        </w:rPr>
        <w:t>The Declaration of Amsterdam</w:t>
      </w:r>
      <w:r>
        <w:rPr>
          <w:rFonts w:ascii="Times New Roman" w:hAnsi="Times New Roman" w:eastAsia="Times New Roman" w:cs="Times New Roman"/>
          <w:b w:val="0"/>
          <w:i w:val="0"/>
        </w:rPr>
        <w:t xml:space="preserve"> [Congress on the European Architectural Heritage, Ámsterdam, 21-25 de octubre de 1975]. https://icomos.org/en/and/169-the-declaration-ofamsterdam</w:t>
      </w:r>
    </w:p>
    <w:p>
      <w:pPr>
        <w:spacing w:after="120" w:line="264" w:lineRule="auto"/>
        <w:ind w:left="720" w:hanging="720"/>
        <w:jc w:val="left"/>
      </w:pPr>
      <w:r>
        <w:rPr>
          <w:rFonts w:ascii="Times New Roman" w:hAnsi="Times New Roman" w:eastAsia="Times New Roman" w:cs="Times New Roman"/>
          <w:b w:val="0"/>
          <w:i w:val="0"/>
        </w:rPr>
        <w:t xml:space="preserve">Consejo de Europa. (2000). </w:t>
      </w:r>
      <w:r>
        <w:rPr>
          <w:rFonts w:ascii="Times New Roman" w:hAnsi="Times New Roman" w:eastAsia="Times New Roman" w:cs="Times New Roman"/>
          <w:b w:val="0"/>
          <w:i/>
        </w:rPr>
        <w:t>Convenio Europeo del Paisaje</w:t>
      </w:r>
      <w:r>
        <w:rPr>
          <w:rFonts w:ascii="Times New Roman" w:hAnsi="Times New Roman" w:eastAsia="Times New Roman" w:cs="Times New Roman"/>
          <w:b w:val="0"/>
          <w:i w:val="0"/>
        </w:rPr>
        <w:t xml:space="preserve"> (Serie de Tratados Europeos n.º 176). Consejo de Europa.</w:t>
      </w:r>
    </w:p>
    <w:p>
      <w:pPr>
        <w:spacing w:after="120" w:line="264" w:lineRule="auto"/>
        <w:ind w:left="720" w:hanging="720"/>
        <w:jc w:val="left"/>
      </w:pPr>
      <w:r>
        <w:rPr>
          <w:rFonts w:ascii="Times New Roman" w:hAnsi="Times New Roman" w:eastAsia="Times New Roman" w:cs="Times New Roman"/>
          <w:b w:val="0"/>
          <w:i w:val="0"/>
        </w:rPr>
        <w:t xml:space="preserve">Consejo de Europa. (2005). </w:t>
      </w:r>
      <w:r>
        <w:rPr>
          <w:rFonts w:ascii="Times New Roman" w:hAnsi="Times New Roman" w:eastAsia="Times New Roman" w:cs="Times New Roman"/>
          <w:b w:val="0"/>
          <w:i/>
        </w:rPr>
        <w:t>Convenio Marco del Consejo de Europa sobre el valor del patrimonio cultural para la sociedad</w:t>
      </w:r>
      <w:r>
        <w:rPr>
          <w:rFonts w:ascii="Times New Roman" w:hAnsi="Times New Roman" w:eastAsia="Times New Roman" w:cs="Times New Roman"/>
          <w:b w:val="0"/>
          <w:i w:val="0"/>
        </w:rPr>
        <w:t xml:space="preserve"> (Serie de Tratados del Consejo de Europa n.º 199). Consejo de Europa.</w:t>
      </w:r>
    </w:p>
    <w:p>
      <w:pPr>
        <w:spacing w:after="120" w:line="264" w:lineRule="auto"/>
        <w:ind w:left="720" w:hanging="720"/>
        <w:jc w:val="left"/>
      </w:pPr>
      <w:r>
        <w:rPr>
          <w:rFonts w:ascii="Times New Roman" w:hAnsi="Times New Roman" w:eastAsia="Times New Roman" w:cs="Times New Roman"/>
          <w:b w:val="0"/>
          <w:i w:val="0"/>
        </w:rPr>
        <w:t xml:space="preserve">Del Castillo Cáceres, J. M., &amp; Castro De la Borda, M. (2015). La estrategia de integración de espacios abiertos y patrimonio en el Plan Metropolitano de Desarrollo Urbano Lima-Callao 2035. </w:t>
      </w:r>
      <w:r>
        <w:rPr>
          <w:rFonts w:ascii="Times New Roman" w:hAnsi="Times New Roman" w:eastAsia="Times New Roman" w:cs="Times New Roman"/>
          <w:b w:val="0"/>
          <w:i/>
        </w:rPr>
        <w:t>Devenir – Revista de Estudios sobre Patrimonio Edificado, 2</w:t>
      </w:r>
      <w:r>
        <w:rPr>
          <w:rFonts w:ascii="Times New Roman" w:hAnsi="Times New Roman" w:eastAsia="Times New Roman" w:cs="Times New Roman"/>
          <w:b w:val="0"/>
          <w:i w:val="0"/>
        </w:rPr>
        <w:t>(4), 27–44. https://doi.org/10.21754/devenir.v2i4.276</w:t>
      </w:r>
    </w:p>
    <w:p>
      <w:pPr>
        <w:spacing w:after="120" w:line="264" w:lineRule="auto"/>
        <w:ind w:left="720" w:hanging="720"/>
        <w:jc w:val="left"/>
      </w:pPr>
      <w:r>
        <w:rPr>
          <w:rFonts w:ascii="Times New Roman" w:hAnsi="Times New Roman" w:eastAsia="Times New Roman" w:cs="Times New Roman"/>
          <w:b w:val="0"/>
          <w:i w:val="0"/>
        </w:rPr>
        <w:t xml:space="preserve">de Varine, H. (2002). </w:t>
      </w:r>
      <w:r>
        <w:rPr>
          <w:rFonts w:ascii="Times New Roman" w:hAnsi="Times New Roman" w:eastAsia="Times New Roman" w:cs="Times New Roman"/>
          <w:b w:val="0"/>
          <w:i/>
        </w:rPr>
        <w:t>Les racines du futur: Le patrimoine au service du développement local</w:t>
      </w:r>
      <w:r>
        <w:rPr>
          <w:rFonts w:ascii="Times New Roman" w:hAnsi="Times New Roman" w:eastAsia="Times New Roman" w:cs="Times New Roman"/>
          <w:b w:val="0"/>
          <w:i w:val="0"/>
        </w:rPr>
        <w:t>. ASDIC.</w:t>
      </w:r>
    </w:p>
    <w:p>
      <w:pPr>
        <w:spacing w:after="120" w:line="264" w:lineRule="auto"/>
        <w:ind w:left="720" w:hanging="720"/>
        <w:jc w:val="left"/>
      </w:pPr>
      <w:r>
        <w:rPr>
          <w:rFonts w:ascii="Times New Roman" w:hAnsi="Times New Roman" w:eastAsia="Times New Roman" w:cs="Times New Roman"/>
          <w:b w:val="0"/>
          <w:i w:val="0"/>
        </w:rPr>
        <w:t xml:space="preserve">Ewing, R., &amp; Handy, S. (2009). Measuring the unmeasurable: Urban design qualities related to walkability. </w:t>
      </w:r>
      <w:r>
        <w:rPr>
          <w:rFonts w:ascii="Times New Roman" w:hAnsi="Times New Roman" w:eastAsia="Times New Roman" w:cs="Times New Roman"/>
          <w:b w:val="0"/>
          <w:i/>
        </w:rPr>
        <w:t>Journal of Urban Design, 14</w:t>
      </w:r>
      <w:r>
        <w:rPr>
          <w:rFonts w:ascii="Times New Roman" w:hAnsi="Times New Roman" w:eastAsia="Times New Roman" w:cs="Times New Roman"/>
          <w:b w:val="0"/>
          <w:i w:val="0"/>
        </w:rPr>
        <w:t>(1), 65–84. https://doi.org/10.1080/13574800802451155</w:t>
      </w:r>
    </w:p>
    <w:p>
      <w:pPr>
        <w:spacing w:after="120" w:line="264" w:lineRule="auto"/>
        <w:ind w:left="720" w:hanging="720"/>
        <w:jc w:val="left"/>
      </w:pPr>
      <w:r>
        <w:rPr>
          <w:rFonts w:ascii="Times New Roman" w:hAnsi="Times New Roman" w:eastAsia="Times New Roman" w:cs="Times New Roman"/>
          <w:b w:val="0"/>
          <w:i w:val="0"/>
        </w:rPr>
        <w:t xml:space="preserve">Forman, R. T. T. (1995). </w:t>
      </w:r>
      <w:r>
        <w:rPr>
          <w:rFonts w:ascii="Times New Roman" w:hAnsi="Times New Roman" w:eastAsia="Times New Roman" w:cs="Times New Roman"/>
          <w:b w:val="0"/>
          <w:i/>
        </w:rPr>
        <w:t>Land mosaics: The ecology of landscapes and regions</w:t>
      </w:r>
      <w:r>
        <w:rPr>
          <w:rFonts w:ascii="Times New Roman" w:hAnsi="Times New Roman" w:eastAsia="Times New Roman" w:cs="Times New Roman"/>
          <w:b w:val="0"/>
          <w:i w:val="0"/>
        </w:rPr>
        <w:t>. Cambridge University Press.</w:t>
      </w:r>
    </w:p>
    <w:p>
      <w:pPr>
        <w:spacing w:after="120" w:line="264" w:lineRule="auto"/>
        <w:ind w:left="720" w:hanging="720"/>
        <w:jc w:val="left"/>
      </w:pPr>
      <w:r>
        <w:rPr>
          <w:rFonts w:ascii="Times New Roman" w:hAnsi="Times New Roman" w:eastAsia="Times New Roman" w:cs="Times New Roman"/>
          <w:b w:val="0"/>
          <w:i w:val="0"/>
        </w:rPr>
        <w:t xml:space="preserve">Forman, R. T. T., &amp; Godron, M. (1986). </w:t>
      </w:r>
      <w:r>
        <w:rPr>
          <w:rFonts w:ascii="Times New Roman" w:hAnsi="Times New Roman" w:eastAsia="Times New Roman" w:cs="Times New Roman"/>
          <w:b w:val="0"/>
          <w:i/>
        </w:rPr>
        <w:t>Landscape ecology</w:t>
      </w:r>
      <w:r>
        <w:rPr>
          <w:rFonts w:ascii="Times New Roman" w:hAnsi="Times New Roman" w:eastAsia="Times New Roman" w:cs="Times New Roman"/>
          <w:b w:val="0"/>
          <w:i w:val="0"/>
        </w:rPr>
        <w:t>. John Wiley &amp; Sons.</w:t>
      </w:r>
    </w:p>
    <w:p>
      <w:pPr>
        <w:spacing w:after="120" w:line="264" w:lineRule="auto"/>
        <w:ind w:left="720" w:hanging="720"/>
        <w:jc w:val="left"/>
      </w:pPr>
      <w:r>
        <w:rPr>
          <w:rFonts w:ascii="Times New Roman" w:hAnsi="Times New Roman" w:eastAsia="Times New Roman" w:cs="Times New Roman"/>
          <w:b w:val="0"/>
          <w:i w:val="0"/>
        </w:rPr>
        <w:t xml:space="preserve">Gehl, J. (2010). </w:t>
      </w:r>
      <w:r>
        <w:rPr>
          <w:rFonts w:ascii="Times New Roman" w:hAnsi="Times New Roman" w:eastAsia="Times New Roman" w:cs="Times New Roman"/>
          <w:b w:val="0"/>
          <w:i/>
        </w:rPr>
        <w:t>Cities for people</w:t>
      </w:r>
      <w:r>
        <w:rPr>
          <w:rFonts w:ascii="Times New Roman" w:hAnsi="Times New Roman" w:eastAsia="Times New Roman" w:cs="Times New Roman"/>
          <w:b w:val="0"/>
          <w:i w:val="0"/>
        </w:rPr>
        <w:t>. Island Press.</w:t>
      </w:r>
    </w:p>
    <w:p>
      <w:pPr>
        <w:spacing w:after="120" w:line="264" w:lineRule="auto"/>
        <w:ind w:left="720" w:hanging="720"/>
        <w:jc w:val="left"/>
      </w:pPr>
      <w:r>
        <w:rPr>
          <w:rFonts w:ascii="Times New Roman" w:hAnsi="Times New Roman" w:eastAsia="Times New Roman" w:cs="Times New Roman"/>
          <w:b w:val="0"/>
          <w:i w:val="0"/>
        </w:rPr>
        <w:t xml:space="preserve">Gehl, J. (2011). </w:t>
      </w:r>
      <w:r>
        <w:rPr>
          <w:rFonts w:ascii="Times New Roman" w:hAnsi="Times New Roman" w:eastAsia="Times New Roman" w:cs="Times New Roman"/>
          <w:b w:val="0"/>
          <w:i/>
        </w:rPr>
        <w:t>Life between buildings: Using public space</w:t>
      </w:r>
      <w:r>
        <w:rPr>
          <w:rFonts w:ascii="Times New Roman" w:hAnsi="Times New Roman" w:eastAsia="Times New Roman" w:cs="Times New Roman"/>
          <w:b w:val="0"/>
          <w:i w:val="0"/>
        </w:rPr>
        <w:t xml:space="preserve"> (J. Koch, Trad.). Island Press. (Obra original publicada en 1971)</w:t>
      </w:r>
    </w:p>
    <w:p>
      <w:pPr>
        <w:spacing w:after="120" w:line="264" w:lineRule="auto"/>
        <w:ind w:left="720" w:hanging="720"/>
        <w:jc w:val="left"/>
      </w:pPr>
      <w:r>
        <w:rPr>
          <w:rFonts w:ascii="Times New Roman" w:hAnsi="Times New Roman" w:eastAsia="Times New Roman" w:cs="Times New Roman"/>
          <w:b w:val="0"/>
          <w:i w:val="0"/>
        </w:rPr>
        <w:t xml:space="preserve">Hilty, J. A., Lidicker, W. Z., Jr., &amp; Merenlender, A. M. (2006). </w:t>
      </w:r>
      <w:r>
        <w:rPr>
          <w:rFonts w:ascii="Times New Roman" w:hAnsi="Times New Roman" w:eastAsia="Times New Roman" w:cs="Times New Roman"/>
          <w:b w:val="0"/>
          <w:i/>
        </w:rPr>
        <w:t>Corridor ecology: The science and practice of linking landscapes for biodiversity conservation</w:t>
      </w:r>
      <w:r>
        <w:rPr>
          <w:rFonts w:ascii="Times New Roman" w:hAnsi="Times New Roman" w:eastAsia="Times New Roman" w:cs="Times New Roman"/>
          <w:b w:val="0"/>
          <w:i w:val="0"/>
        </w:rPr>
        <w:t>. Island Press.</w:t>
      </w:r>
    </w:p>
    <w:p>
      <w:pPr>
        <w:spacing w:after="120" w:line="264" w:lineRule="auto"/>
        <w:ind w:left="720" w:hanging="720"/>
        <w:jc w:val="left"/>
      </w:pPr>
      <w:r>
        <w:rPr>
          <w:rFonts w:ascii="Times New Roman" w:hAnsi="Times New Roman" w:eastAsia="Times New Roman" w:cs="Times New Roman"/>
          <w:b w:val="0"/>
          <w:i w:val="0"/>
        </w:rPr>
        <w:t xml:space="preserve">ICOMOS. (2008a). </w:t>
      </w:r>
      <w:r>
        <w:rPr>
          <w:rFonts w:ascii="Times New Roman" w:hAnsi="Times New Roman" w:eastAsia="Times New Roman" w:cs="Times New Roman"/>
          <w:b w:val="0"/>
          <w:i/>
        </w:rPr>
        <w:t>ICOMOS charter for the interpretation and presentation of cultural heritage sites</w:t>
      </w:r>
      <w:r>
        <w:rPr>
          <w:rFonts w:ascii="Times New Roman" w:hAnsi="Times New Roman" w:eastAsia="Times New Roman" w:cs="Times New Roman"/>
          <w:b w:val="0"/>
          <w:i w:val="0"/>
        </w:rPr>
        <w:t>. 16.ª Asamblea General de ICOMOS, Québec, Canadá.</w:t>
      </w:r>
    </w:p>
    <w:p>
      <w:pPr>
        <w:spacing w:after="120" w:line="264" w:lineRule="auto"/>
        <w:ind w:left="720" w:hanging="720"/>
        <w:jc w:val="left"/>
      </w:pPr>
      <w:r>
        <w:rPr>
          <w:rFonts w:ascii="Times New Roman" w:hAnsi="Times New Roman" w:eastAsia="Times New Roman" w:cs="Times New Roman"/>
          <w:b w:val="0"/>
          <w:i w:val="0"/>
        </w:rPr>
        <w:t xml:space="preserve">ICOMOS. (2008b). </w:t>
      </w:r>
      <w:r>
        <w:rPr>
          <w:rFonts w:ascii="Times New Roman" w:hAnsi="Times New Roman" w:eastAsia="Times New Roman" w:cs="Times New Roman"/>
          <w:b w:val="0"/>
          <w:i/>
        </w:rPr>
        <w:t>The ICOMOS charter on cultural routes</w:t>
      </w:r>
      <w:r>
        <w:rPr>
          <w:rFonts w:ascii="Times New Roman" w:hAnsi="Times New Roman" w:eastAsia="Times New Roman" w:cs="Times New Roman"/>
          <w:b w:val="0"/>
          <w:i w:val="0"/>
        </w:rPr>
        <w:t>. 16.ª Asamblea General de ICOMOS, Québec, Canadá. https://openarchive.icomos.org/id/eprint/3140</w:t>
      </w:r>
    </w:p>
    <w:p>
      <w:pPr>
        <w:spacing w:after="120" w:line="264" w:lineRule="auto"/>
        <w:ind w:left="720" w:hanging="720"/>
        <w:jc w:val="left"/>
      </w:pPr>
      <w:r>
        <w:rPr>
          <w:rFonts w:ascii="Times New Roman" w:hAnsi="Times New Roman" w:eastAsia="Times New Roman" w:cs="Times New Roman"/>
          <w:b w:val="0"/>
          <w:i w:val="0"/>
        </w:rPr>
        <w:t xml:space="preserve">Jacobs, J. (1961). </w:t>
      </w:r>
      <w:r>
        <w:rPr>
          <w:rFonts w:ascii="Times New Roman" w:hAnsi="Times New Roman" w:eastAsia="Times New Roman" w:cs="Times New Roman"/>
          <w:b w:val="0"/>
          <w:i/>
        </w:rPr>
        <w:t>The death and life of great American cities</w:t>
      </w:r>
      <w:r>
        <w:rPr>
          <w:rFonts w:ascii="Times New Roman" w:hAnsi="Times New Roman" w:eastAsia="Times New Roman" w:cs="Times New Roman"/>
          <w:b w:val="0"/>
          <w:i w:val="0"/>
        </w:rPr>
        <w:t>. Random House.</w:t>
      </w:r>
    </w:p>
    <w:p>
      <w:pPr>
        <w:spacing w:after="120" w:line="264" w:lineRule="auto"/>
        <w:ind w:left="720" w:hanging="720"/>
        <w:jc w:val="left"/>
      </w:pPr>
      <w:r>
        <w:rPr>
          <w:rFonts w:ascii="Times New Roman" w:hAnsi="Times New Roman" w:eastAsia="Times New Roman" w:cs="Times New Roman"/>
          <w:b w:val="0"/>
          <w:i w:val="0"/>
        </w:rPr>
        <w:t xml:space="preserve">Lerner, J. (2005). </w:t>
      </w:r>
      <w:r>
        <w:rPr>
          <w:rFonts w:ascii="Times New Roman" w:hAnsi="Times New Roman" w:eastAsia="Times New Roman" w:cs="Times New Roman"/>
          <w:b w:val="0"/>
          <w:i/>
        </w:rPr>
        <w:t>Acupuntura urbana</w:t>
      </w:r>
      <w:r>
        <w:rPr>
          <w:rFonts w:ascii="Times New Roman" w:hAnsi="Times New Roman" w:eastAsia="Times New Roman" w:cs="Times New Roman"/>
          <w:b w:val="0"/>
          <w:i w:val="0"/>
        </w:rPr>
        <w:t>. Institut d'Arquitectura Avançada de Catalunya.</w:t>
      </w:r>
    </w:p>
    <w:p>
      <w:pPr>
        <w:spacing w:after="120" w:line="264" w:lineRule="auto"/>
        <w:ind w:left="720" w:hanging="720"/>
        <w:jc w:val="left"/>
      </w:pPr>
      <w:r>
        <w:rPr>
          <w:rFonts w:ascii="Times New Roman" w:hAnsi="Times New Roman" w:eastAsia="Times New Roman" w:cs="Times New Roman"/>
          <w:b w:val="0"/>
          <w:i w:val="0"/>
        </w:rPr>
        <w:t xml:space="preserve">Li, Y., Wang, X., &amp; Dong, X. (2021). Delineating an integrated ecological and cultural corridor network: A case study in Beijing, China. </w:t>
      </w:r>
      <w:r>
        <w:rPr>
          <w:rFonts w:ascii="Times New Roman" w:hAnsi="Times New Roman" w:eastAsia="Times New Roman" w:cs="Times New Roman"/>
          <w:b w:val="0"/>
          <w:i/>
        </w:rPr>
        <w:t>Sustainability, 13</w:t>
      </w:r>
      <w:r>
        <w:rPr>
          <w:rFonts w:ascii="Times New Roman" w:hAnsi="Times New Roman" w:eastAsia="Times New Roman" w:cs="Times New Roman"/>
          <w:b w:val="0"/>
          <w:i w:val="0"/>
        </w:rPr>
        <w:t>(1), Artículo 412. https://doi.org/10.3390/su13010412</w:t>
      </w:r>
    </w:p>
    <w:p>
      <w:pPr>
        <w:spacing w:after="120" w:line="264" w:lineRule="auto"/>
        <w:ind w:left="720" w:hanging="720"/>
        <w:jc w:val="left"/>
      </w:pPr>
      <w:r>
        <w:rPr>
          <w:rFonts w:ascii="Times New Roman" w:hAnsi="Times New Roman" w:eastAsia="Times New Roman" w:cs="Times New Roman"/>
          <w:b w:val="0"/>
          <w:i w:val="0"/>
        </w:rPr>
        <w:t xml:space="preserve">Lynch, K. (1960). </w:t>
      </w:r>
      <w:r>
        <w:rPr>
          <w:rFonts w:ascii="Times New Roman" w:hAnsi="Times New Roman" w:eastAsia="Times New Roman" w:cs="Times New Roman"/>
          <w:b w:val="0"/>
          <w:i/>
        </w:rPr>
        <w:t>The image of the city</w:t>
      </w:r>
      <w:r>
        <w:rPr>
          <w:rFonts w:ascii="Times New Roman" w:hAnsi="Times New Roman" w:eastAsia="Times New Roman" w:cs="Times New Roman"/>
          <w:b w:val="0"/>
          <w:i w:val="0"/>
        </w:rPr>
        <w:t>. MIT Press.</w:t>
      </w:r>
    </w:p>
    <w:p>
      <w:pPr>
        <w:spacing w:after="120" w:line="264" w:lineRule="auto"/>
        <w:ind w:left="720" w:hanging="720"/>
        <w:jc w:val="left"/>
      </w:pPr>
      <w:r>
        <w:rPr>
          <w:rFonts w:ascii="Times New Roman" w:hAnsi="Times New Roman" w:eastAsia="Times New Roman" w:cs="Times New Roman"/>
          <w:b w:val="0"/>
          <w:i w:val="0"/>
        </w:rPr>
        <w:t xml:space="preserve">Martínez Martínez, G. (2020). Territorio y paisaje en la gestión del patrimonio arqueológico. Alcances desde la experiencia del diagnóstico territorial del patrimonio arqueológico en la región Lambayeque, Perú. </w:t>
      </w:r>
      <w:r>
        <w:rPr>
          <w:rFonts w:ascii="Times New Roman" w:hAnsi="Times New Roman" w:eastAsia="Times New Roman" w:cs="Times New Roman"/>
          <w:b w:val="0"/>
          <w:i/>
        </w:rPr>
        <w:t>Ería, 40</w:t>
      </w:r>
      <w:r>
        <w:rPr>
          <w:rFonts w:ascii="Times New Roman" w:hAnsi="Times New Roman" w:eastAsia="Times New Roman" w:cs="Times New Roman"/>
          <w:b w:val="0"/>
          <w:i w:val="0"/>
        </w:rPr>
        <w:t>(1), 53–71. https://doi.org/10.17811/er.1.2020.53-71</w:t>
      </w:r>
    </w:p>
    <w:p>
      <w:pPr>
        <w:spacing w:after="120" w:line="264" w:lineRule="auto"/>
        <w:ind w:left="720" w:hanging="720"/>
        <w:jc w:val="left"/>
      </w:pPr>
      <w:r>
        <w:rPr>
          <w:rFonts w:ascii="Times New Roman" w:hAnsi="Times New Roman" w:eastAsia="Times New Roman" w:cs="Times New Roman"/>
          <w:b w:val="0"/>
          <w:i w:val="0"/>
        </w:rPr>
        <w:t xml:space="preserve">Mejia Curahua, J., Rojas Cusi, P., &amp; Cuellar Villavicencio, L. (2024). Patrimonio cultural relegado en el Centro Histórico de Ayacucho. Gestión municipal provincial (2019-2022). </w:t>
      </w:r>
      <w:r>
        <w:rPr>
          <w:rFonts w:ascii="Times New Roman" w:hAnsi="Times New Roman" w:eastAsia="Times New Roman" w:cs="Times New Roman"/>
          <w:b w:val="0"/>
          <w:i/>
        </w:rPr>
        <w:t>Devenir – Revista de Estudios sobre Patrimonio Edificado, 11</w:t>
      </w:r>
      <w:r>
        <w:rPr>
          <w:rFonts w:ascii="Times New Roman" w:hAnsi="Times New Roman" w:eastAsia="Times New Roman" w:cs="Times New Roman"/>
          <w:b w:val="0"/>
          <w:i w:val="0"/>
        </w:rPr>
        <w:t>(22), 107–128. https://doi.org/10.21754/devenir.v11i22.1695</w:t>
      </w:r>
    </w:p>
    <w:p>
      <w:pPr>
        <w:spacing w:after="120" w:line="264" w:lineRule="auto"/>
        <w:ind w:left="720" w:hanging="720"/>
        <w:jc w:val="left"/>
      </w:pPr>
      <w:r>
        <w:rPr>
          <w:rFonts w:ascii="Times New Roman" w:hAnsi="Times New Roman" w:eastAsia="Times New Roman" w:cs="Times New Roman"/>
          <w:b w:val="0"/>
          <w:i w:val="0"/>
        </w:rPr>
        <w:t xml:space="preserve">Naciones Unidas. (2015). </w:t>
      </w:r>
      <w:r>
        <w:rPr>
          <w:rFonts w:ascii="Times New Roman" w:hAnsi="Times New Roman" w:eastAsia="Times New Roman" w:cs="Times New Roman"/>
          <w:b w:val="0"/>
          <w:i/>
        </w:rPr>
        <w:t>Transformar nuestro mundo: La Agenda 2030 para el Desarrollo Sostenible</w:t>
      </w:r>
      <w:r>
        <w:rPr>
          <w:rFonts w:ascii="Times New Roman" w:hAnsi="Times New Roman" w:eastAsia="Times New Roman" w:cs="Times New Roman"/>
          <w:b w:val="0"/>
          <w:i w:val="0"/>
        </w:rPr>
        <w:t xml:space="preserve"> (A/RES/70/1). https://sdgs.un.org/2030agenda</w:t>
      </w:r>
    </w:p>
    <w:p>
      <w:pPr>
        <w:spacing w:after="120" w:line="264" w:lineRule="auto"/>
        <w:ind w:left="720" w:hanging="720"/>
        <w:jc w:val="left"/>
      </w:pPr>
      <w:r>
        <w:rPr>
          <w:rFonts w:ascii="Times New Roman" w:hAnsi="Times New Roman" w:eastAsia="Times New Roman" w:cs="Times New Roman"/>
          <w:b w:val="0"/>
          <w:i w:val="0"/>
        </w:rPr>
        <w:t xml:space="preserve">Proshansky, H. M., Fabian, A. K., &amp; Kaminoff, R. (1983). Place-identity: Physical world socialization of the self. </w:t>
      </w:r>
      <w:r>
        <w:rPr>
          <w:rFonts w:ascii="Times New Roman" w:hAnsi="Times New Roman" w:eastAsia="Times New Roman" w:cs="Times New Roman"/>
          <w:b w:val="0"/>
          <w:i/>
        </w:rPr>
        <w:t>Journal of Environmental Psychology, 3</w:t>
      </w:r>
      <w:r>
        <w:rPr>
          <w:rFonts w:ascii="Times New Roman" w:hAnsi="Times New Roman" w:eastAsia="Times New Roman" w:cs="Times New Roman"/>
          <w:b w:val="0"/>
          <w:i w:val="0"/>
        </w:rPr>
        <w:t>(1), 57–83. https://doi.org/10.1016/S0272-4944(83)80021-8</w:t>
      </w:r>
    </w:p>
    <w:p>
      <w:pPr>
        <w:spacing w:after="120" w:line="264" w:lineRule="auto"/>
        <w:ind w:left="720" w:hanging="720"/>
        <w:jc w:val="left"/>
      </w:pPr>
      <w:r>
        <w:rPr>
          <w:rFonts w:ascii="Times New Roman" w:hAnsi="Times New Roman" w:eastAsia="Times New Roman" w:cs="Times New Roman"/>
          <w:b w:val="0"/>
          <w:i w:val="0"/>
        </w:rPr>
        <w:t xml:space="preserve">Raymundo, V., Vargas, C., Alcalá, C., Marin, S., Jaulis, C., Esenarro, D., Huerta, E., Fernandez, D., &amp; Martinez, P. (2025). Green infrastructure as an urban landscape strategy for the revaluation of the Ite wetlands in Tacna. </w:t>
      </w:r>
      <w:r>
        <w:rPr>
          <w:rFonts w:ascii="Times New Roman" w:hAnsi="Times New Roman" w:eastAsia="Times New Roman" w:cs="Times New Roman"/>
          <w:b w:val="0"/>
          <w:i/>
        </w:rPr>
        <w:t>Buildings, 15</w:t>
      </w:r>
      <w:r>
        <w:rPr>
          <w:rFonts w:ascii="Times New Roman" w:hAnsi="Times New Roman" w:eastAsia="Times New Roman" w:cs="Times New Roman"/>
          <w:b w:val="0"/>
          <w:i w:val="0"/>
        </w:rPr>
        <w:t>(3), Artículo 355. https://doi.org/10.3390/buildings15030355</w:t>
      </w:r>
    </w:p>
    <w:p>
      <w:pPr>
        <w:spacing w:after="120" w:line="264" w:lineRule="auto"/>
        <w:ind w:left="720" w:hanging="720"/>
        <w:jc w:val="left"/>
      </w:pPr>
      <w:r>
        <w:rPr>
          <w:rFonts w:ascii="Times New Roman" w:hAnsi="Times New Roman" w:eastAsia="Times New Roman" w:cs="Times New Roman"/>
          <w:b w:val="0"/>
          <w:i w:val="0"/>
        </w:rPr>
        <w:t xml:space="preserve">Riegl, A. (1987). </w:t>
      </w:r>
      <w:r>
        <w:rPr>
          <w:rFonts w:ascii="Times New Roman" w:hAnsi="Times New Roman" w:eastAsia="Times New Roman" w:cs="Times New Roman"/>
          <w:b w:val="0"/>
          <w:i/>
        </w:rPr>
        <w:t>El culto moderno a los monumentos: Caracteres y origen</w:t>
      </w:r>
      <w:r>
        <w:rPr>
          <w:rFonts w:ascii="Times New Roman" w:hAnsi="Times New Roman" w:eastAsia="Times New Roman" w:cs="Times New Roman"/>
          <w:b w:val="0"/>
          <w:i w:val="0"/>
        </w:rPr>
        <w:t xml:space="preserve"> (A. Pérez López, Trad.). Visor. (Obra original publicada en 1903)</w:t>
      </w:r>
    </w:p>
    <w:p>
      <w:pPr>
        <w:spacing w:after="120" w:line="264" w:lineRule="auto"/>
        <w:ind w:left="720" w:hanging="720"/>
        <w:jc w:val="left"/>
      </w:pPr>
      <w:r>
        <w:rPr>
          <w:rFonts w:ascii="Times New Roman" w:hAnsi="Times New Roman" w:eastAsia="Times New Roman" w:cs="Times New Roman"/>
          <w:b w:val="0"/>
          <w:i w:val="0"/>
        </w:rPr>
        <w:t xml:space="preserve">Roberts, P. (2000). The evolution, definition and purpose of urban regeneration. En P. Roberts &amp; H. Sykes (Eds.), </w:t>
      </w:r>
      <w:r>
        <w:rPr>
          <w:rFonts w:ascii="Times New Roman" w:hAnsi="Times New Roman" w:eastAsia="Times New Roman" w:cs="Times New Roman"/>
          <w:b w:val="0"/>
          <w:i/>
        </w:rPr>
        <w:t>Urban regeneration: A handbook</w:t>
      </w:r>
      <w:r>
        <w:rPr>
          <w:rFonts w:ascii="Times New Roman" w:hAnsi="Times New Roman" w:eastAsia="Times New Roman" w:cs="Times New Roman"/>
          <w:b w:val="0"/>
          <w:i w:val="0"/>
        </w:rPr>
        <w:t xml:space="preserve"> (pp. 9–36). SAGE.</w:t>
      </w:r>
    </w:p>
    <w:p>
      <w:pPr>
        <w:spacing w:after="120" w:line="264" w:lineRule="auto"/>
        <w:ind w:left="720" w:hanging="720"/>
        <w:jc w:val="left"/>
      </w:pPr>
      <w:r>
        <w:rPr>
          <w:rFonts w:ascii="Times New Roman" w:hAnsi="Times New Roman" w:eastAsia="Times New Roman" w:cs="Times New Roman"/>
          <w:b w:val="0"/>
          <w:i w:val="0"/>
        </w:rPr>
        <w:t xml:space="preserve">Rojas, E. (2004). </w:t>
      </w:r>
      <w:r>
        <w:rPr>
          <w:rFonts w:ascii="Times New Roman" w:hAnsi="Times New Roman" w:eastAsia="Times New Roman" w:cs="Times New Roman"/>
          <w:b w:val="0"/>
          <w:i/>
        </w:rPr>
        <w:t>Volver al centro: La recuperación de áreas urbanas centrales</w:t>
      </w:r>
      <w:r>
        <w:rPr>
          <w:rFonts w:ascii="Times New Roman" w:hAnsi="Times New Roman" w:eastAsia="Times New Roman" w:cs="Times New Roman"/>
          <w:b w:val="0"/>
          <w:i w:val="0"/>
        </w:rPr>
        <w:t>. Banco Interamericano de Desarrollo. https://ideas.repec.org/b/idb/idbbks/202.html</w:t>
      </w:r>
    </w:p>
    <w:p>
      <w:pPr>
        <w:spacing w:after="120" w:line="264" w:lineRule="auto"/>
        <w:ind w:left="720" w:hanging="720"/>
        <w:jc w:val="left"/>
      </w:pPr>
      <w:r>
        <w:rPr>
          <w:rFonts w:ascii="Times New Roman" w:hAnsi="Times New Roman" w:eastAsia="Times New Roman" w:cs="Times New Roman"/>
          <w:b w:val="0"/>
          <w:i w:val="0"/>
        </w:rPr>
        <w:t xml:space="preserve">Smith, L. (2006). </w:t>
      </w:r>
      <w:r>
        <w:rPr>
          <w:rFonts w:ascii="Times New Roman" w:hAnsi="Times New Roman" w:eastAsia="Times New Roman" w:cs="Times New Roman"/>
          <w:b w:val="0"/>
          <w:i/>
        </w:rPr>
        <w:t>Uses of heritage</w:t>
      </w:r>
      <w:r>
        <w:rPr>
          <w:rFonts w:ascii="Times New Roman" w:hAnsi="Times New Roman" w:eastAsia="Times New Roman" w:cs="Times New Roman"/>
          <w:b w:val="0"/>
          <w:i w:val="0"/>
        </w:rPr>
        <w:t>. Routledge.</w:t>
      </w:r>
    </w:p>
    <w:p>
      <w:pPr>
        <w:spacing w:after="120" w:line="264" w:lineRule="auto"/>
        <w:ind w:left="720" w:hanging="720"/>
        <w:jc w:val="left"/>
      </w:pPr>
      <w:r>
        <w:rPr>
          <w:rFonts w:ascii="Times New Roman" w:hAnsi="Times New Roman" w:eastAsia="Times New Roman" w:cs="Times New Roman"/>
          <w:b w:val="0"/>
          <w:i w:val="0"/>
        </w:rPr>
        <w:t xml:space="preserve">Society for Ecological Restoration International Science &amp; Policy Working Group. (2004). </w:t>
      </w:r>
      <w:r>
        <w:rPr>
          <w:rFonts w:ascii="Times New Roman" w:hAnsi="Times New Roman" w:eastAsia="Times New Roman" w:cs="Times New Roman"/>
          <w:b w:val="0"/>
          <w:i/>
        </w:rPr>
        <w:t>The SER international primer on ecological restoration</w:t>
      </w:r>
      <w:r>
        <w:rPr>
          <w:rFonts w:ascii="Times New Roman" w:hAnsi="Times New Roman" w:eastAsia="Times New Roman" w:cs="Times New Roman"/>
          <w:b w:val="0"/>
          <w:i w:val="0"/>
        </w:rPr>
        <w:t xml:space="preserve"> (Versión 2). Society for Ecological Restoration International.</w:t>
      </w:r>
    </w:p>
    <w:p>
      <w:pPr>
        <w:spacing w:after="120" w:line="264" w:lineRule="auto"/>
        <w:ind w:left="720" w:hanging="720"/>
        <w:jc w:val="left"/>
      </w:pPr>
      <w:r>
        <w:rPr>
          <w:rFonts w:ascii="Times New Roman" w:hAnsi="Times New Roman" w:eastAsia="Times New Roman" w:cs="Times New Roman"/>
          <w:b w:val="0"/>
          <w:i w:val="0"/>
        </w:rPr>
        <w:t xml:space="preserve">Taylor, P. D., Fahrig, L., Henein, K., &amp; Merriam, G. (1993). Connectivity is a vital element of landscape structure. </w:t>
      </w:r>
      <w:r>
        <w:rPr>
          <w:rFonts w:ascii="Times New Roman" w:hAnsi="Times New Roman" w:eastAsia="Times New Roman" w:cs="Times New Roman"/>
          <w:b w:val="0"/>
          <w:i/>
        </w:rPr>
        <w:t>Oikos, 68</w:t>
      </w:r>
      <w:r>
        <w:rPr>
          <w:rFonts w:ascii="Times New Roman" w:hAnsi="Times New Roman" w:eastAsia="Times New Roman" w:cs="Times New Roman"/>
          <w:b w:val="0"/>
          <w:i w:val="0"/>
        </w:rPr>
        <w:t>(3), 571–573.</w:t>
      </w:r>
    </w:p>
    <w:p>
      <w:pPr>
        <w:spacing w:after="120" w:line="264" w:lineRule="auto"/>
        <w:ind w:left="720" w:hanging="720"/>
        <w:jc w:val="left"/>
      </w:pPr>
      <w:r>
        <w:rPr>
          <w:rFonts w:ascii="Times New Roman" w:hAnsi="Times New Roman" w:eastAsia="Times New Roman" w:cs="Times New Roman"/>
          <w:b w:val="0"/>
          <w:i w:val="0"/>
        </w:rPr>
        <w:t xml:space="preserve">Tilden, F. (1957). </w:t>
      </w:r>
      <w:r>
        <w:rPr>
          <w:rFonts w:ascii="Times New Roman" w:hAnsi="Times New Roman" w:eastAsia="Times New Roman" w:cs="Times New Roman"/>
          <w:b w:val="0"/>
          <w:i/>
        </w:rPr>
        <w:t>Interpreting our heritage</w:t>
      </w:r>
      <w:r>
        <w:rPr>
          <w:rFonts w:ascii="Times New Roman" w:hAnsi="Times New Roman" w:eastAsia="Times New Roman" w:cs="Times New Roman"/>
          <w:b w:val="0"/>
          <w:i w:val="0"/>
        </w:rPr>
        <w:t>. University of North Carolina Press.</w:t>
      </w:r>
    </w:p>
    <w:p>
      <w:pPr>
        <w:spacing w:after="120" w:line="264" w:lineRule="auto"/>
        <w:ind w:left="720" w:hanging="720"/>
        <w:jc w:val="left"/>
      </w:pPr>
      <w:r>
        <w:rPr>
          <w:rFonts w:ascii="Times New Roman" w:hAnsi="Times New Roman" w:eastAsia="Times New Roman" w:cs="Times New Roman"/>
          <w:b w:val="0"/>
          <w:i w:val="0"/>
        </w:rPr>
        <w:t xml:space="preserve">UNESCO. (1972). </w:t>
      </w:r>
      <w:r>
        <w:rPr>
          <w:rFonts w:ascii="Times New Roman" w:hAnsi="Times New Roman" w:eastAsia="Times New Roman" w:cs="Times New Roman"/>
          <w:b w:val="0"/>
          <w:i/>
        </w:rPr>
        <w:t>Convención sobre la protección del patrimonio mundial, cultural y natural</w:t>
      </w:r>
      <w:r>
        <w:rPr>
          <w:rFonts w:ascii="Times New Roman" w:hAnsi="Times New Roman" w:eastAsia="Times New Roman" w:cs="Times New Roman"/>
          <w:b w:val="0"/>
          <w:i w:val="0"/>
        </w:rPr>
        <w:t>. https://whc.unesco.org/es/convenciontexto/</w:t>
      </w:r>
    </w:p>
    <w:p>
      <w:pPr>
        <w:spacing w:after="120" w:line="264" w:lineRule="auto"/>
        <w:ind w:left="720" w:hanging="720"/>
        <w:jc w:val="left"/>
      </w:pPr>
      <w:r>
        <w:rPr>
          <w:rFonts w:ascii="Times New Roman" w:hAnsi="Times New Roman" w:eastAsia="Times New Roman" w:cs="Times New Roman"/>
          <w:b w:val="0"/>
          <w:i w:val="0"/>
        </w:rPr>
        <w:t xml:space="preserve">UNESCO. (2011). </w:t>
      </w:r>
      <w:r>
        <w:rPr>
          <w:rFonts w:ascii="Times New Roman" w:hAnsi="Times New Roman" w:eastAsia="Times New Roman" w:cs="Times New Roman"/>
          <w:b w:val="0"/>
          <w:i/>
        </w:rPr>
        <w:t>Recommendation on the Historic Urban Landscape, including a glossary of definitions</w:t>
      </w:r>
      <w:r>
        <w:rPr>
          <w:rFonts w:ascii="Times New Roman" w:hAnsi="Times New Roman" w:eastAsia="Times New Roman" w:cs="Times New Roman"/>
          <w:b w:val="0"/>
          <w:i w:val="0"/>
        </w:rPr>
        <w:t>. https://whc.unesco.org/document/160163</w:t>
      </w:r>
    </w:p>
    <w:p>
      <w:pPr>
        <w:spacing w:after="120" w:line="264" w:lineRule="auto"/>
        <w:ind w:left="720" w:hanging="720"/>
        <w:jc w:val="left"/>
      </w:pPr>
      <w:r>
        <w:rPr>
          <w:rFonts w:ascii="Times New Roman" w:hAnsi="Times New Roman" w:eastAsia="Times New Roman" w:cs="Times New Roman"/>
          <w:b w:val="0"/>
          <w:i w:val="0"/>
        </w:rPr>
        <w:t xml:space="preserve">Urbina Lavajos, C., &amp; Vargas Chozo, O. (2025). Parches ecológicos para recuperar el paisaje cultural evolutivo del Barranco Tumino de Moyobamba, Perú. </w:t>
      </w:r>
      <w:r>
        <w:rPr>
          <w:rFonts w:ascii="Times New Roman" w:hAnsi="Times New Roman" w:eastAsia="Times New Roman" w:cs="Times New Roman"/>
          <w:b w:val="0"/>
          <w:i/>
        </w:rPr>
        <w:t>Devenir – Revista de Estudios sobre Patrimonio Edificado, 12</w:t>
      </w:r>
      <w:r>
        <w:rPr>
          <w:rFonts w:ascii="Times New Roman" w:hAnsi="Times New Roman" w:eastAsia="Times New Roman" w:cs="Times New Roman"/>
          <w:b w:val="0"/>
          <w:i w:val="0"/>
        </w:rPr>
        <w:t>(24). https://doi.org/10.21754/devenir.v12i24.1883</w:t>
      </w:r>
    </w:p>
    <w:p>
      <w:pPr>
        <w:spacing w:after="120" w:line="264" w:lineRule="auto"/>
        <w:ind w:left="720" w:hanging="720"/>
        <w:jc w:val="left"/>
      </w:pPr>
      <w:r>
        <w:rPr>
          <w:rFonts w:ascii="Times New Roman" w:hAnsi="Times New Roman" w:eastAsia="Times New Roman" w:cs="Times New Roman"/>
          <w:b w:val="0"/>
          <w:i w:val="0"/>
        </w:rPr>
        <w:t xml:space="preserve">Zhou, C., &amp; Mohamed Afla, M. R. (2026). Integrating cultural landscape and ecological aesthetics in rural heritage tourism: A case study of Xizhou Ancient Town. </w:t>
      </w:r>
      <w:r>
        <w:rPr>
          <w:rFonts w:ascii="Times New Roman" w:hAnsi="Times New Roman" w:eastAsia="Times New Roman" w:cs="Times New Roman"/>
          <w:b w:val="0"/>
          <w:i/>
        </w:rPr>
        <w:t>Journal of Asian Architecture and Building Engineering</w:t>
      </w:r>
      <w:r>
        <w:rPr>
          <w:rFonts w:ascii="Times New Roman" w:hAnsi="Times New Roman" w:eastAsia="Times New Roman" w:cs="Times New Roman"/>
          <w:b w:val="0"/>
          <w:i w:val="0"/>
        </w:rPr>
        <w:t>. Publicación anticipada en línea. https://doi.org/10.1080/13467581.2026.2673757</w:t>
      </w:r>
    </w:p>
    <w:p>
      <w:pPr>
        <w:spacing w:after="160"/>
        <w:jc w:val="left"/>
      </w:pPr>
      <w:r>
        <w:rPr>
          <w:rFonts w:ascii="Times New Roman" w:hAnsi="Times New Roman" w:eastAsia="Times New Roman" w:cs="Times New Roman"/>
          <w:b w:val="0"/>
          <w:i w:val="0"/>
          <w:sz w:val="20"/>
        </w:rPr>
        <w:t>Nota. Los textos en inglés y francés se citan en su idioma original; las traducciones al español que aparecen en el texto son propias.</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64" w:lineRule="auto"/>
      <w:jc w:val="center"/>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20" w:line="264" w:lineRule="auto"/>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line="264" w:lineRule="auto"/>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patrimonial mediante la revitalización y la implementación de un corredor ecológico y Centro de Interpretación Patrimonial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