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FBD0DB" w14:textId="3485F441" w:rsidR="006E3977" w:rsidRPr="00777D16" w:rsidRDefault="00542C4F" w:rsidP="006E3977">
      <w:pPr>
        <w:pBdr>
          <w:top w:val="single" w:sz="4" w:space="1" w:color="auto"/>
          <w:left w:val="single" w:sz="4" w:space="4" w:color="auto"/>
          <w:bottom w:val="single" w:sz="4" w:space="1" w:color="auto"/>
          <w:right w:val="single" w:sz="4" w:space="4" w:color="auto"/>
        </w:pBdr>
        <w:ind w:left="2124"/>
        <w:rPr>
          <w:b/>
          <w:color w:val="FF0000"/>
          <w:sz w:val="20"/>
          <w:szCs w:val="20"/>
        </w:rPr>
      </w:pPr>
      <w:r>
        <w:rPr>
          <w:b/>
          <w:color w:val="FF0000"/>
          <w:sz w:val="20"/>
          <w:szCs w:val="20"/>
        </w:rPr>
        <w:t xml:space="preserve">            </w:t>
      </w:r>
      <w:r w:rsidR="006E3977" w:rsidRPr="00777D16">
        <w:rPr>
          <w:b/>
          <w:color w:val="FF0000"/>
          <w:sz w:val="20"/>
          <w:szCs w:val="20"/>
        </w:rPr>
        <w:t>Une gouvernance européenne depuis le traité de Maastricht (1992)</w:t>
      </w:r>
    </w:p>
    <w:p w14:paraId="5AD061DD" w14:textId="115DE19D" w:rsidR="00874519" w:rsidRDefault="00874519" w:rsidP="00B31E6F">
      <w:pPr>
        <w:spacing w:after="0"/>
        <w:rPr>
          <w:rFonts w:asciiTheme="majorHAnsi" w:hAnsiTheme="majorHAnsi"/>
          <w:b/>
          <w:sz w:val="20"/>
          <w:szCs w:val="20"/>
        </w:rPr>
      </w:pPr>
      <w:r>
        <w:rPr>
          <w:rFonts w:asciiTheme="majorHAnsi" w:hAnsiTheme="majorHAnsi"/>
          <w:b/>
          <w:sz w:val="20"/>
          <w:szCs w:val="20"/>
        </w:rPr>
        <w:t>L’</w:t>
      </w:r>
      <w:r w:rsidR="00E15F2C">
        <w:rPr>
          <w:rFonts w:asciiTheme="majorHAnsi" w:hAnsiTheme="majorHAnsi"/>
          <w:b/>
          <w:sz w:val="20"/>
          <w:szCs w:val="20"/>
        </w:rPr>
        <w:t>idée d’une u</w:t>
      </w:r>
      <w:r>
        <w:rPr>
          <w:rFonts w:asciiTheme="majorHAnsi" w:hAnsiTheme="majorHAnsi"/>
          <w:b/>
          <w:sz w:val="20"/>
          <w:szCs w:val="20"/>
        </w:rPr>
        <w:t xml:space="preserve">nion européenne est </w:t>
      </w:r>
      <w:r w:rsidR="00E15F2C">
        <w:rPr>
          <w:rFonts w:asciiTheme="majorHAnsi" w:hAnsiTheme="majorHAnsi"/>
          <w:b/>
          <w:sz w:val="20"/>
          <w:szCs w:val="20"/>
        </w:rPr>
        <w:t>ancienne. Au XIX e siècle Saint Simon et Victor Hugo avait compris la nécessité de créer des  Etats-Unis d’Europe afin de maintenir la paix.</w:t>
      </w:r>
    </w:p>
    <w:p w14:paraId="7158C05C" w14:textId="77777777" w:rsidR="00B31E6F" w:rsidRPr="00B31E6F" w:rsidRDefault="00B31E6F" w:rsidP="00B31E6F">
      <w:pPr>
        <w:spacing w:after="0"/>
        <w:rPr>
          <w:rFonts w:asciiTheme="majorHAnsi" w:hAnsiTheme="majorHAnsi"/>
          <w:b/>
          <w:sz w:val="20"/>
          <w:szCs w:val="20"/>
        </w:rPr>
      </w:pPr>
      <w:r w:rsidRPr="00B31E6F">
        <w:rPr>
          <w:rFonts w:asciiTheme="majorHAnsi" w:hAnsiTheme="majorHAnsi"/>
          <w:b/>
          <w:sz w:val="20"/>
          <w:szCs w:val="20"/>
        </w:rPr>
        <w:t>La construction européenne a démarré par un projet économique (CECA en 1951 puis CEE en 1957) dont le but politique était d’éviter de nouvelles guerres en Europe notamment entre la France et l’Allemagne. Ce régionalisme qui se met en place après le Seconde Guerre mondiale concerne d’abord 6 puis 9, 10 et enfin 12 pays.</w:t>
      </w:r>
    </w:p>
    <w:p w14:paraId="5C03F727" w14:textId="77777777" w:rsidR="00B31E6F" w:rsidRDefault="00B31E6F" w:rsidP="00542C4F">
      <w:pPr>
        <w:rPr>
          <w:rFonts w:asciiTheme="majorHAnsi" w:hAnsiTheme="majorHAnsi"/>
          <w:b/>
          <w:i/>
          <w:sz w:val="20"/>
          <w:szCs w:val="20"/>
        </w:rPr>
      </w:pPr>
      <w:r w:rsidRPr="00B31E6F">
        <w:rPr>
          <w:rFonts w:asciiTheme="majorHAnsi" w:hAnsiTheme="majorHAnsi"/>
          <w:b/>
          <w:sz w:val="20"/>
          <w:szCs w:val="20"/>
        </w:rPr>
        <w:t>La  CEE vise à réaliser progressivement un marché commun, avec libre circulation des biens, des services, des capitaux et des hommes.</w:t>
      </w:r>
      <w:r w:rsidRPr="00B31E6F">
        <w:rPr>
          <w:rFonts w:asciiTheme="majorHAnsi" w:hAnsiTheme="majorHAnsi"/>
          <w:b/>
          <w:i/>
          <w:sz w:val="20"/>
          <w:szCs w:val="20"/>
        </w:rPr>
        <w:t xml:space="preserve"> Mais depuis l’origine de la construction européenne, en 1948, les débats au sujet de sa gouvernance opposent les partisans d’une Europe des Etats, favorables à une coopération sans abandon de souveraineté, et ceux qui défendent une Europe supranationale impliquant des institutions auxquelles les Etats délèguent une large part de leur souveraineté. </w:t>
      </w:r>
      <w:r w:rsidR="006E3977" w:rsidRPr="00B31E6F">
        <w:rPr>
          <w:rFonts w:asciiTheme="majorHAnsi" w:hAnsiTheme="majorHAnsi"/>
          <w:b/>
          <w:i/>
          <w:sz w:val="20"/>
          <w:szCs w:val="20"/>
        </w:rPr>
        <w:t xml:space="preserve">L’Union </w:t>
      </w:r>
      <w:r w:rsidR="003F2A89" w:rsidRPr="00B31E6F">
        <w:rPr>
          <w:rFonts w:asciiTheme="majorHAnsi" w:hAnsiTheme="majorHAnsi"/>
          <w:b/>
          <w:i/>
          <w:sz w:val="20"/>
          <w:szCs w:val="20"/>
        </w:rPr>
        <w:t>Européenne</w:t>
      </w:r>
      <w:r w:rsidRPr="00B31E6F">
        <w:rPr>
          <w:rFonts w:asciiTheme="majorHAnsi" w:hAnsiTheme="majorHAnsi"/>
          <w:b/>
          <w:i/>
          <w:sz w:val="20"/>
          <w:szCs w:val="20"/>
        </w:rPr>
        <w:t>, en 1992,</w:t>
      </w:r>
      <w:r w:rsidR="006E3977" w:rsidRPr="00B31E6F">
        <w:rPr>
          <w:rFonts w:asciiTheme="majorHAnsi" w:hAnsiTheme="majorHAnsi"/>
          <w:b/>
          <w:i/>
          <w:sz w:val="20"/>
          <w:szCs w:val="20"/>
        </w:rPr>
        <w:t xml:space="preserve"> constitue la tentative de rapprochement à la fois économique et politique la plus poussée entre Etats d’un même continent. </w:t>
      </w:r>
    </w:p>
    <w:p w14:paraId="71EEFBB2" w14:textId="1F2D6BF6" w:rsidR="006E3977" w:rsidRDefault="00777D16" w:rsidP="00542C4F">
      <w:pPr>
        <w:rPr>
          <w:rFonts w:asciiTheme="majorHAnsi" w:hAnsiTheme="majorHAnsi"/>
          <w:b/>
          <w:i/>
          <w:color w:val="FF0000"/>
          <w:sz w:val="20"/>
          <w:szCs w:val="20"/>
        </w:rPr>
      </w:pPr>
      <w:r w:rsidRPr="00542C4F">
        <w:rPr>
          <w:rFonts w:asciiTheme="majorHAnsi" w:hAnsiTheme="majorHAnsi"/>
          <w:b/>
          <w:i/>
          <w:color w:val="FF0000"/>
          <w:sz w:val="20"/>
          <w:szCs w:val="20"/>
        </w:rPr>
        <w:t>Problématique : Quels  sont les enjeu</w:t>
      </w:r>
      <w:r w:rsidR="006E3977" w:rsidRPr="00542C4F">
        <w:rPr>
          <w:rFonts w:asciiTheme="majorHAnsi" w:hAnsiTheme="majorHAnsi"/>
          <w:b/>
          <w:i/>
          <w:color w:val="FF0000"/>
          <w:sz w:val="20"/>
          <w:szCs w:val="20"/>
        </w:rPr>
        <w:t>x, les évolutions et les difficulté</w:t>
      </w:r>
      <w:r w:rsidR="003F2A89" w:rsidRPr="00542C4F">
        <w:rPr>
          <w:rFonts w:asciiTheme="majorHAnsi" w:hAnsiTheme="majorHAnsi"/>
          <w:b/>
          <w:i/>
          <w:color w:val="FF0000"/>
          <w:sz w:val="20"/>
          <w:szCs w:val="20"/>
        </w:rPr>
        <w:t>s de la gouvernance européenne depuis le traité de Maastricht( 1992) ?</w:t>
      </w:r>
    </w:p>
    <w:p w14:paraId="4791EE67" w14:textId="77777777" w:rsidR="00B31E6F" w:rsidRDefault="00B31E6F" w:rsidP="00B31E6F">
      <w:pPr>
        <w:pStyle w:val="Pardeliste"/>
        <w:numPr>
          <w:ilvl w:val="0"/>
          <w:numId w:val="21"/>
        </w:numPr>
        <w:spacing w:after="0" w:line="240" w:lineRule="auto"/>
        <w:rPr>
          <w:b/>
          <w:color w:val="FF0000"/>
          <w:sz w:val="20"/>
          <w:szCs w:val="20"/>
        </w:rPr>
      </w:pPr>
      <w:r w:rsidRPr="00CE4255">
        <w:rPr>
          <w:b/>
          <w:color w:val="FF0000"/>
          <w:sz w:val="20"/>
          <w:szCs w:val="20"/>
          <w:u w:val="single"/>
        </w:rPr>
        <w:t>Le reprise de l’élargissement dans le contexte de la guerre froide</w:t>
      </w:r>
      <w:r w:rsidRPr="00CE4255">
        <w:rPr>
          <w:b/>
          <w:color w:val="FF0000"/>
          <w:sz w:val="20"/>
          <w:szCs w:val="20"/>
        </w:rPr>
        <w:t>.</w:t>
      </w:r>
    </w:p>
    <w:p w14:paraId="13AD5F8E" w14:textId="77777777" w:rsidR="0027104B" w:rsidRDefault="0027104B" w:rsidP="0027104B">
      <w:pPr>
        <w:pStyle w:val="Pardeliste"/>
        <w:spacing w:after="0" w:line="240" w:lineRule="auto"/>
        <w:ind w:left="1080"/>
        <w:rPr>
          <w:b/>
          <w:color w:val="FF0000"/>
          <w:sz w:val="20"/>
          <w:szCs w:val="20"/>
        </w:rPr>
      </w:pPr>
    </w:p>
    <w:p w14:paraId="378C0BC2" w14:textId="117A7B4E" w:rsidR="00B31E6F" w:rsidRDefault="00B31E6F" w:rsidP="00B31E6F">
      <w:pPr>
        <w:pStyle w:val="Pardeliste"/>
        <w:widowControl w:val="0"/>
        <w:numPr>
          <w:ilvl w:val="0"/>
          <w:numId w:val="23"/>
        </w:numPr>
        <w:suppressAutoHyphens/>
        <w:overflowPunct w:val="0"/>
        <w:autoSpaceDE w:val="0"/>
        <w:spacing w:after="0"/>
        <w:textAlignment w:val="baseline"/>
        <w:rPr>
          <w:rFonts w:asciiTheme="majorHAnsi" w:hAnsiTheme="majorHAnsi"/>
          <w:b/>
          <w:color w:val="008000"/>
          <w:sz w:val="20"/>
          <w:szCs w:val="20"/>
        </w:rPr>
      </w:pPr>
      <w:r w:rsidRPr="00B31E6F">
        <w:rPr>
          <w:b/>
          <w:color w:val="008F46"/>
          <w:sz w:val="20"/>
          <w:szCs w:val="20"/>
          <w:u w:val="single"/>
        </w:rPr>
        <w:t>Un nouveau contexte</w:t>
      </w:r>
      <w:r w:rsidRPr="00B31E6F">
        <w:rPr>
          <w:rFonts w:asciiTheme="majorHAnsi" w:hAnsiTheme="majorHAnsi"/>
          <w:b/>
          <w:color w:val="008000"/>
          <w:sz w:val="20"/>
          <w:szCs w:val="20"/>
        </w:rPr>
        <w:t xml:space="preserve"> </w:t>
      </w:r>
    </w:p>
    <w:p w14:paraId="655D5151" w14:textId="77777777" w:rsidR="00B31E6F" w:rsidRPr="00B31E6F" w:rsidRDefault="00B31E6F" w:rsidP="00B31E6F">
      <w:pPr>
        <w:pStyle w:val="Pardeliste"/>
        <w:widowControl w:val="0"/>
        <w:suppressAutoHyphens/>
        <w:overflowPunct w:val="0"/>
        <w:autoSpaceDE w:val="0"/>
        <w:spacing w:after="0"/>
        <w:ind w:left="643"/>
        <w:textAlignment w:val="baseline"/>
        <w:rPr>
          <w:rFonts w:asciiTheme="majorHAnsi" w:hAnsiTheme="majorHAnsi"/>
          <w:b/>
          <w:color w:val="008000"/>
          <w:sz w:val="20"/>
          <w:szCs w:val="20"/>
        </w:rPr>
      </w:pPr>
    </w:p>
    <w:p w14:paraId="3E129DFE" w14:textId="122D0A63" w:rsidR="00E34137" w:rsidRPr="00782BE7" w:rsidRDefault="00B31E6F" w:rsidP="002550A2">
      <w:pPr>
        <w:widowControl w:val="0"/>
        <w:autoSpaceDE w:val="0"/>
        <w:autoSpaceDN w:val="0"/>
        <w:adjustRightInd w:val="0"/>
        <w:spacing w:after="240" w:line="240" w:lineRule="auto"/>
        <w:rPr>
          <w:rFonts w:asciiTheme="majorHAnsi" w:eastAsiaTheme="minorEastAsia" w:hAnsiTheme="majorHAnsi" w:cs="Times"/>
          <w:color w:val="000000"/>
          <w:sz w:val="20"/>
          <w:szCs w:val="20"/>
          <w:lang w:eastAsia="fr-FR"/>
        </w:rPr>
      </w:pPr>
      <w:r w:rsidRPr="00542C4F">
        <w:rPr>
          <w:rFonts w:asciiTheme="majorHAnsi" w:hAnsiTheme="majorHAnsi"/>
          <w:sz w:val="20"/>
          <w:szCs w:val="20"/>
        </w:rPr>
        <w:t xml:space="preserve">A partir de 1989 , l’effondrement du bloc soviétique marque un tournant pour la construction européenne qui peut désormais s’étendre à tout le </w:t>
      </w:r>
      <w:r w:rsidRPr="00782BE7">
        <w:rPr>
          <w:rFonts w:asciiTheme="majorHAnsi" w:hAnsiTheme="majorHAnsi"/>
          <w:sz w:val="20"/>
          <w:szCs w:val="20"/>
        </w:rPr>
        <w:t>continent</w:t>
      </w:r>
      <w:r w:rsidR="002550A2">
        <w:rPr>
          <w:rFonts w:asciiTheme="majorHAnsi" w:hAnsiTheme="majorHAnsi"/>
          <w:sz w:val="20"/>
          <w:szCs w:val="20"/>
        </w:rPr>
        <w:t>.</w:t>
      </w:r>
      <w:r w:rsidR="002550A2">
        <w:rPr>
          <w:rFonts w:asciiTheme="majorHAnsi" w:eastAsiaTheme="minorEastAsia" w:hAnsiTheme="majorHAnsi" w:cs="Times"/>
          <w:color w:val="000000"/>
          <w:sz w:val="20"/>
          <w:szCs w:val="20"/>
          <w:lang w:eastAsia="fr-FR"/>
        </w:rPr>
        <w:t>L</w:t>
      </w:r>
      <w:r w:rsidR="00E34137" w:rsidRPr="00782BE7">
        <w:rPr>
          <w:rFonts w:asciiTheme="majorHAnsi" w:eastAsiaTheme="minorEastAsia" w:hAnsiTheme="majorHAnsi" w:cs="Times"/>
          <w:color w:val="000000"/>
          <w:sz w:val="20"/>
          <w:szCs w:val="20"/>
          <w:lang w:eastAsia="fr-FR"/>
        </w:rPr>
        <w:t xml:space="preserve">es Etats appartenant à l’ancien bloc soviétique connaissent une période de flottement, qui peut aller jusqu’à la guerre (comme en ex-yougoslavie). Face à ce morcellement, l’Europe occidentale souhaite renforcer sa stabilité économique et politique- </w:t>
      </w:r>
    </w:p>
    <w:p w14:paraId="12ABDF2E" w14:textId="056D08A6" w:rsidR="00B31E6F" w:rsidRDefault="00E15F2C" w:rsidP="00B31E6F">
      <w:pPr>
        <w:widowControl w:val="0"/>
        <w:suppressAutoHyphens/>
        <w:overflowPunct w:val="0"/>
        <w:autoSpaceDE w:val="0"/>
        <w:spacing w:after="0"/>
        <w:textAlignment w:val="baseline"/>
        <w:rPr>
          <w:rFonts w:asciiTheme="majorHAnsi" w:hAnsiTheme="majorHAnsi"/>
          <w:sz w:val="20"/>
          <w:szCs w:val="20"/>
        </w:rPr>
      </w:pPr>
      <w:r>
        <w:rPr>
          <w:rFonts w:asciiTheme="majorHAnsi" w:hAnsiTheme="majorHAnsi"/>
          <w:sz w:val="20"/>
          <w:szCs w:val="20"/>
        </w:rPr>
        <w:t xml:space="preserve">Le bloc de l’ouest encourage la transition vers la démocratie  libérale et l’économie de marché des anciens pays membres du bloc </w:t>
      </w:r>
      <w:r w:rsidR="002550A2">
        <w:rPr>
          <w:rFonts w:asciiTheme="majorHAnsi" w:hAnsiTheme="majorHAnsi"/>
          <w:sz w:val="20"/>
          <w:szCs w:val="20"/>
        </w:rPr>
        <w:t>soviétique</w:t>
      </w:r>
      <w:r>
        <w:rPr>
          <w:rFonts w:asciiTheme="majorHAnsi" w:hAnsiTheme="majorHAnsi"/>
          <w:sz w:val="20"/>
          <w:szCs w:val="20"/>
        </w:rPr>
        <w:t>. La réunification de l’Allemagne en 1990 entraine un élargissement territorial de la CEE avec l’intégration de l’ancienne RDA soit 18 millions de nouveaux habitants. L’Allemagne représente alors 23 % de la population de la CEE ( contre 19% avant la réunification ).</w:t>
      </w:r>
    </w:p>
    <w:p w14:paraId="6411116E" w14:textId="2B6A2CDE" w:rsidR="0027104B" w:rsidRPr="00B31E6F" w:rsidRDefault="00E15F2C" w:rsidP="0027104B">
      <w:pPr>
        <w:widowControl w:val="0"/>
        <w:autoSpaceDE w:val="0"/>
        <w:autoSpaceDN w:val="0"/>
        <w:adjustRightInd w:val="0"/>
        <w:spacing w:after="0" w:line="240" w:lineRule="auto"/>
        <w:rPr>
          <w:rFonts w:asciiTheme="majorHAnsi" w:hAnsiTheme="majorHAnsi" w:cs="CMUBright-Roman"/>
          <w:sz w:val="20"/>
          <w:szCs w:val="20"/>
          <w:lang w:eastAsia="fr-FR"/>
        </w:rPr>
      </w:pPr>
      <w:r>
        <w:rPr>
          <w:rFonts w:asciiTheme="majorHAnsi" w:hAnsiTheme="majorHAnsi"/>
          <w:sz w:val="20"/>
          <w:szCs w:val="20"/>
        </w:rPr>
        <w:t>L’intégration de PECO ( pays d’Europe centrale et orientale</w:t>
      </w:r>
      <w:r w:rsidR="0027104B">
        <w:rPr>
          <w:rFonts w:asciiTheme="majorHAnsi" w:hAnsiTheme="majorHAnsi"/>
          <w:sz w:val="20"/>
          <w:szCs w:val="20"/>
        </w:rPr>
        <w:t>)</w:t>
      </w:r>
      <w:r>
        <w:rPr>
          <w:rFonts w:asciiTheme="majorHAnsi" w:hAnsiTheme="majorHAnsi"/>
          <w:sz w:val="20"/>
          <w:szCs w:val="20"/>
        </w:rPr>
        <w:t xml:space="preserve"> s’impose peu à peu.</w:t>
      </w:r>
      <w:r w:rsidR="0027104B">
        <w:rPr>
          <w:rFonts w:asciiTheme="majorHAnsi" w:hAnsiTheme="majorHAnsi"/>
          <w:sz w:val="20"/>
          <w:szCs w:val="20"/>
        </w:rPr>
        <w:t xml:space="preserve"> Ils </w:t>
      </w:r>
      <w:r w:rsidR="0027104B" w:rsidRPr="0027104B">
        <w:rPr>
          <w:rFonts w:asciiTheme="majorHAnsi" w:hAnsiTheme="majorHAnsi" w:cs="CMUBright-Roman"/>
          <w:sz w:val="20"/>
          <w:szCs w:val="20"/>
          <w:lang w:eastAsia="fr-FR"/>
        </w:rPr>
        <w:t xml:space="preserve"> </w:t>
      </w:r>
      <w:r w:rsidR="0027104B" w:rsidRPr="00B31E6F">
        <w:rPr>
          <w:rFonts w:asciiTheme="majorHAnsi" w:hAnsiTheme="majorHAnsi" w:cs="CMUBright-Roman"/>
          <w:sz w:val="20"/>
          <w:szCs w:val="20"/>
          <w:lang w:eastAsia="fr-FR"/>
        </w:rPr>
        <w:t>sont alors accueillis au sein du Conseil de l'Europe et ils bénéficient de programmes européens d'aide à la reconversion de leurs économies.</w:t>
      </w:r>
    </w:p>
    <w:p w14:paraId="37BA43A2" w14:textId="477FACD7" w:rsidR="00E15F2C" w:rsidRPr="00542C4F" w:rsidRDefault="00E15F2C" w:rsidP="00B31E6F">
      <w:pPr>
        <w:widowControl w:val="0"/>
        <w:suppressAutoHyphens/>
        <w:overflowPunct w:val="0"/>
        <w:autoSpaceDE w:val="0"/>
        <w:spacing w:after="0"/>
        <w:textAlignment w:val="baseline"/>
        <w:rPr>
          <w:rFonts w:asciiTheme="majorHAnsi" w:hAnsiTheme="majorHAnsi"/>
          <w:sz w:val="20"/>
          <w:szCs w:val="20"/>
        </w:rPr>
      </w:pPr>
    </w:p>
    <w:p w14:paraId="38287F7F" w14:textId="0AC14C57" w:rsidR="00B31E6F" w:rsidRPr="0027104B" w:rsidRDefault="00B31E6F" w:rsidP="0027104B">
      <w:pPr>
        <w:pStyle w:val="Pardeliste"/>
        <w:widowControl w:val="0"/>
        <w:numPr>
          <w:ilvl w:val="0"/>
          <w:numId w:val="23"/>
        </w:numPr>
        <w:autoSpaceDE w:val="0"/>
        <w:autoSpaceDN w:val="0"/>
        <w:adjustRightInd w:val="0"/>
        <w:spacing w:after="0" w:line="240" w:lineRule="auto"/>
        <w:rPr>
          <w:rFonts w:asciiTheme="majorHAnsi" w:hAnsiTheme="majorHAnsi" w:cs="CMUBright-Roman"/>
          <w:b/>
          <w:color w:val="008F46"/>
          <w:sz w:val="20"/>
          <w:szCs w:val="20"/>
          <w:u w:val="single"/>
          <w:lang w:eastAsia="fr-FR"/>
        </w:rPr>
      </w:pPr>
      <w:r w:rsidRPr="0027104B">
        <w:rPr>
          <w:rFonts w:asciiTheme="majorHAnsi" w:hAnsiTheme="majorHAnsi" w:cs="CMUBright-Roman"/>
          <w:b/>
          <w:color w:val="008F46"/>
          <w:sz w:val="20"/>
          <w:szCs w:val="20"/>
          <w:u w:val="single"/>
          <w:lang w:eastAsia="fr-FR"/>
        </w:rPr>
        <w:t xml:space="preserve">La mise en œuvre de l’élargissement </w:t>
      </w:r>
    </w:p>
    <w:p w14:paraId="3BF86D97" w14:textId="77777777" w:rsidR="00B31E6F" w:rsidRDefault="00B31E6F" w:rsidP="00B31E6F">
      <w:pPr>
        <w:widowControl w:val="0"/>
        <w:autoSpaceDE w:val="0"/>
        <w:autoSpaceDN w:val="0"/>
        <w:adjustRightInd w:val="0"/>
        <w:spacing w:after="0" w:line="240" w:lineRule="auto"/>
        <w:rPr>
          <w:rFonts w:asciiTheme="majorHAnsi" w:hAnsiTheme="majorHAnsi"/>
          <w:sz w:val="20"/>
          <w:szCs w:val="20"/>
        </w:rPr>
      </w:pPr>
    </w:p>
    <w:p w14:paraId="18BC39D0" w14:textId="77777777" w:rsidR="00B31E6F" w:rsidRPr="00B31E6F" w:rsidRDefault="00B31E6F" w:rsidP="00B31E6F">
      <w:pPr>
        <w:pStyle w:val="Pardeliste"/>
        <w:widowControl w:val="0"/>
        <w:autoSpaceDE w:val="0"/>
        <w:autoSpaceDN w:val="0"/>
        <w:adjustRightInd w:val="0"/>
        <w:spacing w:after="0" w:line="240" w:lineRule="auto"/>
        <w:ind w:left="643"/>
        <w:rPr>
          <w:rFonts w:asciiTheme="majorHAnsi" w:hAnsiTheme="majorHAnsi" w:cs="CMUBright-Roman"/>
          <w:b/>
          <w:color w:val="008F46"/>
          <w:sz w:val="20"/>
          <w:szCs w:val="20"/>
          <w:u w:val="single"/>
          <w:lang w:eastAsia="fr-FR"/>
        </w:rPr>
      </w:pPr>
    </w:p>
    <w:p w14:paraId="496B1A2F" w14:textId="0D56C892" w:rsidR="00B31E6F" w:rsidRPr="00542C4F" w:rsidRDefault="00B31E6F" w:rsidP="00B31E6F">
      <w:pPr>
        <w:widowControl w:val="0"/>
        <w:autoSpaceDE w:val="0"/>
        <w:autoSpaceDN w:val="0"/>
        <w:adjustRightInd w:val="0"/>
        <w:spacing w:after="0" w:line="240" w:lineRule="auto"/>
        <w:rPr>
          <w:rFonts w:asciiTheme="majorHAnsi" w:hAnsiTheme="majorHAnsi" w:cs="CMUBright-Roman"/>
          <w:sz w:val="20"/>
          <w:szCs w:val="20"/>
          <w:lang w:eastAsia="fr-FR"/>
        </w:rPr>
      </w:pPr>
      <w:r w:rsidRPr="00542C4F">
        <w:rPr>
          <w:rFonts w:asciiTheme="majorHAnsi" w:hAnsiTheme="majorHAnsi" w:cs="CMUBright-Roman"/>
          <w:sz w:val="20"/>
          <w:szCs w:val="20"/>
          <w:lang w:eastAsia="fr-FR"/>
        </w:rPr>
        <w:t>L</w:t>
      </w:r>
      <w:r w:rsidR="0027104B">
        <w:rPr>
          <w:rFonts w:asciiTheme="majorHAnsi" w:hAnsiTheme="majorHAnsi" w:cs="CMUBright-Roman"/>
          <w:sz w:val="20"/>
          <w:szCs w:val="20"/>
          <w:lang w:eastAsia="fr-FR"/>
        </w:rPr>
        <w:t xml:space="preserve">a question de l’intégration des PECO </w:t>
      </w:r>
      <w:r w:rsidRPr="00542C4F">
        <w:rPr>
          <w:rFonts w:asciiTheme="majorHAnsi" w:hAnsiTheme="majorHAnsi" w:cs="CMUBright-Roman"/>
          <w:sz w:val="20"/>
          <w:szCs w:val="20"/>
          <w:lang w:eastAsia="fr-FR"/>
        </w:rPr>
        <w:t xml:space="preserve">au sein de l'UE est posée lors du sommet de </w:t>
      </w:r>
      <w:r w:rsidRPr="00B31E6F">
        <w:rPr>
          <w:rFonts w:asciiTheme="majorHAnsi" w:hAnsiTheme="majorHAnsi" w:cs="CMUBright-Roman"/>
          <w:b/>
          <w:sz w:val="20"/>
          <w:szCs w:val="20"/>
          <w:lang w:eastAsia="fr-FR"/>
        </w:rPr>
        <w:t>Copenhague en juin 1993</w:t>
      </w:r>
      <w:r w:rsidRPr="00542C4F">
        <w:rPr>
          <w:rFonts w:asciiTheme="majorHAnsi" w:hAnsiTheme="majorHAnsi" w:cs="CMUBright-Roman"/>
          <w:sz w:val="20"/>
          <w:szCs w:val="20"/>
          <w:lang w:eastAsia="fr-FR"/>
        </w:rPr>
        <w:t>, au cours duquel sont définis les critères d'adhésion de ces pays :</w:t>
      </w:r>
    </w:p>
    <w:p w14:paraId="2CD85B56" w14:textId="77777777" w:rsidR="00B31E6F" w:rsidRPr="00542C4F" w:rsidRDefault="00B31E6F" w:rsidP="00B31E6F">
      <w:pPr>
        <w:widowControl w:val="0"/>
        <w:numPr>
          <w:ilvl w:val="0"/>
          <w:numId w:val="3"/>
        </w:numPr>
        <w:tabs>
          <w:tab w:val="left" w:pos="220"/>
          <w:tab w:val="left" w:pos="720"/>
        </w:tabs>
        <w:autoSpaceDE w:val="0"/>
        <w:autoSpaceDN w:val="0"/>
        <w:adjustRightInd w:val="0"/>
        <w:spacing w:after="0" w:line="240" w:lineRule="auto"/>
        <w:ind w:hanging="720"/>
        <w:rPr>
          <w:rFonts w:asciiTheme="majorHAnsi" w:hAnsiTheme="majorHAnsi" w:cs="CMUBright-Roman"/>
          <w:sz w:val="20"/>
          <w:szCs w:val="20"/>
          <w:lang w:eastAsia="fr-FR"/>
        </w:rPr>
      </w:pPr>
      <w:r w:rsidRPr="00542C4F">
        <w:rPr>
          <w:rFonts w:asciiTheme="majorHAnsi" w:hAnsiTheme="majorHAnsi" w:cs="CMUBright-Roman"/>
          <w:sz w:val="20"/>
          <w:szCs w:val="20"/>
          <w:lang w:eastAsia="fr-FR"/>
        </w:rPr>
        <w:t xml:space="preserve">Le premier critère est </w:t>
      </w:r>
      <w:r w:rsidRPr="00B31E6F">
        <w:rPr>
          <w:rFonts w:asciiTheme="majorHAnsi" w:hAnsiTheme="majorHAnsi" w:cs="CMUBright-Roman"/>
          <w:i/>
          <w:sz w:val="20"/>
          <w:szCs w:val="20"/>
          <w:lang w:eastAsia="fr-FR"/>
        </w:rPr>
        <w:t>politique :</w:t>
      </w:r>
      <w:r w:rsidRPr="00542C4F">
        <w:rPr>
          <w:rFonts w:asciiTheme="majorHAnsi" w:hAnsiTheme="majorHAnsi" w:cs="CMUBright-Roman"/>
          <w:sz w:val="20"/>
          <w:szCs w:val="20"/>
          <w:lang w:eastAsia="fr-FR"/>
        </w:rPr>
        <w:t xml:space="preserve"> ces pays, pour rentrer dans l'Union européenne, doivent respecter les principes de la </w:t>
      </w:r>
      <w:r w:rsidRPr="00542C4F">
        <w:rPr>
          <w:rFonts w:asciiTheme="majorHAnsi" w:hAnsiTheme="majorHAnsi" w:cs="CMUBright-Bold"/>
          <w:bCs/>
          <w:sz w:val="20"/>
          <w:szCs w:val="20"/>
          <w:lang w:eastAsia="fr-FR"/>
        </w:rPr>
        <w:t>démocratie.</w:t>
      </w:r>
    </w:p>
    <w:p w14:paraId="0334B90E" w14:textId="77777777" w:rsidR="00B31E6F" w:rsidRPr="00542C4F" w:rsidRDefault="00B31E6F" w:rsidP="00B31E6F">
      <w:pPr>
        <w:widowControl w:val="0"/>
        <w:numPr>
          <w:ilvl w:val="0"/>
          <w:numId w:val="3"/>
        </w:numPr>
        <w:tabs>
          <w:tab w:val="left" w:pos="220"/>
          <w:tab w:val="left" w:pos="720"/>
        </w:tabs>
        <w:autoSpaceDE w:val="0"/>
        <w:autoSpaceDN w:val="0"/>
        <w:adjustRightInd w:val="0"/>
        <w:spacing w:after="0" w:line="240" w:lineRule="auto"/>
        <w:ind w:hanging="720"/>
        <w:rPr>
          <w:rFonts w:asciiTheme="majorHAnsi" w:hAnsiTheme="majorHAnsi" w:cs="CMUBright-Roman"/>
          <w:sz w:val="20"/>
          <w:szCs w:val="20"/>
          <w:lang w:eastAsia="fr-FR"/>
        </w:rPr>
      </w:pPr>
      <w:r w:rsidRPr="00542C4F">
        <w:rPr>
          <w:rFonts w:asciiTheme="majorHAnsi" w:hAnsiTheme="majorHAnsi" w:cs="CMUBright-Roman"/>
          <w:sz w:val="20"/>
          <w:szCs w:val="20"/>
          <w:lang w:eastAsia="fr-FR"/>
        </w:rPr>
        <w:t xml:space="preserve">Le second critère </w:t>
      </w:r>
      <w:r w:rsidRPr="00B31E6F">
        <w:rPr>
          <w:rFonts w:asciiTheme="majorHAnsi" w:hAnsiTheme="majorHAnsi" w:cs="CMUBright-Roman"/>
          <w:i/>
          <w:sz w:val="20"/>
          <w:szCs w:val="20"/>
          <w:lang w:eastAsia="fr-FR"/>
        </w:rPr>
        <w:t>est économique</w:t>
      </w:r>
      <w:r w:rsidRPr="00542C4F">
        <w:rPr>
          <w:rFonts w:asciiTheme="majorHAnsi" w:hAnsiTheme="majorHAnsi" w:cs="CMUBright-Roman"/>
          <w:sz w:val="20"/>
          <w:szCs w:val="20"/>
          <w:lang w:eastAsia="fr-FR"/>
        </w:rPr>
        <w:t xml:space="preserve"> : ils doivent adopter des </w:t>
      </w:r>
      <w:r w:rsidRPr="00542C4F">
        <w:rPr>
          <w:rFonts w:asciiTheme="majorHAnsi" w:hAnsiTheme="majorHAnsi" w:cs="CMUBright-Bold"/>
          <w:b/>
          <w:bCs/>
          <w:sz w:val="20"/>
          <w:szCs w:val="20"/>
          <w:lang w:eastAsia="fr-FR"/>
        </w:rPr>
        <w:t>économies de marché.</w:t>
      </w:r>
    </w:p>
    <w:p w14:paraId="18ABF427" w14:textId="7D37F235" w:rsidR="00B31E6F" w:rsidRDefault="00B31E6F" w:rsidP="00B31E6F">
      <w:pPr>
        <w:widowControl w:val="0"/>
        <w:numPr>
          <w:ilvl w:val="0"/>
          <w:numId w:val="3"/>
        </w:numPr>
        <w:tabs>
          <w:tab w:val="left" w:pos="220"/>
          <w:tab w:val="left" w:pos="720"/>
        </w:tabs>
        <w:autoSpaceDE w:val="0"/>
        <w:autoSpaceDN w:val="0"/>
        <w:adjustRightInd w:val="0"/>
        <w:spacing w:after="0" w:line="240" w:lineRule="auto"/>
        <w:ind w:hanging="720"/>
        <w:rPr>
          <w:rFonts w:asciiTheme="majorHAnsi" w:hAnsiTheme="majorHAnsi" w:cs="CMUBright-Roman"/>
          <w:sz w:val="20"/>
          <w:szCs w:val="20"/>
          <w:lang w:eastAsia="fr-FR"/>
        </w:rPr>
      </w:pPr>
      <w:r w:rsidRPr="00542C4F">
        <w:rPr>
          <w:rFonts w:asciiTheme="majorHAnsi" w:hAnsiTheme="majorHAnsi" w:cs="CMUBright-Roman"/>
          <w:sz w:val="20"/>
          <w:szCs w:val="20"/>
          <w:lang w:eastAsia="fr-FR"/>
        </w:rPr>
        <w:t xml:space="preserve">Le troisième critère d'adhésion est </w:t>
      </w:r>
      <w:r w:rsidRPr="00B31E6F">
        <w:rPr>
          <w:rFonts w:asciiTheme="majorHAnsi" w:hAnsiTheme="majorHAnsi" w:cs="CMUBright-Roman"/>
          <w:i/>
          <w:sz w:val="20"/>
          <w:szCs w:val="20"/>
          <w:lang w:eastAsia="fr-FR"/>
        </w:rPr>
        <w:t>juridique</w:t>
      </w:r>
      <w:r>
        <w:rPr>
          <w:rFonts w:asciiTheme="majorHAnsi" w:hAnsiTheme="majorHAnsi" w:cs="CMUBright-Roman"/>
          <w:sz w:val="20"/>
          <w:szCs w:val="20"/>
          <w:u w:val="single"/>
          <w:lang w:eastAsia="fr-FR"/>
        </w:rPr>
        <w:t> </w:t>
      </w:r>
      <w:r>
        <w:rPr>
          <w:rFonts w:asciiTheme="majorHAnsi" w:hAnsiTheme="majorHAnsi" w:cs="CMUBright-Roman"/>
          <w:sz w:val="20"/>
          <w:szCs w:val="20"/>
          <w:lang w:eastAsia="fr-FR"/>
        </w:rPr>
        <w:t xml:space="preserve">: </w:t>
      </w:r>
      <w:r w:rsidRPr="00542C4F">
        <w:rPr>
          <w:rFonts w:asciiTheme="majorHAnsi" w:hAnsiTheme="majorHAnsi" w:cs="CMUBright-Roman"/>
          <w:sz w:val="20"/>
          <w:szCs w:val="20"/>
          <w:lang w:eastAsia="fr-FR"/>
        </w:rPr>
        <w:t xml:space="preserve"> il stipule que les PECO doivent accepter </w:t>
      </w:r>
      <w:r w:rsidRPr="00542C4F">
        <w:rPr>
          <w:rFonts w:asciiTheme="majorHAnsi" w:hAnsiTheme="majorHAnsi" w:cs="CMUBright-Bold"/>
          <w:b/>
          <w:bCs/>
          <w:sz w:val="20"/>
          <w:szCs w:val="20"/>
          <w:lang w:eastAsia="fr-FR"/>
        </w:rPr>
        <w:t>les acquis communautaires</w:t>
      </w:r>
      <w:r w:rsidRPr="00542C4F">
        <w:rPr>
          <w:rFonts w:asciiTheme="majorHAnsi" w:hAnsiTheme="majorHAnsi" w:cs="CMUBright-Roman"/>
          <w:sz w:val="20"/>
          <w:szCs w:val="20"/>
          <w:lang w:eastAsia="fr-FR"/>
        </w:rPr>
        <w:t>, c'est-à-dire l'ensemble des règles prises au sein de l'UE avant leur adhésion.</w:t>
      </w:r>
    </w:p>
    <w:p w14:paraId="5F1FB66C" w14:textId="77777777" w:rsidR="0027104B" w:rsidRDefault="0027104B" w:rsidP="0027104B">
      <w:pPr>
        <w:widowControl w:val="0"/>
        <w:autoSpaceDE w:val="0"/>
        <w:autoSpaceDN w:val="0"/>
        <w:adjustRightInd w:val="0"/>
        <w:spacing w:after="0" w:line="240" w:lineRule="auto"/>
        <w:rPr>
          <w:rFonts w:asciiTheme="majorHAnsi" w:hAnsiTheme="majorHAnsi"/>
          <w:sz w:val="20"/>
          <w:szCs w:val="20"/>
        </w:rPr>
      </w:pPr>
    </w:p>
    <w:p w14:paraId="342F84B3" w14:textId="1CD432CB" w:rsidR="0027104B" w:rsidRPr="0027104B" w:rsidRDefault="0027104B" w:rsidP="0027104B">
      <w:pPr>
        <w:widowControl w:val="0"/>
        <w:autoSpaceDE w:val="0"/>
        <w:autoSpaceDN w:val="0"/>
        <w:adjustRightInd w:val="0"/>
        <w:spacing w:after="0" w:line="240" w:lineRule="auto"/>
        <w:rPr>
          <w:rFonts w:asciiTheme="majorHAnsi" w:hAnsiTheme="majorHAnsi"/>
          <w:sz w:val="20"/>
          <w:szCs w:val="20"/>
        </w:rPr>
      </w:pPr>
      <w:r>
        <w:rPr>
          <w:rFonts w:asciiTheme="majorHAnsi" w:hAnsiTheme="majorHAnsi"/>
          <w:sz w:val="20"/>
          <w:szCs w:val="20"/>
        </w:rPr>
        <w:t xml:space="preserve"> L’UE </w:t>
      </w:r>
      <w:r w:rsidRPr="0027104B">
        <w:rPr>
          <w:rFonts w:asciiTheme="majorHAnsi" w:hAnsiTheme="majorHAnsi"/>
          <w:sz w:val="20"/>
          <w:szCs w:val="20"/>
        </w:rPr>
        <w:t xml:space="preserve"> passe ainsi de 15 à 28 membres entre 1992 et 2013, soit presque un doublement : En 1995 l’UE accueille l’Autriche, la Suède et la Finlande.</w:t>
      </w:r>
      <w:r>
        <w:rPr>
          <w:rFonts w:asciiTheme="majorHAnsi" w:hAnsiTheme="majorHAnsi"/>
          <w:sz w:val="20"/>
          <w:szCs w:val="20"/>
        </w:rPr>
        <w:t xml:space="preserve"> </w:t>
      </w:r>
      <w:r w:rsidRPr="0027104B">
        <w:rPr>
          <w:rFonts w:asciiTheme="majorHAnsi" w:hAnsiTheme="majorHAnsi"/>
          <w:sz w:val="20"/>
          <w:szCs w:val="20"/>
        </w:rPr>
        <w:t>En 2004, 10 pays d’Europe de l’Est adhèrent à l’UE (ex : Chypre, Malte, Est</w:t>
      </w:r>
      <w:r>
        <w:rPr>
          <w:rFonts w:asciiTheme="majorHAnsi" w:hAnsiTheme="majorHAnsi"/>
          <w:sz w:val="20"/>
          <w:szCs w:val="20"/>
        </w:rPr>
        <w:t>onie, Pologne</w:t>
      </w:r>
      <w:r w:rsidRPr="0027104B">
        <w:rPr>
          <w:rFonts w:asciiTheme="majorHAnsi" w:hAnsiTheme="majorHAnsi"/>
          <w:sz w:val="20"/>
          <w:szCs w:val="20"/>
        </w:rPr>
        <w:t>…) ; la Roumanie et la Bulgarie sont entrées dans l’UE en 2007, la Croatie en 2013.</w:t>
      </w:r>
    </w:p>
    <w:p w14:paraId="1E028B97" w14:textId="77777777" w:rsidR="0027104B" w:rsidRPr="0027104B" w:rsidRDefault="0027104B" w:rsidP="0027104B">
      <w:pPr>
        <w:widowControl w:val="0"/>
        <w:autoSpaceDE w:val="0"/>
        <w:autoSpaceDN w:val="0"/>
        <w:adjustRightInd w:val="0"/>
        <w:spacing w:after="0" w:line="240" w:lineRule="auto"/>
        <w:ind w:left="360"/>
        <w:rPr>
          <w:rFonts w:asciiTheme="majorHAnsi" w:hAnsiTheme="majorHAnsi" w:cs="CMUBright-Roman"/>
          <w:b/>
          <w:color w:val="008F46"/>
          <w:sz w:val="20"/>
          <w:szCs w:val="20"/>
          <w:u w:val="single"/>
          <w:lang w:eastAsia="fr-FR"/>
        </w:rPr>
      </w:pPr>
    </w:p>
    <w:p w14:paraId="71882769" w14:textId="6CE9DDFB" w:rsidR="00B31E6F" w:rsidRPr="0027104B" w:rsidRDefault="00B31E6F" w:rsidP="00B31E6F">
      <w:pPr>
        <w:widowControl w:val="0"/>
        <w:autoSpaceDE w:val="0"/>
        <w:autoSpaceDN w:val="0"/>
        <w:adjustRightInd w:val="0"/>
        <w:spacing w:after="0" w:line="240" w:lineRule="auto"/>
        <w:rPr>
          <w:rFonts w:asciiTheme="majorHAnsi" w:hAnsiTheme="majorHAnsi"/>
          <w:sz w:val="20"/>
          <w:szCs w:val="20"/>
        </w:rPr>
      </w:pPr>
      <w:r w:rsidRPr="00542C4F">
        <w:rPr>
          <w:rFonts w:asciiTheme="majorHAnsi" w:hAnsiTheme="majorHAnsi" w:cs="CMUBright-Roman"/>
          <w:sz w:val="20"/>
          <w:szCs w:val="20"/>
          <w:lang w:eastAsia="fr-FR"/>
        </w:rPr>
        <w:t xml:space="preserve">En 2015, l'Union européenne est composée de </w:t>
      </w:r>
      <w:r w:rsidRPr="00542C4F">
        <w:rPr>
          <w:rFonts w:asciiTheme="majorHAnsi" w:hAnsiTheme="majorHAnsi" w:cs="CMUBright-Bold"/>
          <w:b/>
          <w:bCs/>
          <w:sz w:val="20"/>
          <w:szCs w:val="20"/>
          <w:lang w:eastAsia="fr-FR"/>
        </w:rPr>
        <w:t xml:space="preserve">28 membres, </w:t>
      </w:r>
      <w:r w:rsidRPr="00542C4F">
        <w:rPr>
          <w:rFonts w:asciiTheme="majorHAnsi" w:hAnsiTheme="majorHAnsi" w:cs="CMUBright-Roman"/>
          <w:sz w:val="20"/>
          <w:szCs w:val="20"/>
          <w:lang w:eastAsia="fr-FR"/>
        </w:rPr>
        <w:t xml:space="preserve">compte </w:t>
      </w:r>
      <w:r w:rsidRPr="00542C4F">
        <w:rPr>
          <w:rFonts w:asciiTheme="majorHAnsi" w:hAnsiTheme="majorHAnsi" w:cs="CMUBright-Bold"/>
          <w:b/>
          <w:bCs/>
          <w:sz w:val="20"/>
          <w:szCs w:val="20"/>
          <w:lang w:eastAsia="fr-FR"/>
        </w:rPr>
        <w:t xml:space="preserve">510 millions d'habitants </w:t>
      </w:r>
      <w:r w:rsidRPr="00542C4F">
        <w:rPr>
          <w:rFonts w:asciiTheme="majorHAnsi" w:hAnsiTheme="majorHAnsi" w:cs="CMUBright-Roman"/>
          <w:sz w:val="20"/>
          <w:szCs w:val="20"/>
          <w:lang w:eastAsia="fr-FR"/>
        </w:rPr>
        <w:t>et</w:t>
      </w:r>
      <w:r w:rsidRPr="00542C4F">
        <w:rPr>
          <w:rFonts w:asciiTheme="majorHAnsi" w:hAnsiTheme="majorHAnsi" w:cs="CMUBright-Bold"/>
          <w:b/>
          <w:bCs/>
          <w:sz w:val="20"/>
          <w:szCs w:val="20"/>
          <w:lang w:eastAsia="fr-FR"/>
        </w:rPr>
        <w:t xml:space="preserve"> 19 pays utilisent l'Euro.</w:t>
      </w:r>
    </w:p>
    <w:p w14:paraId="0F5CEAA6" w14:textId="77777777" w:rsidR="00B31E6F" w:rsidRPr="00542C4F" w:rsidRDefault="00B31E6F" w:rsidP="00B31E6F">
      <w:pPr>
        <w:widowControl w:val="0"/>
        <w:autoSpaceDE w:val="0"/>
        <w:autoSpaceDN w:val="0"/>
        <w:adjustRightInd w:val="0"/>
        <w:spacing w:after="0" w:line="240" w:lineRule="auto"/>
        <w:rPr>
          <w:rFonts w:asciiTheme="majorHAnsi" w:hAnsiTheme="majorHAnsi" w:cs="Lato-Light"/>
          <w:sz w:val="20"/>
          <w:szCs w:val="20"/>
          <w:lang w:eastAsia="fr-FR"/>
        </w:rPr>
      </w:pPr>
    </w:p>
    <w:p w14:paraId="28BF0A2A" w14:textId="77777777" w:rsidR="00B31E6F" w:rsidRDefault="00B31E6F" w:rsidP="00B31E6F">
      <w:pPr>
        <w:pStyle w:val="Pardeliste"/>
        <w:spacing w:after="0" w:line="240" w:lineRule="auto"/>
        <w:rPr>
          <w:b/>
          <w:color w:val="008F46"/>
          <w:sz w:val="20"/>
          <w:szCs w:val="20"/>
          <w:u w:val="single"/>
        </w:rPr>
      </w:pPr>
    </w:p>
    <w:p w14:paraId="58590320" w14:textId="6D454B89" w:rsidR="00B31E6F" w:rsidRPr="00B31E6F" w:rsidRDefault="00B31E6F" w:rsidP="00B31E6F">
      <w:pPr>
        <w:pStyle w:val="Pardeliste"/>
        <w:numPr>
          <w:ilvl w:val="0"/>
          <w:numId w:val="21"/>
        </w:numPr>
        <w:spacing w:after="0" w:line="240" w:lineRule="auto"/>
        <w:rPr>
          <w:b/>
          <w:color w:val="FF0000"/>
          <w:sz w:val="20"/>
          <w:szCs w:val="20"/>
          <w:u w:val="single"/>
        </w:rPr>
      </w:pPr>
      <w:r w:rsidRPr="00B31E6F">
        <w:rPr>
          <w:b/>
          <w:color w:val="FF0000"/>
          <w:sz w:val="20"/>
          <w:szCs w:val="20"/>
          <w:u w:val="single"/>
        </w:rPr>
        <w:t>L’approfondissement de l’économie au politique</w:t>
      </w:r>
    </w:p>
    <w:p w14:paraId="478926AD" w14:textId="77777777" w:rsidR="00D9778D" w:rsidRDefault="00D9778D" w:rsidP="00D9778D">
      <w:pPr>
        <w:spacing w:after="0" w:line="240" w:lineRule="auto"/>
        <w:rPr>
          <w:b/>
          <w:color w:val="FF0000"/>
          <w:sz w:val="20"/>
          <w:szCs w:val="20"/>
          <w:u w:val="single"/>
        </w:rPr>
      </w:pPr>
    </w:p>
    <w:p w14:paraId="63701842" w14:textId="5C5296ED" w:rsidR="00B31E6F" w:rsidRPr="00D9778D" w:rsidRDefault="00D9778D" w:rsidP="00D9778D">
      <w:pPr>
        <w:pStyle w:val="Pardeliste"/>
        <w:spacing w:after="0" w:line="240" w:lineRule="auto"/>
        <w:rPr>
          <w:b/>
          <w:color w:val="008F46"/>
          <w:sz w:val="20"/>
          <w:szCs w:val="20"/>
          <w:u w:val="single"/>
        </w:rPr>
      </w:pPr>
      <w:r>
        <w:rPr>
          <w:b/>
          <w:color w:val="008F46"/>
          <w:sz w:val="20"/>
          <w:szCs w:val="20"/>
          <w:u w:val="single"/>
        </w:rPr>
        <w:t xml:space="preserve">A- </w:t>
      </w:r>
      <w:r w:rsidR="00B31E6F" w:rsidRPr="00D9778D">
        <w:rPr>
          <w:b/>
          <w:color w:val="008F46"/>
          <w:sz w:val="20"/>
          <w:szCs w:val="20"/>
          <w:u w:val="single"/>
        </w:rPr>
        <w:t>Le traité de Maastricht, un approfondissement politique</w:t>
      </w:r>
    </w:p>
    <w:p w14:paraId="207B053E" w14:textId="77777777" w:rsidR="00B31E6F" w:rsidRDefault="00B31E6F" w:rsidP="00B31E6F">
      <w:pPr>
        <w:spacing w:after="0" w:line="240" w:lineRule="auto"/>
        <w:rPr>
          <w:b/>
          <w:color w:val="008F46"/>
          <w:sz w:val="20"/>
          <w:szCs w:val="20"/>
          <w:u w:val="single"/>
        </w:rPr>
      </w:pPr>
    </w:p>
    <w:p w14:paraId="01110291" w14:textId="7C56546A" w:rsidR="00B31E6F" w:rsidRDefault="00B31E6F" w:rsidP="0027104B">
      <w:pPr>
        <w:pStyle w:val="Pardeliste"/>
        <w:numPr>
          <w:ilvl w:val="0"/>
          <w:numId w:val="30"/>
        </w:numPr>
        <w:spacing w:after="0"/>
        <w:rPr>
          <w:rFonts w:asciiTheme="majorHAnsi" w:hAnsiTheme="majorHAnsi"/>
          <w:sz w:val="20"/>
          <w:szCs w:val="20"/>
        </w:rPr>
      </w:pPr>
      <w:r w:rsidRPr="0027104B">
        <w:rPr>
          <w:rFonts w:asciiTheme="majorHAnsi" w:hAnsiTheme="majorHAnsi"/>
          <w:sz w:val="20"/>
          <w:szCs w:val="20"/>
        </w:rPr>
        <w:t>Le traité de Maastricht, signé le 07 février 1992 approfondit la construction européenne en combinant les appro</w:t>
      </w:r>
      <w:r w:rsidR="0027104B">
        <w:rPr>
          <w:rFonts w:asciiTheme="majorHAnsi" w:hAnsiTheme="majorHAnsi"/>
          <w:sz w:val="20"/>
          <w:szCs w:val="20"/>
        </w:rPr>
        <w:t xml:space="preserve">ches économiques et politiques et transforme la CEE eu Union européenne. </w:t>
      </w:r>
      <w:r w:rsidRPr="0027104B">
        <w:rPr>
          <w:rFonts w:asciiTheme="majorHAnsi" w:hAnsiTheme="majorHAnsi"/>
          <w:sz w:val="20"/>
          <w:szCs w:val="20"/>
        </w:rPr>
        <w:t>Il repose sur 3 piliers complémentaires :</w:t>
      </w:r>
    </w:p>
    <w:p w14:paraId="16F16956" w14:textId="77777777" w:rsidR="0027104B" w:rsidRPr="0027104B" w:rsidRDefault="0027104B" w:rsidP="0027104B">
      <w:pPr>
        <w:spacing w:after="0"/>
        <w:ind w:left="360"/>
        <w:rPr>
          <w:rFonts w:asciiTheme="majorHAnsi" w:hAnsiTheme="majorHAnsi"/>
          <w:sz w:val="20"/>
          <w:szCs w:val="20"/>
        </w:rPr>
      </w:pPr>
    </w:p>
    <w:p w14:paraId="049C33B2" w14:textId="77777777" w:rsidR="00B31E6F" w:rsidRPr="00542C4F" w:rsidRDefault="00B31E6F" w:rsidP="00B31E6F">
      <w:pPr>
        <w:pStyle w:val="Paragraphedeliste1"/>
        <w:numPr>
          <w:ilvl w:val="0"/>
          <w:numId w:val="1"/>
        </w:numPr>
        <w:spacing w:after="0"/>
        <w:rPr>
          <w:rFonts w:asciiTheme="majorHAnsi" w:hAnsiTheme="majorHAnsi"/>
          <w:sz w:val="20"/>
        </w:rPr>
      </w:pPr>
      <w:r w:rsidRPr="00542C4F">
        <w:rPr>
          <w:rFonts w:asciiTheme="majorHAnsi" w:hAnsiTheme="majorHAnsi"/>
          <w:sz w:val="20"/>
        </w:rPr>
        <w:lastRenderedPageBreak/>
        <w:t>Economique avec la réalisation de l'union économique et monétaire (UEM) parachevée par la création d'une monnaie unique, l'euro, garanti par le respect de « critères de convergence » stricts et géré par une banque centrale européenne (BCE) et politique avec  reconnaissance de symboles de l'Europe (drapeau à 12 étoiles, hymne européen),  création d'une citoyenneté européenne qui permet à tout citoyen de l'Union européenne de circuler librement à travers l'ensemble des pays de la zone, d'adresser des pétitions, de voter et d'être éligible aux élections locales et européennes ;</w:t>
      </w:r>
    </w:p>
    <w:p w14:paraId="3053A08D" w14:textId="25B17BCF" w:rsidR="00E34137" w:rsidRPr="00E34137" w:rsidRDefault="00E34137" w:rsidP="00E34137">
      <w:pPr>
        <w:widowControl w:val="0"/>
        <w:numPr>
          <w:ilvl w:val="0"/>
          <w:numId w:val="31"/>
        </w:numPr>
        <w:tabs>
          <w:tab w:val="left" w:pos="220"/>
          <w:tab w:val="left" w:pos="720"/>
        </w:tabs>
        <w:autoSpaceDE w:val="0"/>
        <w:autoSpaceDN w:val="0"/>
        <w:adjustRightInd w:val="0"/>
        <w:spacing w:after="0" w:line="240" w:lineRule="auto"/>
        <w:ind w:hanging="720"/>
        <w:rPr>
          <w:rFonts w:asciiTheme="majorHAnsi" w:eastAsiaTheme="minorEastAsia" w:hAnsiTheme="majorHAnsi" w:cs="Times"/>
          <w:color w:val="000000"/>
          <w:sz w:val="20"/>
          <w:szCs w:val="20"/>
          <w:lang w:eastAsia="fr-FR"/>
        </w:rPr>
      </w:pPr>
      <w:r>
        <w:rPr>
          <w:rFonts w:asciiTheme="majorHAnsi" w:hAnsiTheme="majorHAnsi"/>
          <w:sz w:val="20"/>
        </w:rPr>
        <w:t xml:space="preserve">-  </w:t>
      </w:r>
      <w:r w:rsidR="00B31E6F" w:rsidRPr="00542C4F">
        <w:rPr>
          <w:rFonts w:asciiTheme="majorHAnsi" w:hAnsiTheme="majorHAnsi"/>
          <w:sz w:val="20"/>
        </w:rPr>
        <w:t>politique étrangère et de sécurité</w:t>
      </w:r>
      <w:r w:rsidR="00D83806">
        <w:rPr>
          <w:rFonts w:asciiTheme="majorHAnsi" w:hAnsiTheme="majorHAnsi"/>
          <w:sz w:val="20"/>
        </w:rPr>
        <w:t xml:space="preserve"> commune ( </w:t>
      </w:r>
      <w:r>
        <w:rPr>
          <w:rFonts w:asciiTheme="majorHAnsi" w:hAnsiTheme="majorHAnsi"/>
          <w:sz w:val="20"/>
        </w:rPr>
        <w:t>PESC)</w:t>
      </w:r>
      <w:r w:rsidR="00B31E6F" w:rsidRPr="00542C4F">
        <w:rPr>
          <w:rFonts w:asciiTheme="majorHAnsi" w:hAnsiTheme="majorHAnsi"/>
          <w:sz w:val="20"/>
        </w:rPr>
        <w:t xml:space="preserve"> avec la nomination d'un haut représent</w:t>
      </w:r>
      <w:r w:rsidR="0027104B">
        <w:rPr>
          <w:rFonts w:asciiTheme="majorHAnsi" w:hAnsiTheme="majorHAnsi"/>
          <w:sz w:val="20"/>
        </w:rPr>
        <w:t>ant chargé de représenter l'UE</w:t>
      </w:r>
      <w:r>
        <w:rPr>
          <w:rFonts w:asciiTheme="majorHAnsi" w:hAnsiTheme="majorHAnsi"/>
          <w:sz w:val="20"/>
        </w:rPr>
        <w:t xml:space="preserve"> </w:t>
      </w:r>
      <w:r w:rsidRPr="00E34137">
        <w:rPr>
          <w:rFonts w:asciiTheme="majorHAnsi" w:eastAsiaTheme="minorEastAsia" w:hAnsiTheme="majorHAnsi" w:cs="Times"/>
          <w:color w:val="000000"/>
          <w:sz w:val="20"/>
          <w:szCs w:val="20"/>
          <w:lang w:eastAsia="fr-FR"/>
        </w:rPr>
        <w:t xml:space="preserve">qui prévoit une politique étrangère </w:t>
      </w:r>
      <w:r w:rsidRPr="00E34137">
        <w:rPr>
          <w:rFonts w:ascii="MS Mincho" w:eastAsia="MS Mincho" w:hAnsi="MS Mincho" w:cs="MS Mincho"/>
          <w:color w:val="000000"/>
          <w:sz w:val="20"/>
          <w:szCs w:val="20"/>
          <w:lang w:eastAsia="fr-FR"/>
        </w:rPr>
        <w:t> </w:t>
      </w:r>
      <w:r w:rsidRPr="00E34137">
        <w:rPr>
          <w:rFonts w:asciiTheme="majorHAnsi" w:eastAsiaTheme="minorEastAsia" w:hAnsiTheme="majorHAnsi" w:cs="Times"/>
          <w:color w:val="000000"/>
          <w:sz w:val="20"/>
          <w:szCs w:val="20"/>
          <w:lang w:eastAsia="fr-FR"/>
        </w:rPr>
        <w:t>européenne et</w:t>
      </w:r>
      <w:r>
        <w:rPr>
          <w:rFonts w:asciiTheme="majorHAnsi" w:eastAsiaTheme="minorEastAsia" w:hAnsiTheme="majorHAnsi" w:cs="Times"/>
          <w:color w:val="000000"/>
          <w:sz w:val="20"/>
          <w:szCs w:val="20"/>
          <w:lang w:eastAsia="fr-FR"/>
        </w:rPr>
        <w:t xml:space="preserve"> </w:t>
      </w:r>
      <w:r w:rsidRPr="00E34137">
        <w:rPr>
          <w:rFonts w:asciiTheme="majorHAnsi" w:eastAsiaTheme="minorEastAsia" w:hAnsiTheme="majorHAnsi" w:cs="Times"/>
          <w:color w:val="000000"/>
          <w:sz w:val="20"/>
          <w:szCs w:val="20"/>
          <w:lang w:eastAsia="fr-FR"/>
        </w:rPr>
        <w:t xml:space="preserve">ouvre la possibilité d’une armée européenne commune (dès 1992 création d’un </w:t>
      </w:r>
      <w:r w:rsidRPr="00E34137">
        <w:rPr>
          <w:rFonts w:ascii="MS Mincho" w:eastAsia="MS Mincho" w:hAnsi="MS Mincho" w:cs="MS Mincho"/>
          <w:color w:val="000000"/>
          <w:sz w:val="20"/>
          <w:szCs w:val="20"/>
          <w:lang w:eastAsia="fr-FR"/>
        </w:rPr>
        <w:t> </w:t>
      </w:r>
      <w:r w:rsidRPr="00E34137">
        <w:rPr>
          <w:rFonts w:asciiTheme="majorHAnsi" w:eastAsiaTheme="minorEastAsia" w:hAnsiTheme="majorHAnsi" w:cs="Times"/>
          <w:color w:val="000000"/>
          <w:sz w:val="20"/>
          <w:szCs w:val="20"/>
          <w:lang w:eastAsia="fr-FR"/>
        </w:rPr>
        <w:t xml:space="preserve">Eurocorps « symbolique » déclaré opérationnel en 1995) </w:t>
      </w:r>
      <w:r w:rsidRPr="00E34137">
        <w:rPr>
          <w:rFonts w:ascii="MS Mincho" w:eastAsia="MS Mincho" w:hAnsi="MS Mincho" w:cs="MS Mincho"/>
          <w:color w:val="000000"/>
          <w:sz w:val="20"/>
          <w:szCs w:val="20"/>
          <w:lang w:eastAsia="fr-FR"/>
        </w:rPr>
        <w:t> </w:t>
      </w:r>
    </w:p>
    <w:p w14:paraId="7777DDEC" w14:textId="2FF07128" w:rsidR="00B31E6F" w:rsidRPr="00542C4F" w:rsidRDefault="00B31E6F" w:rsidP="00E34137">
      <w:pPr>
        <w:pStyle w:val="Paragraphedeliste1"/>
        <w:spacing w:after="0"/>
        <w:rPr>
          <w:rFonts w:asciiTheme="majorHAnsi" w:hAnsiTheme="majorHAnsi"/>
          <w:sz w:val="20"/>
        </w:rPr>
      </w:pPr>
    </w:p>
    <w:p w14:paraId="4C899D27" w14:textId="09AC0E4E" w:rsidR="00B31E6F" w:rsidRPr="00542C4F" w:rsidRDefault="0027104B" w:rsidP="00B31E6F">
      <w:pPr>
        <w:widowControl w:val="0"/>
        <w:numPr>
          <w:ilvl w:val="0"/>
          <w:numId w:val="1"/>
        </w:numPr>
        <w:suppressAutoHyphens/>
        <w:overflowPunct w:val="0"/>
        <w:autoSpaceDE w:val="0"/>
        <w:spacing w:after="0"/>
        <w:textAlignment w:val="baseline"/>
        <w:rPr>
          <w:rFonts w:asciiTheme="majorHAnsi" w:hAnsiTheme="majorHAnsi"/>
          <w:sz w:val="20"/>
          <w:szCs w:val="20"/>
        </w:rPr>
      </w:pPr>
      <w:r w:rsidRPr="00542C4F">
        <w:rPr>
          <w:rFonts w:asciiTheme="majorHAnsi" w:hAnsiTheme="majorHAnsi"/>
          <w:sz w:val="20"/>
          <w:szCs w:val="20"/>
        </w:rPr>
        <w:t>Coopération</w:t>
      </w:r>
      <w:r w:rsidR="00B31E6F" w:rsidRPr="00542C4F">
        <w:rPr>
          <w:rFonts w:asciiTheme="majorHAnsi" w:hAnsiTheme="majorHAnsi"/>
          <w:sz w:val="20"/>
          <w:szCs w:val="20"/>
        </w:rPr>
        <w:t xml:space="preserve"> policière et judiciaire pour répondre aux problèmes posés par la libre-circulation des personnes au sein du grand marché.</w:t>
      </w:r>
    </w:p>
    <w:p w14:paraId="0C7091F8" w14:textId="1B5F6FF1" w:rsidR="00D9778D" w:rsidRPr="0027104B" w:rsidRDefault="00D9778D" w:rsidP="0027104B">
      <w:pPr>
        <w:pStyle w:val="Pardeliste"/>
        <w:widowControl w:val="0"/>
        <w:numPr>
          <w:ilvl w:val="0"/>
          <w:numId w:val="30"/>
        </w:numPr>
        <w:tabs>
          <w:tab w:val="left" w:pos="220"/>
          <w:tab w:val="left" w:pos="720"/>
        </w:tabs>
        <w:autoSpaceDE w:val="0"/>
        <w:autoSpaceDN w:val="0"/>
        <w:adjustRightInd w:val="0"/>
        <w:spacing w:after="0" w:line="240" w:lineRule="auto"/>
        <w:rPr>
          <w:rFonts w:asciiTheme="majorHAnsi" w:hAnsiTheme="majorHAnsi" w:cs="CMUBright-Roman"/>
          <w:sz w:val="20"/>
          <w:szCs w:val="20"/>
          <w:lang w:eastAsia="fr-FR"/>
        </w:rPr>
      </w:pPr>
      <w:r w:rsidRPr="0027104B">
        <w:rPr>
          <w:rFonts w:asciiTheme="majorHAnsi" w:hAnsiTheme="majorHAnsi"/>
          <w:sz w:val="20"/>
          <w:szCs w:val="20"/>
        </w:rPr>
        <w:t>En 1995 entrent en vigueur les accords de Schengen (Luxembourg) qui permettent une libre circulation des citoyens entre les pays des Etats signataires (ex : entre la France et la Belgique).</w:t>
      </w:r>
    </w:p>
    <w:p w14:paraId="403A65C8" w14:textId="77777777" w:rsidR="00D9778D" w:rsidRDefault="00D9778D" w:rsidP="00D9778D">
      <w:pPr>
        <w:widowControl w:val="0"/>
        <w:tabs>
          <w:tab w:val="left" w:pos="220"/>
          <w:tab w:val="left" w:pos="720"/>
        </w:tabs>
        <w:autoSpaceDE w:val="0"/>
        <w:autoSpaceDN w:val="0"/>
        <w:adjustRightInd w:val="0"/>
        <w:spacing w:after="0" w:line="240" w:lineRule="auto"/>
        <w:rPr>
          <w:rFonts w:asciiTheme="majorHAnsi" w:hAnsiTheme="majorHAnsi"/>
          <w:sz w:val="20"/>
          <w:szCs w:val="20"/>
        </w:rPr>
      </w:pPr>
    </w:p>
    <w:p w14:paraId="309DD2FA" w14:textId="335794EE" w:rsidR="00B31E6F" w:rsidRDefault="00D9778D" w:rsidP="00D9778D">
      <w:pPr>
        <w:pStyle w:val="Pardeliste"/>
        <w:ind w:left="643"/>
        <w:rPr>
          <w:b/>
          <w:color w:val="008F46"/>
          <w:sz w:val="20"/>
          <w:szCs w:val="20"/>
          <w:u w:val="single"/>
        </w:rPr>
      </w:pPr>
      <w:r>
        <w:rPr>
          <w:b/>
          <w:color w:val="008F46"/>
          <w:sz w:val="20"/>
          <w:szCs w:val="20"/>
          <w:u w:val="single"/>
        </w:rPr>
        <w:t>B-</w:t>
      </w:r>
      <w:r w:rsidRPr="00D9778D">
        <w:rPr>
          <w:b/>
          <w:color w:val="008F46"/>
          <w:sz w:val="20"/>
          <w:szCs w:val="20"/>
          <w:u w:val="single"/>
        </w:rPr>
        <w:t>Une ratification difficile</w:t>
      </w:r>
    </w:p>
    <w:p w14:paraId="4BF86D38" w14:textId="2692546F" w:rsidR="0027104B" w:rsidRPr="00532978" w:rsidRDefault="0027104B" w:rsidP="0027104B">
      <w:pPr>
        <w:rPr>
          <w:rFonts w:asciiTheme="majorHAnsi" w:hAnsiTheme="majorHAnsi"/>
          <w:color w:val="000000" w:themeColor="text1"/>
          <w:sz w:val="20"/>
          <w:szCs w:val="20"/>
        </w:rPr>
      </w:pPr>
      <w:r w:rsidRPr="00532978">
        <w:rPr>
          <w:rFonts w:asciiTheme="majorHAnsi" w:hAnsiTheme="majorHAnsi"/>
          <w:color w:val="000000" w:themeColor="text1"/>
          <w:sz w:val="20"/>
          <w:szCs w:val="20"/>
        </w:rPr>
        <w:t>La ratification du traité de Maastricht a été difficile. Par exemple les français approuvent ce traité avec une faible majorité de 51,04</w:t>
      </w:r>
      <w:r w:rsidR="00532978" w:rsidRPr="00532978">
        <w:rPr>
          <w:rFonts w:asciiTheme="majorHAnsi" w:hAnsiTheme="majorHAnsi"/>
          <w:color w:val="000000" w:themeColor="text1"/>
          <w:sz w:val="20"/>
          <w:szCs w:val="20"/>
        </w:rPr>
        <w:t>% en septembre 1992.</w:t>
      </w:r>
    </w:p>
    <w:p w14:paraId="6C90A900" w14:textId="28D09ED9" w:rsidR="00D9778D" w:rsidRPr="00542C4F" w:rsidRDefault="00D9778D" w:rsidP="00D9778D">
      <w:pPr>
        <w:rPr>
          <w:rFonts w:asciiTheme="majorHAnsi" w:hAnsiTheme="majorHAnsi"/>
          <w:sz w:val="20"/>
          <w:szCs w:val="20"/>
        </w:rPr>
      </w:pPr>
      <w:r w:rsidRPr="00542C4F">
        <w:rPr>
          <w:rFonts w:asciiTheme="majorHAnsi" w:hAnsiTheme="majorHAnsi"/>
          <w:sz w:val="20"/>
          <w:szCs w:val="20"/>
        </w:rPr>
        <w:t xml:space="preserve">Le traité de Maastricht évoque une « union toujours plus étroite entre ses membres ». L’intégration régionale suppose en effet des transferts de souveraineté comme dans un Etat fédéral. Mais l’UE n’est pas un Etat fédéral même si elle en possède quelques caractéristiques (une monnaie, un parlement, </w:t>
      </w:r>
      <w:r w:rsidR="00874519" w:rsidRPr="00542C4F">
        <w:rPr>
          <w:rFonts w:asciiTheme="majorHAnsi" w:hAnsiTheme="majorHAnsi"/>
          <w:sz w:val="20"/>
          <w:szCs w:val="20"/>
        </w:rPr>
        <w:t>etc</w:t>
      </w:r>
      <w:r w:rsidR="00532978">
        <w:rPr>
          <w:rFonts w:asciiTheme="majorHAnsi" w:hAnsiTheme="majorHAnsi"/>
          <w:sz w:val="20"/>
          <w:szCs w:val="20"/>
        </w:rPr>
        <w:t>)</w:t>
      </w:r>
      <w:r w:rsidR="00874519" w:rsidRPr="00542C4F">
        <w:rPr>
          <w:rFonts w:asciiTheme="majorHAnsi" w:hAnsiTheme="majorHAnsi"/>
          <w:sz w:val="20"/>
          <w:szCs w:val="20"/>
        </w:rPr>
        <w:t>.</w:t>
      </w:r>
    </w:p>
    <w:p w14:paraId="218D90B2" w14:textId="1ECC9082" w:rsidR="00532978" w:rsidRDefault="00532978" w:rsidP="00D9778D">
      <w:pPr>
        <w:rPr>
          <w:rFonts w:asciiTheme="majorHAnsi" w:hAnsiTheme="majorHAnsi"/>
          <w:sz w:val="20"/>
          <w:szCs w:val="20"/>
        </w:rPr>
      </w:pPr>
      <w:r>
        <w:rPr>
          <w:rFonts w:asciiTheme="majorHAnsi" w:hAnsiTheme="majorHAnsi"/>
          <w:sz w:val="20"/>
          <w:szCs w:val="20"/>
        </w:rPr>
        <w:t>On observe la montée d’un euroscepticisme. Les partisans du non dénoncent un traité trop fédéraliste, c’est à dire au dessus des Etats. Ils lui imputent les difficultés économiques et la montée du chômage.</w:t>
      </w:r>
    </w:p>
    <w:p w14:paraId="2F688B90" w14:textId="58BEDFAA" w:rsidR="00D9778D" w:rsidRPr="00542C4F" w:rsidRDefault="00D9778D" w:rsidP="00D9778D">
      <w:pPr>
        <w:rPr>
          <w:rFonts w:asciiTheme="majorHAnsi" w:hAnsiTheme="majorHAnsi"/>
          <w:sz w:val="20"/>
          <w:szCs w:val="20"/>
        </w:rPr>
      </w:pPr>
      <w:r w:rsidRPr="00542C4F">
        <w:rPr>
          <w:rFonts w:asciiTheme="majorHAnsi" w:hAnsiTheme="majorHAnsi"/>
          <w:sz w:val="20"/>
          <w:szCs w:val="20"/>
        </w:rPr>
        <w:t>Les pays d’Europe de l’Est récemment libérés de la tutelle soviétique ne sont pas prêts à perdre leur indépendance et leur souveraineté retrouvées. L’Angleterre quant à elle a toujours refusé la logique supranationale.</w:t>
      </w:r>
      <w:r>
        <w:rPr>
          <w:rFonts w:asciiTheme="majorHAnsi" w:hAnsiTheme="majorHAnsi"/>
          <w:sz w:val="20"/>
          <w:szCs w:val="20"/>
        </w:rPr>
        <w:t xml:space="preserve"> </w:t>
      </w:r>
      <w:r w:rsidRPr="00542C4F">
        <w:rPr>
          <w:rFonts w:asciiTheme="majorHAnsi" w:hAnsiTheme="majorHAnsi"/>
          <w:sz w:val="20"/>
          <w:szCs w:val="20"/>
        </w:rPr>
        <w:t>L’UE est donc aujourd’hui une « fédération d’Etats-nations » (Jacques Delors) avec un équilibre entre supranationalité et inter-gouvernementalité, entre votes à l’unanimité et votes à la majorité selon les domaines. Bref un « OPNI » c’est-à-dire un « objet politique non identifié » (Jacques Delors). La gouvernance européenne actuelle repose donc sur un compromis et constitue « une gouvernance sans gouvernement ». Ce modèle se révèle fragile à cause des désaccords entre les Etats membres et des élargissements successifs qui complexifient le système.</w:t>
      </w:r>
    </w:p>
    <w:p w14:paraId="200E1A95" w14:textId="7DE93E06" w:rsidR="00874519" w:rsidRPr="00542C4F" w:rsidRDefault="00532978" w:rsidP="00874519">
      <w:pPr>
        <w:rPr>
          <w:rFonts w:asciiTheme="majorHAnsi" w:hAnsiTheme="majorHAnsi"/>
          <w:sz w:val="20"/>
          <w:szCs w:val="20"/>
        </w:rPr>
      </w:pPr>
      <w:r>
        <w:rPr>
          <w:rFonts w:asciiTheme="majorHAnsi" w:hAnsiTheme="majorHAnsi"/>
          <w:sz w:val="20"/>
          <w:szCs w:val="20"/>
        </w:rPr>
        <w:t>Par ailleurs l’Union européenne apparaît comme une construction à la carte.</w:t>
      </w:r>
      <w:r w:rsidR="00874519" w:rsidRPr="00542C4F">
        <w:rPr>
          <w:rFonts w:asciiTheme="majorHAnsi" w:hAnsiTheme="majorHAnsi"/>
          <w:sz w:val="20"/>
          <w:szCs w:val="20"/>
        </w:rPr>
        <w:t xml:space="preserve">Les 28 pays membres de l’Union européenne ne sont pas tous signataires des mêmes traités. Au moment de la signature des accords de Schengen seuls 7 Etats sont concernés. Au moment de l’entrée en vigueur du traité seuls 13 des 15 pays de l’Union mettent en place cet espace de libre circulation sans contrôle douanier. En effet l’Irlande et l’Angleterre refusent d’y participer. Lors de la mise en place de la monnaie unique en 1992, 11 pays seulement adoptent l’euro. L’Angleterre </w:t>
      </w:r>
      <w:r>
        <w:rPr>
          <w:rFonts w:asciiTheme="majorHAnsi" w:hAnsiTheme="majorHAnsi"/>
          <w:sz w:val="20"/>
          <w:szCs w:val="20"/>
        </w:rPr>
        <w:t xml:space="preserve">, le Danemark </w:t>
      </w:r>
      <w:r w:rsidR="00874519" w:rsidRPr="00542C4F">
        <w:rPr>
          <w:rFonts w:asciiTheme="majorHAnsi" w:hAnsiTheme="majorHAnsi"/>
          <w:sz w:val="20"/>
          <w:szCs w:val="20"/>
        </w:rPr>
        <w:t>par exem</w:t>
      </w:r>
      <w:r>
        <w:rPr>
          <w:rFonts w:asciiTheme="majorHAnsi" w:hAnsiTheme="majorHAnsi"/>
          <w:sz w:val="20"/>
          <w:szCs w:val="20"/>
        </w:rPr>
        <w:t>ple utilisent toujours leur monnaie.</w:t>
      </w:r>
    </w:p>
    <w:p w14:paraId="406F91C7" w14:textId="7DF693F2" w:rsidR="00874519" w:rsidRPr="00874519" w:rsidRDefault="00874519" w:rsidP="00874519">
      <w:pPr>
        <w:pStyle w:val="Pardeliste"/>
        <w:numPr>
          <w:ilvl w:val="0"/>
          <w:numId w:val="21"/>
        </w:numPr>
        <w:spacing w:after="0" w:line="240" w:lineRule="auto"/>
        <w:rPr>
          <w:b/>
          <w:color w:val="FF0000"/>
          <w:sz w:val="20"/>
          <w:szCs w:val="20"/>
        </w:rPr>
      </w:pPr>
      <w:r w:rsidRPr="00874519">
        <w:rPr>
          <w:b/>
          <w:color w:val="FF0000"/>
          <w:sz w:val="20"/>
          <w:szCs w:val="20"/>
          <w:u w:val="single"/>
        </w:rPr>
        <w:t>Une Europe politique inachevée</w:t>
      </w:r>
      <w:r w:rsidRPr="00874519">
        <w:rPr>
          <w:b/>
          <w:color w:val="FF0000"/>
          <w:sz w:val="20"/>
          <w:szCs w:val="20"/>
        </w:rPr>
        <w:t>.</w:t>
      </w:r>
    </w:p>
    <w:p w14:paraId="0FFFE97F" w14:textId="77777777" w:rsidR="00874519" w:rsidRDefault="00874519" w:rsidP="00874519">
      <w:pPr>
        <w:spacing w:after="0" w:line="240" w:lineRule="auto"/>
        <w:rPr>
          <w:color w:val="FF0000"/>
          <w:sz w:val="20"/>
          <w:szCs w:val="20"/>
        </w:rPr>
      </w:pPr>
    </w:p>
    <w:p w14:paraId="71591AB2" w14:textId="2A57EADA" w:rsidR="00874519" w:rsidRDefault="00874519" w:rsidP="00874519">
      <w:pPr>
        <w:pStyle w:val="Pardeliste"/>
        <w:spacing w:after="0" w:line="240" w:lineRule="auto"/>
        <w:rPr>
          <w:b/>
          <w:color w:val="008F46"/>
          <w:sz w:val="20"/>
          <w:szCs w:val="20"/>
          <w:u w:val="single"/>
        </w:rPr>
      </w:pPr>
      <w:r>
        <w:rPr>
          <w:b/>
          <w:color w:val="008F46"/>
          <w:sz w:val="20"/>
          <w:szCs w:val="20"/>
          <w:u w:val="single"/>
        </w:rPr>
        <w:t>A-</w:t>
      </w:r>
      <w:r w:rsidRPr="00874519">
        <w:rPr>
          <w:b/>
          <w:color w:val="008F46"/>
          <w:sz w:val="20"/>
          <w:szCs w:val="20"/>
          <w:u w:val="single"/>
        </w:rPr>
        <w:t>Quel fonctionnement à 28 ?</w:t>
      </w:r>
    </w:p>
    <w:p w14:paraId="3E268133" w14:textId="77777777" w:rsidR="00874519" w:rsidRPr="00874519" w:rsidRDefault="00874519" w:rsidP="00874519">
      <w:pPr>
        <w:pStyle w:val="Pardeliste"/>
        <w:spacing w:after="0" w:line="240" w:lineRule="auto"/>
        <w:rPr>
          <w:b/>
          <w:color w:val="008F46"/>
          <w:sz w:val="20"/>
          <w:szCs w:val="20"/>
          <w:u w:val="single"/>
        </w:rPr>
      </w:pPr>
    </w:p>
    <w:p w14:paraId="4402C800" w14:textId="50227E20" w:rsidR="00874519" w:rsidRPr="00542C4F" w:rsidRDefault="00874519" w:rsidP="00874519">
      <w:pPr>
        <w:spacing w:after="0"/>
        <w:rPr>
          <w:rFonts w:asciiTheme="majorHAnsi" w:hAnsiTheme="majorHAnsi"/>
          <w:sz w:val="20"/>
          <w:szCs w:val="20"/>
        </w:rPr>
      </w:pPr>
      <w:r w:rsidRPr="00542C4F">
        <w:rPr>
          <w:rFonts w:asciiTheme="majorHAnsi" w:hAnsiTheme="majorHAnsi"/>
          <w:sz w:val="20"/>
          <w:szCs w:val="20"/>
        </w:rPr>
        <w:t>Les institutions européennes ont plusieurs fois évolué. Les traités d’</w:t>
      </w:r>
      <w:r w:rsidR="00532978">
        <w:rPr>
          <w:rFonts w:asciiTheme="majorHAnsi" w:hAnsiTheme="majorHAnsi"/>
          <w:sz w:val="20"/>
          <w:szCs w:val="20"/>
        </w:rPr>
        <w:t>Amsterdam(1997) et de Nice( 1999</w:t>
      </w:r>
      <w:r w:rsidRPr="00542C4F">
        <w:rPr>
          <w:rFonts w:asciiTheme="majorHAnsi" w:hAnsiTheme="majorHAnsi"/>
          <w:sz w:val="20"/>
          <w:szCs w:val="20"/>
        </w:rPr>
        <w:t>) tentent d’améliorer le fonctionnement de l’UE mais s’avèrent insuffisants. L’UE met alors en chant</w:t>
      </w:r>
      <w:r>
        <w:rPr>
          <w:rFonts w:asciiTheme="majorHAnsi" w:hAnsiTheme="majorHAnsi"/>
          <w:sz w:val="20"/>
          <w:szCs w:val="20"/>
        </w:rPr>
        <w:t xml:space="preserve">ier un projet de constitution. </w:t>
      </w:r>
    </w:p>
    <w:p w14:paraId="39BF7EEB" w14:textId="77777777" w:rsidR="00874519" w:rsidRDefault="00874519" w:rsidP="00874519">
      <w:pPr>
        <w:spacing w:after="0"/>
        <w:rPr>
          <w:rFonts w:asciiTheme="majorHAnsi" w:hAnsiTheme="majorHAnsi"/>
          <w:sz w:val="20"/>
          <w:szCs w:val="20"/>
        </w:rPr>
      </w:pPr>
      <w:r w:rsidRPr="00542C4F">
        <w:rPr>
          <w:rFonts w:asciiTheme="majorHAnsi" w:hAnsiTheme="majorHAnsi"/>
          <w:sz w:val="20"/>
          <w:szCs w:val="20"/>
        </w:rPr>
        <w:t xml:space="preserve"> Le traité constitutionnel de 2005 prévoyait de les réformer pour les adapter à l’intégration des 10 nouveaux membres en 2004 afin de gagner en efficacité. Rejeté par la France et les Pays-Bas, le traité est simplifié à Lisbonne en 2007 et adopté. Il définit le fonctionnement actuel de l’UE avec ses 28 Etats membres.</w:t>
      </w:r>
    </w:p>
    <w:p w14:paraId="564D646B" w14:textId="77777777" w:rsidR="00532978" w:rsidRPr="00542C4F" w:rsidRDefault="00532978" w:rsidP="00874519">
      <w:pPr>
        <w:spacing w:after="0"/>
        <w:rPr>
          <w:rFonts w:asciiTheme="majorHAnsi" w:hAnsiTheme="majorHAnsi"/>
          <w:sz w:val="20"/>
          <w:szCs w:val="20"/>
        </w:rPr>
      </w:pPr>
    </w:p>
    <w:p w14:paraId="0274CBD3" w14:textId="77777777" w:rsidR="00874519" w:rsidRPr="00542C4F" w:rsidRDefault="00874519" w:rsidP="00874519">
      <w:pPr>
        <w:rPr>
          <w:rFonts w:asciiTheme="majorHAnsi" w:hAnsiTheme="majorHAnsi"/>
          <w:sz w:val="20"/>
          <w:szCs w:val="20"/>
        </w:rPr>
      </w:pPr>
      <w:r w:rsidRPr="00542C4F">
        <w:rPr>
          <w:rFonts w:asciiTheme="majorHAnsi" w:hAnsiTheme="majorHAnsi"/>
          <w:sz w:val="20"/>
          <w:szCs w:val="20"/>
        </w:rPr>
        <w:t xml:space="preserve">- Les citoyens élisent au suffrage universel direct tous les 5 ans les 766 députés européens du </w:t>
      </w:r>
      <w:r w:rsidRPr="00542C4F">
        <w:rPr>
          <w:rFonts w:asciiTheme="majorHAnsi" w:hAnsiTheme="majorHAnsi"/>
          <w:b/>
          <w:sz w:val="20"/>
          <w:szCs w:val="20"/>
        </w:rPr>
        <w:t>Parlement européen</w:t>
      </w:r>
      <w:r w:rsidRPr="00542C4F">
        <w:rPr>
          <w:rFonts w:asciiTheme="majorHAnsi" w:hAnsiTheme="majorHAnsi"/>
          <w:sz w:val="20"/>
          <w:szCs w:val="20"/>
        </w:rPr>
        <w:t xml:space="preserve"> dont les séances plénières ont lieu à Strasbourg ou à Bruxelles. Ils votent les lois et le budget avec le conseil des ministres.</w:t>
      </w:r>
    </w:p>
    <w:p w14:paraId="55BC17F2" w14:textId="77777777" w:rsidR="00874519" w:rsidRPr="00542C4F" w:rsidRDefault="00874519" w:rsidP="00874519">
      <w:pPr>
        <w:rPr>
          <w:rFonts w:asciiTheme="majorHAnsi" w:hAnsiTheme="majorHAnsi"/>
          <w:sz w:val="20"/>
          <w:szCs w:val="20"/>
        </w:rPr>
      </w:pPr>
      <w:r w:rsidRPr="00542C4F">
        <w:rPr>
          <w:rFonts w:asciiTheme="majorHAnsi" w:hAnsiTheme="majorHAnsi"/>
          <w:sz w:val="20"/>
          <w:szCs w:val="20"/>
        </w:rPr>
        <w:t>- A Bruxelles une commission européenne s’occupe des politiques communes et des propositions de lois. C’est une organisation supranationale. Les commissaires sont nommés par les Etats. Leur nombre n’a cessé de varier. Depuis novembre 2014 il ne doit pas dépasser 2/3 du nombre de pays membres (avec un système de rotation entre les pays).Les décisions y sont prises à la majorité qualifiée.</w:t>
      </w:r>
    </w:p>
    <w:p w14:paraId="2BEF84E5" w14:textId="2A278DF2" w:rsidR="00874519" w:rsidRPr="00542C4F" w:rsidRDefault="00874519" w:rsidP="00874519">
      <w:pPr>
        <w:rPr>
          <w:rFonts w:asciiTheme="majorHAnsi" w:hAnsiTheme="majorHAnsi"/>
          <w:sz w:val="20"/>
          <w:szCs w:val="20"/>
        </w:rPr>
      </w:pPr>
      <w:r w:rsidRPr="00542C4F">
        <w:rPr>
          <w:rFonts w:asciiTheme="majorHAnsi" w:hAnsiTheme="majorHAnsi"/>
          <w:sz w:val="20"/>
          <w:szCs w:val="20"/>
        </w:rPr>
        <w:t xml:space="preserve">- Le </w:t>
      </w:r>
      <w:r w:rsidRPr="00542C4F">
        <w:rPr>
          <w:rFonts w:asciiTheme="majorHAnsi" w:hAnsiTheme="majorHAnsi"/>
          <w:b/>
          <w:sz w:val="20"/>
          <w:szCs w:val="20"/>
        </w:rPr>
        <w:t>conseil européen</w:t>
      </w:r>
      <w:r w:rsidRPr="00542C4F">
        <w:rPr>
          <w:rFonts w:asciiTheme="majorHAnsi" w:hAnsiTheme="majorHAnsi"/>
          <w:sz w:val="20"/>
          <w:szCs w:val="20"/>
        </w:rPr>
        <w:t xml:space="preserve"> réunit deux fois par an à Bruxelles les chefs d’Etat et de gouvernement des pays membres pour décider des grandes orientations à donner à la politique de l’UE. </w:t>
      </w:r>
      <w:r w:rsidRPr="00542C4F">
        <w:rPr>
          <w:rFonts w:asciiTheme="majorHAnsi" w:hAnsiTheme="majorHAnsi"/>
          <w:b/>
          <w:sz w:val="20"/>
          <w:szCs w:val="20"/>
        </w:rPr>
        <w:t>Un président</w:t>
      </w:r>
      <w:r w:rsidRPr="00542C4F">
        <w:rPr>
          <w:rFonts w:asciiTheme="majorHAnsi" w:hAnsiTheme="majorHAnsi"/>
          <w:sz w:val="20"/>
          <w:szCs w:val="20"/>
        </w:rPr>
        <w:t xml:space="preserve"> y est élu par le conseil pour un mandat de deux ans et demi (renouvelable une fois) pour représenter l’UE dans le monde. </w:t>
      </w:r>
    </w:p>
    <w:p w14:paraId="1ECA17D7" w14:textId="1C8B0240" w:rsidR="00874519" w:rsidRPr="00542C4F" w:rsidRDefault="00874519" w:rsidP="00874519">
      <w:pPr>
        <w:rPr>
          <w:rFonts w:asciiTheme="majorHAnsi" w:hAnsiTheme="majorHAnsi"/>
          <w:sz w:val="20"/>
          <w:szCs w:val="20"/>
        </w:rPr>
      </w:pPr>
      <w:r w:rsidRPr="00542C4F">
        <w:rPr>
          <w:rFonts w:asciiTheme="majorHAnsi" w:hAnsiTheme="majorHAnsi"/>
          <w:sz w:val="20"/>
          <w:szCs w:val="20"/>
        </w:rPr>
        <w:t xml:space="preserve">- </w:t>
      </w:r>
      <w:r w:rsidRPr="00542C4F">
        <w:rPr>
          <w:rFonts w:asciiTheme="majorHAnsi" w:hAnsiTheme="majorHAnsi"/>
          <w:b/>
          <w:sz w:val="20"/>
          <w:szCs w:val="20"/>
        </w:rPr>
        <w:t>Le conseil de l’Union européenne aussi conseil des ministres</w:t>
      </w:r>
      <w:r w:rsidRPr="00542C4F">
        <w:rPr>
          <w:rFonts w:asciiTheme="majorHAnsi" w:hAnsiTheme="majorHAnsi"/>
          <w:sz w:val="20"/>
          <w:szCs w:val="20"/>
        </w:rPr>
        <w:t xml:space="preserve"> réunit les ministres des pays membres par domaine (ex : agriculture, santé, e</w:t>
      </w:r>
      <w:r w:rsidR="003F4EB2">
        <w:rPr>
          <w:rFonts w:asciiTheme="majorHAnsi" w:hAnsiTheme="majorHAnsi"/>
          <w:sz w:val="20"/>
          <w:szCs w:val="20"/>
        </w:rPr>
        <w:t>tc</w:t>
      </w:r>
      <w:bookmarkStart w:id="0" w:name="_GoBack"/>
      <w:bookmarkEnd w:id="0"/>
      <w:r w:rsidRPr="00542C4F">
        <w:rPr>
          <w:rFonts w:asciiTheme="majorHAnsi" w:hAnsiTheme="majorHAnsi"/>
          <w:sz w:val="20"/>
          <w:szCs w:val="20"/>
        </w:rPr>
        <w:t>…).il vote les lois et le budget avec le Parlement européen. La plupart des décisions y sont prises à la majorité qualifiée.</w:t>
      </w:r>
    </w:p>
    <w:p w14:paraId="4A0153FE" w14:textId="77777777" w:rsidR="00874519" w:rsidRPr="00542C4F" w:rsidRDefault="00874519" w:rsidP="00874519">
      <w:pPr>
        <w:rPr>
          <w:rFonts w:asciiTheme="majorHAnsi" w:hAnsiTheme="majorHAnsi"/>
          <w:sz w:val="20"/>
          <w:szCs w:val="20"/>
        </w:rPr>
      </w:pPr>
      <w:r w:rsidRPr="00542C4F">
        <w:rPr>
          <w:rFonts w:asciiTheme="majorHAnsi" w:hAnsiTheme="majorHAnsi"/>
          <w:sz w:val="20"/>
          <w:szCs w:val="20"/>
        </w:rPr>
        <w:t xml:space="preserve">Trois autres instances complètent ces institutions : </w:t>
      </w:r>
    </w:p>
    <w:p w14:paraId="30001CA7" w14:textId="77777777" w:rsidR="00874519" w:rsidRPr="00542C4F" w:rsidRDefault="00874519" w:rsidP="00874519">
      <w:pPr>
        <w:rPr>
          <w:rFonts w:asciiTheme="majorHAnsi" w:hAnsiTheme="majorHAnsi"/>
          <w:sz w:val="20"/>
          <w:szCs w:val="20"/>
        </w:rPr>
      </w:pPr>
      <w:r w:rsidRPr="00542C4F">
        <w:rPr>
          <w:rFonts w:asciiTheme="majorHAnsi" w:hAnsiTheme="majorHAnsi"/>
          <w:sz w:val="20"/>
          <w:szCs w:val="20"/>
        </w:rPr>
        <w:t>- la banque centrale européenne (BCE) siège à Francfort pour diriger la politique monétaire commune</w:t>
      </w:r>
    </w:p>
    <w:p w14:paraId="0F58034B" w14:textId="77777777" w:rsidR="00874519" w:rsidRPr="00542C4F" w:rsidRDefault="00874519" w:rsidP="00874519">
      <w:pPr>
        <w:rPr>
          <w:rFonts w:asciiTheme="majorHAnsi" w:hAnsiTheme="majorHAnsi"/>
          <w:sz w:val="20"/>
          <w:szCs w:val="20"/>
        </w:rPr>
      </w:pPr>
      <w:r w:rsidRPr="00542C4F">
        <w:rPr>
          <w:rFonts w:asciiTheme="majorHAnsi" w:hAnsiTheme="majorHAnsi"/>
          <w:sz w:val="20"/>
          <w:szCs w:val="20"/>
        </w:rPr>
        <w:t>- la Cour de Justice européenne siège à Luxembourg pour veiller au respect du droit communautaire</w:t>
      </w:r>
    </w:p>
    <w:p w14:paraId="3E8318CE" w14:textId="77777777" w:rsidR="00874519" w:rsidRPr="00542C4F" w:rsidRDefault="00874519" w:rsidP="00874519">
      <w:pPr>
        <w:rPr>
          <w:rFonts w:asciiTheme="majorHAnsi" w:hAnsiTheme="majorHAnsi"/>
          <w:sz w:val="20"/>
          <w:szCs w:val="20"/>
        </w:rPr>
      </w:pPr>
      <w:r w:rsidRPr="00542C4F">
        <w:rPr>
          <w:rFonts w:asciiTheme="majorHAnsi" w:hAnsiTheme="majorHAnsi"/>
          <w:sz w:val="20"/>
          <w:szCs w:val="20"/>
        </w:rPr>
        <w:t>- la cour des comptés européenne siège également à Luxembourg pour contrôler les finances de l’UE.</w:t>
      </w:r>
    </w:p>
    <w:p w14:paraId="465B7864" w14:textId="418DA8CA" w:rsidR="00874519" w:rsidRPr="00542C4F" w:rsidRDefault="00874519" w:rsidP="00874519">
      <w:pPr>
        <w:rPr>
          <w:rFonts w:asciiTheme="majorHAnsi" w:hAnsiTheme="majorHAnsi"/>
          <w:sz w:val="20"/>
          <w:szCs w:val="20"/>
        </w:rPr>
      </w:pPr>
      <w:r w:rsidRPr="00542C4F">
        <w:rPr>
          <w:rFonts w:asciiTheme="majorHAnsi" w:hAnsiTheme="majorHAnsi"/>
          <w:sz w:val="20"/>
          <w:szCs w:val="20"/>
        </w:rPr>
        <w:t>Les compétences restent partagées entre les Etats et l’UE. Depuis le traité de Maastricht les compétences de l’UE ont été élargies. L’UE est par exemple compétente pour la politique agricole commune ou pour le contrôle extérieur des frontières de l’Union. Par contre , les Etats continuent de gérer leurs politiques de santé ou leurs politiques sociales.</w:t>
      </w:r>
    </w:p>
    <w:p w14:paraId="569D1B57" w14:textId="2E2E77B5" w:rsidR="00874519" w:rsidRPr="000A008E" w:rsidRDefault="000A008E" w:rsidP="000A008E">
      <w:pPr>
        <w:pStyle w:val="Pardeliste"/>
        <w:spacing w:after="0" w:line="240" w:lineRule="auto"/>
        <w:ind w:left="643"/>
        <w:rPr>
          <w:b/>
          <w:color w:val="008F46"/>
          <w:sz w:val="20"/>
          <w:szCs w:val="20"/>
          <w:u w:val="single"/>
        </w:rPr>
      </w:pPr>
      <w:r>
        <w:rPr>
          <w:b/>
          <w:color w:val="008F46"/>
          <w:sz w:val="20"/>
          <w:szCs w:val="20"/>
          <w:u w:val="single"/>
        </w:rPr>
        <w:t>B-</w:t>
      </w:r>
      <w:r w:rsidR="00874519" w:rsidRPr="000A008E">
        <w:rPr>
          <w:b/>
          <w:color w:val="008F46"/>
          <w:sz w:val="20"/>
          <w:szCs w:val="20"/>
          <w:u w:val="single"/>
        </w:rPr>
        <w:t>Les défis de l’Union Européenne.</w:t>
      </w:r>
    </w:p>
    <w:p w14:paraId="1EBBCB48" w14:textId="43E2E696" w:rsidR="00B31E6F" w:rsidRDefault="00B31E6F" w:rsidP="00542C4F">
      <w:pPr>
        <w:rPr>
          <w:rFonts w:asciiTheme="majorHAnsi" w:hAnsiTheme="majorHAnsi"/>
          <w:b/>
          <w:i/>
          <w:color w:val="FF0000"/>
          <w:sz w:val="20"/>
          <w:szCs w:val="20"/>
        </w:rPr>
      </w:pPr>
    </w:p>
    <w:p w14:paraId="1A6CC3E3" w14:textId="5D9FB477" w:rsidR="00532978" w:rsidRDefault="00532978" w:rsidP="00542C4F">
      <w:pPr>
        <w:rPr>
          <w:rFonts w:asciiTheme="majorHAnsi" w:hAnsiTheme="majorHAnsi"/>
          <w:color w:val="000000" w:themeColor="text1"/>
          <w:sz w:val="20"/>
          <w:szCs w:val="20"/>
        </w:rPr>
      </w:pPr>
      <w:r w:rsidRPr="00532978">
        <w:rPr>
          <w:rFonts w:asciiTheme="majorHAnsi" w:hAnsiTheme="majorHAnsi"/>
          <w:color w:val="000000" w:themeColor="text1"/>
          <w:sz w:val="20"/>
          <w:szCs w:val="20"/>
        </w:rPr>
        <w:t>Aujourd’</w:t>
      </w:r>
      <w:r>
        <w:rPr>
          <w:rFonts w:asciiTheme="majorHAnsi" w:hAnsiTheme="majorHAnsi"/>
          <w:color w:val="000000" w:themeColor="text1"/>
          <w:sz w:val="20"/>
          <w:szCs w:val="20"/>
        </w:rPr>
        <w:t>hui les défis sont importants :</w:t>
      </w:r>
    </w:p>
    <w:p w14:paraId="2B307CC1" w14:textId="60681A24" w:rsidR="006D39FC" w:rsidRDefault="00532978" w:rsidP="006D39FC">
      <w:pPr>
        <w:spacing w:after="0"/>
        <w:rPr>
          <w:rFonts w:asciiTheme="majorHAnsi" w:hAnsiTheme="majorHAnsi"/>
          <w:color w:val="000000" w:themeColor="text1"/>
          <w:sz w:val="20"/>
          <w:szCs w:val="20"/>
        </w:rPr>
      </w:pPr>
      <w:r w:rsidRPr="006D39FC">
        <w:rPr>
          <w:rFonts w:asciiTheme="majorHAnsi" w:hAnsiTheme="majorHAnsi"/>
          <w:b/>
          <w:color w:val="000000" w:themeColor="text1"/>
          <w:sz w:val="20"/>
          <w:szCs w:val="20"/>
        </w:rPr>
        <w:t>Il faut faire face</w:t>
      </w:r>
      <w:r w:rsidR="006D39FC" w:rsidRPr="006D39FC">
        <w:rPr>
          <w:rFonts w:asciiTheme="majorHAnsi" w:hAnsiTheme="majorHAnsi"/>
          <w:b/>
          <w:color w:val="000000" w:themeColor="text1"/>
          <w:sz w:val="20"/>
          <w:szCs w:val="20"/>
        </w:rPr>
        <w:t> </w:t>
      </w:r>
      <w:r w:rsidR="006D39FC">
        <w:rPr>
          <w:rFonts w:asciiTheme="majorHAnsi" w:hAnsiTheme="majorHAnsi"/>
          <w:color w:val="000000" w:themeColor="text1"/>
          <w:sz w:val="20"/>
          <w:szCs w:val="20"/>
        </w:rPr>
        <w:t xml:space="preserve">: </w:t>
      </w:r>
      <w:r>
        <w:rPr>
          <w:rFonts w:asciiTheme="majorHAnsi" w:hAnsiTheme="majorHAnsi"/>
          <w:color w:val="000000" w:themeColor="text1"/>
          <w:sz w:val="20"/>
          <w:szCs w:val="20"/>
        </w:rPr>
        <w:t xml:space="preserve">aux </w:t>
      </w:r>
      <w:r w:rsidR="006D39FC">
        <w:rPr>
          <w:rFonts w:asciiTheme="majorHAnsi" w:hAnsiTheme="majorHAnsi"/>
          <w:color w:val="000000" w:themeColor="text1"/>
          <w:sz w:val="20"/>
          <w:szCs w:val="20"/>
        </w:rPr>
        <w:t>différences de traditi</w:t>
      </w:r>
      <w:r>
        <w:rPr>
          <w:rFonts w:asciiTheme="majorHAnsi" w:hAnsiTheme="majorHAnsi"/>
          <w:color w:val="000000" w:themeColor="text1"/>
          <w:sz w:val="20"/>
          <w:szCs w:val="20"/>
        </w:rPr>
        <w:t xml:space="preserve">ons </w:t>
      </w:r>
      <w:r w:rsidR="006D39FC">
        <w:rPr>
          <w:rFonts w:asciiTheme="majorHAnsi" w:hAnsiTheme="majorHAnsi"/>
          <w:color w:val="000000" w:themeColor="text1"/>
          <w:sz w:val="20"/>
          <w:szCs w:val="20"/>
        </w:rPr>
        <w:t>politiques, culturelles et économiques</w:t>
      </w:r>
    </w:p>
    <w:p w14:paraId="1D7F179B" w14:textId="65438641" w:rsidR="006D39FC" w:rsidRDefault="006D39FC" w:rsidP="006D39FC">
      <w:pPr>
        <w:spacing w:after="0"/>
        <w:rPr>
          <w:rFonts w:asciiTheme="majorHAnsi" w:hAnsiTheme="majorHAnsi"/>
          <w:color w:val="000000" w:themeColor="text1"/>
          <w:sz w:val="20"/>
          <w:szCs w:val="20"/>
        </w:rPr>
      </w:pPr>
      <w:r>
        <w:rPr>
          <w:rFonts w:asciiTheme="majorHAnsi" w:hAnsiTheme="majorHAnsi"/>
          <w:color w:val="000000" w:themeColor="text1"/>
          <w:sz w:val="20"/>
          <w:szCs w:val="20"/>
        </w:rPr>
        <w:t xml:space="preserve">      </w:t>
      </w:r>
      <w:r>
        <w:rPr>
          <w:rFonts w:asciiTheme="majorHAnsi" w:hAnsiTheme="majorHAnsi"/>
          <w:color w:val="000000" w:themeColor="text1"/>
          <w:sz w:val="20"/>
          <w:szCs w:val="20"/>
        </w:rPr>
        <w:tab/>
      </w:r>
      <w:r>
        <w:rPr>
          <w:rFonts w:asciiTheme="majorHAnsi" w:hAnsiTheme="majorHAnsi"/>
          <w:color w:val="000000" w:themeColor="text1"/>
          <w:sz w:val="20"/>
          <w:szCs w:val="20"/>
        </w:rPr>
        <w:tab/>
        <w:t>Au manque de légitimité des institutions européennes gérées par des bureaucrates, sans réel contrôle des citoyens.</w:t>
      </w:r>
    </w:p>
    <w:p w14:paraId="6A824945" w14:textId="5DA576E2" w:rsidR="006D39FC" w:rsidRDefault="006D39FC" w:rsidP="006D39FC">
      <w:pPr>
        <w:spacing w:after="0"/>
        <w:rPr>
          <w:rFonts w:asciiTheme="majorHAnsi" w:hAnsiTheme="majorHAnsi"/>
          <w:color w:val="000000" w:themeColor="text1"/>
          <w:sz w:val="20"/>
          <w:szCs w:val="20"/>
        </w:rPr>
      </w:pPr>
      <w:r>
        <w:rPr>
          <w:rFonts w:asciiTheme="majorHAnsi" w:hAnsiTheme="majorHAnsi"/>
          <w:color w:val="000000" w:themeColor="text1"/>
          <w:sz w:val="20"/>
          <w:szCs w:val="20"/>
        </w:rPr>
        <w:tab/>
      </w:r>
      <w:r>
        <w:rPr>
          <w:rFonts w:asciiTheme="majorHAnsi" w:hAnsiTheme="majorHAnsi"/>
          <w:color w:val="000000" w:themeColor="text1"/>
          <w:sz w:val="20"/>
          <w:szCs w:val="20"/>
        </w:rPr>
        <w:tab/>
        <w:t>A la crise économique et trouver des solutions pour les pays les plus fragiles</w:t>
      </w:r>
      <w:r w:rsidR="000A008E">
        <w:rPr>
          <w:rFonts w:asciiTheme="majorHAnsi" w:hAnsiTheme="majorHAnsi"/>
          <w:color w:val="000000" w:themeColor="text1"/>
          <w:sz w:val="20"/>
          <w:szCs w:val="20"/>
        </w:rPr>
        <w:t xml:space="preserve"> ( Grèce)</w:t>
      </w:r>
    </w:p>
    <w:p w14:paraId="45035877" w14:textId="0F5563E9" w:rsidR="0086289A" w:rsidRDefault="0086289A" w:rsidP="006D39FC">
      <w:pPr>
        <w:spacing w:after="0"/>
        <w:rPr>
          <w:rFonts w:asciiTheme="majorHAnsi" w:hAnsiTheme="majorHAnsi"/>
          <w:color w:val="000000" w:themeColor="text1"/>
          <w:sz w:val="20"/>
          <w:szCs w:val="20"/>
        </w:rPr>
      </w:pPr>
      <w:r>
        <w:rPr>
          <w:rFonts w:asciiTheme="majorHAnsi" w:hAnsiTheme="majorHAnsi"/>
          <w:color w:val="000000" w:themeColor="text1"/>
          <w:sz w:val="20"/>
          <w:szCs w:val="20"/>
        </w:rPr>
        <w:tab/>
      </w:r>
      <w:r>
        <w:rPr>
          <w:rFonts w:asciiTheme="majorHAnsi" w:hAnsiTheme="majorHAnsi"/>
          <w:color w:val="000000" w:themeColor="text1"/>
          <w:sz w:val="20"/>
          <w:szCs w:val="20"/>
        </w:rPr>
        <w:tab/>
        <w:t xml:space="preserve">Faire face aux demandes </w:t>
      </w:r>
      <w:r w:rsidR="00FF0707">
        <w:rPr>
          <w:rFonts w:asciiTheme="majorHAnsi" w:hAnsiTheme="majorHAnsi"/>
          <w:color w:val="000000" w:themeColor="text1"/>
          <w:sz w:val="20"/>
          <w:szCs w:val="20"/>
        </w:rPr>
        <w:t>de sorties de l’Europe</w:t>
      </w:r>
      <w:r w:rsidR="000A008E">
        <w:rPr>
          <w:rFonts w:asciiTheme="majorHAnsi" w:hAnsiTheme="majorHAnsi"/>
          <w:color w:val="000000" w:themeColor="text1"/>
          <w:sz w:val="20"/>
          <w:szCs w:val="20"/>
        </w:rPr>
        <w:t xml:space="preserve"> ( </w:t>
      </w:r>
      <w:r w:rsidR="00FF0707">
        <w:rPr>
          <w:rFonts w:asciiTheme="majorHAnsi" w:hAnsiTheme="majorHAnsi"/>
          <w:color w:val="000000" w:themeColor="text1"/>
          <w:sz w:val="20"/>
          <w:szCs w:val="20"/>
        </w:rPr>
        <w:t xml:space="preserve"> BREXIT </w:t>
      </w:r>
      <w:r w:rsidR="000A008E">
        <w:rPr>
          <w:rFonts w:asciiTheme="majorHAnsi" w:hAnsiTheme="majorHAnsi"/>
          <w:color w:val="000000" w:themeColor="text1"/>
          <w:sz w:val="20"/>
          <w:szCs w:val="20"/>
        </w:rPr>
        <w:t>)</w:t>
      </w:r>
    </w:p>
    <w:p w14:paraId="377203A0" w14:textId="77777777" w:rsidR="00FF0707" w:rsidRDefault="00FF0707" w:rsidP="006D39FC">
      <w:pPr>
        <w:spacing w:after="0"/>
        <w:rPr>
          <w:rFonts w:asciiTheme="majorHAnsi" w:hAnsiTheme="majorHAnsi"/>
          <w:color w:val="000000" w:themeColor="text1"/>
          <w:sz w:val="20"/>
          <w:szCs w:val="20"/>
        </w:rPr>
      </w:pPr>
    </w:p>
    <w:p w14:paraId="5F01EA06" w14:textId="677BD38D" w:rsidR="00FF0707" w:rsidRPr="00FF0707" w:rsidRDefault="00FF0707" w:rsidP="006D39FC">
      <w:pPr>
        <w:spacing w:after="0"/>
        <w:rPr>
          <w:rFonts w:asciiTheme="majorHAnsi" w:hAnsiTheme="majorHAnsi"/>
          <w:b/>
          <w:color w:val="FF0000"/>
          <w:sz w:val="20"/>
          <w:szCs w:val="20"/>
          <w:u w:val="single"/>
        </w:rPr>
      </w:pPr>
      <w:r w:rsidRPr="00FF0707">
        <w:rPr>
          <w:rFonts w:asciiTheme="majorHAnsi" w:hAnsiTheme="majorHAnsi"/>
          <w:b/>
          <w:color w:val="FF0000"/>
          <w:sz w:val="20"/>
          <w:szCs w:val="20"/>
          <w:u w:val="single"/>
        </w:rPr>
        <w:t xml:space="preserve">Conclusion </w:t>
      </w:r>
    </w:p>
    <w:p w14:paraId="146FAD3B" w14:textId="5FA85009" w:rsidR="00FF0707" w:rsidRDefault="00FF0707" w:rsidP="006D39FC">
      <w:pPr>
        <w:spacing w:after="0"/>
        <w:rPr>
          <w:rFonts w:asciiTheme="majorHAnsi" w:hAnsiTheme="majorHAnsi"/>
          <w:color w:val="000000" w:themeColor="text1"/>
          <w:sz w:val="20"/>
          <w:szCs w:val="20"/>
        </w:rPr>
      </w:pPr>
      <w:r>
        <w:rPr>
          <w:rFonts w:asciiTheme="majorHAnsi" w:hAnsiTheme="majorHAnsi"/>
          <w:color w:val="000000" w:themeColor="text1"/>
          <w:sz w:val="20"/>
          <w:szCs w:val="20"/>
        </w:rPr>
        <w:t>L’Union Européenne apparaît comme un géant économique qui a un poids dans les échanges internationaux. Mais c’est un nain politique caractérisé par une avancée limitée du projet politique et par une intégration à la carte. La poussée de nationalisme et les menaces de sorties de l’Europe comme le Royaume-Uni sont de nouveaux défis pour la constructions européennes.</w:t>
      </w:r>
    </w:p>
    <w:p w14:paraId="04592192" w14:textId="77777777" w:rsidR="00532978" w:rsidRDefault="00532978" w:rsidP="006D39FC">
      <w:pPr>
        <w:spacing w:after="0"/>
        <w:rPr>
          <w:rFonts w:asciiTheme="majorHAnsi" w:hAnsiTheme="majorHAnsi"/>
          <w:color w:val="000000" w:themeColor="text1"/>
          <w:sz w:val="20"/>
          <w:szCs w:val="20"/>
        </w:rPr>
      </w:pPr>
    </w:p>
    <w:p w14:paraId="5DBBAFEE" w14:textId="77777777" w:rsidR="00532978" w:rsidRPr="00532978" w:rsidRDefault="00532978" w:rsidP="006D39FC">
      <w:pPr>
        <w:spacing w:after="0"/>
        <w:rPr>
          <w:rFonts w:asciiTheme="majorHAnsi" w:hAnsiTheme="majorHAnsi"/>
          <w:color w:val="000000" w:themeColor="text1"/>
          <w:sz w:val="20"/>
          <w:szCs w:val="20"/>
        </w:rPr>
      </w:pPr>
    </w:p>
    <w:p w14:paraId="257247A6" w14:textId="77777777" w:rsidR="00B31E6F" w:rsidRDefault="00B31E6F" w:rsidP="00542C4F">
      <w:pPr>
        <w:rPr>
          <w:rFonts w:asciiTheme="majorHAnsi" w:hAnsiTheme="majorHAnsi"/>
          <w:b/>
          <w:i/>
          <w:color w:val="FF0000"/>
          <w:sz w:val="20"/>
          <w:szCs w:val="20"/>
        </w:rPr>
      </w:pPr>
    </w:p>
    <w:p w14:paraId="2C337184" w14:textId="77777777" w:rsidR="00B31E6F" w:rsidRDefault="00B31E6F" w:rsidP="00542C4F">
      <w:pPr>
        <w:rPr>
          <w:rFonts w:asciiTheme="majorHAnsi" w:hAnsiTheme="majorHAnsi"/>
          <w:b/>
          <w:i/>
          <w:color w:val="FF0000"/>
          <w:sz w:val="20"/>
          <w:szCs w:val="20"/>
        </w:rPr>
      </w:pPr>
    </w:p>
    <w:p w14:paraId="4C968FFF" w14:textId="43A572ED" w:rsidR="00B31E6F" w:rsidRDefault="00BE325B" w:rsidP="00542C4F">
      <w:pPr>
        <w:rPr>
          <w:rFonts w:asciiTheme="majorHAnsi" w:hAnsiTheme="majorHAnsi"/>
          <w:b/>
          <w:i/>
          <w:color w:val="FF0000"/>
          <w:sz w:val="20"/>
          <w:szCs w:val="20"/>
        </w:rPr>
      </w:pPr>
      <w:r>
        <w:rPr>
          <w:rFonts w:asciiTheme="majorHAnsi" w:hAnsiTheme="majorHAnsi"/>
          <w:b/>
          <w:i/>
          <w:noProof/>
          <w:color w:val="FF0000"/>
          <w:sz w:val="20"/>
          <w:szCs w:val="20"/>
          <w:lang w:eastAsia="fr-FR"/>
        </w:rPr>
        <w:drawing>
          <wp:inline distT="0" distB="0" distL="0" distR="0" wp14:anchorId="6EE33092" wp14:editId="66577161">
            <wp:extent cx="5486400" cy="4874260"/>
            <wp:effectExtent l="0" t="0" r="0" b="2540"/>
            <wp:docPr id="1" name="Image 1" descr="../../../../../Users/anoukboisseau/Desktop/Capture%20d’écran%20201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noukboisseau/Desktop/Capture%20d’écran%202019-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874260"/>
                    </a:xfrm>
                    <a:prstGeom prst="rect">
                      <a:avLst/>
                    </a:prstGeom>
                    <a:noFill/>
                    <a:ln>
                      <a:noFill/>
                    </a:ln>
                  </pic:spPr>
                </pic:pic>
              </a:graphicData>
            </a:graphic>
          </wp:inline>
        </w:drawing>
      </w:r>
    </w:p>
    <w:p w14:paraId="3A3C3F36" w14:textId="77777777" w:rsidR="00874519" w:rsidRDefault="00874519" w:rsidP="00542C4F">
      <w:pPr>
        <w:rPr>
          <w:rFonts w:asciiTheme="majorHAnsi" w:hAnsiTheme="majorHAnsi"/>
          <w:b/>
          <w:i/>
          <w:color w:val="FF0000"/>
          <w:sz w:val="20"/>
          <w:szCs w:val="20"/>
        </w:rPr>
      </w:pPr>
    </w:p>
    <w:p w14:paraId="3451CADE" w14:textId="77777777" w:rsidR="00874519" w:rsidRDefault="00874519" w:rsidP="00542C4F">
      <w:pPr>
        <w:rPr>
          <w:rFonts w:asciiTheme="majorHAnsi" w:hAnsiTheme="majorHAnsi"/>
          <w:b/>
          <w:i/>
          <w:color w:val="FF0000"/>
          <w:sz w:val="20"/>
          <w:szCs w:val="20"/>
        </w:rPr>
      </w:pPr>
    </w:p>
    <w:p w14:paraId="40E06EBB" w14:textId="77777777" w:rsidR="00874519" w:rsidRDefault="00874519" w:rsidP="00542C4F">
      <w:pPr>
        <w:rPr>
          <w:rFonts w:asciiTheme="majorHAnsi" w:hAnsiTheme="majorHAnsi"/>
          <w:b/>
          <w:i/>
          <w:color w:val="FF0000"/>
          <w:sz w:val="20"/>
          <w:szCs w:val="20"/>
        </w:rPr>
      </w:pPr>
    </w:p>
    <w:p w14:paraId="7D04CBBB" w14:textId="77777777" w:rsidR="00874519" w:rsidRDefault="00874519" w:rsidP="00542C4F">
      <w:pPr>
        <w:rPr>
          <w:rFonts w:asciiTheme="majorHAnsi" w:hAnsiTheme="majorHAnsi"/>
          <w:b/>
          <w:i/>
          <w:color w:val="FF0000"/>
          <w:sz w:val="20"/>
          <w:szCs w:val="20"/>
        </w:rPr>
      </w:pPr>
    </w:p>
    <w:p w14:paraId="3C08AFEF" w14:textId="77777777" w:rsidR="00874519" w:rsidRDefault="00874519" w:rsidP="00542C4F">
      <w:pPr>
        <w:rPr>
          <w:rFonts w:asciiTheme="majorHAnsi" w:hAnsiTheme="majorHAnsi"/>
          <w:b/>
          <w:i/>
          <w:color w:val="FF0000"/>
          <w:sz w:val="20"/>
          <w:szCs w:val="20"/>
        </w:rPr>
      </w:pPr>
    </w:p>
    <w:p w14:paraId="345225FD" w14:textId="77777777" w:rsidR="00874519" w:rsidRDefault="00874519" w:rsidP="00542C4F">
      <w:pPr>
        <w:rPr>
          <w:rFonts w:asciiTheme="majorHAnsi" w:hAnsiTheme="majorHAnsi"/>
          <w:b/>
          <w:i/>
          <w:color w:val="FF0000"/>
          <w:sz w:val="20"/>
          <w:szCs w:val="20"/>
        </w:rPr>
      </w:pPr>
    </w:p>
    <w:p w14:paraId="4E881D4C" w14:textId="77777777" w:rsidR="00874519" w:rsidRDefault="00874519" w:rsidP="00542C4F">
      <w:pPr>
        <w:rPr>
          <w:rFonts w:asciiTheme="majorHAnsi" w:hAnsiTheme="majorHAnsi"/>
          <w:b/>
          <w:i/>
          <w:color w:val="FF0000"/>
          <w:sz w:val="20"/>
          <w:szCs w:val="20"/>
        </w:rPr>
      </w:pPr>
    </w:p>
    <w:p w14:paraId="56D8C3E6" w14:textId="77777777" w:rsidR="00874519" w:rsidRDefault="00874519" w:rsidP="00542C4F">
      <w:pPr>
        <w:rPr>
          <w:rFonts w:asciiTheme="majorHAnsi" w:hAnsiTheme="majorHAnsi"/>
          <w:b/>
          <w:i/>
          <w:color w:val="FF0000"/>
          <w:sz w:val="20"/>
          <w:szCs w:val="20"/>
        </w:rPr>
      </w:pPr>
    </w:p>
    <w:p w14:paraId="54E03FD8" w14:textId="77777777" w:rsidR="00874519" w:rsidRDefault="00874519" w:rsidP="00542C4F">
      <w:pPr>
        <w:rPr>
          <w:rFonts w:asciiTheme="majorHAnsi" w:hAnsiTheme="majorHAnsi"/>
          <w:b/>
          <w:i/>
          <w:color w:val="FF0000"/>
          <w:sz w:val="20"/>
          <w:szCs w:val="20"/>
        </w:rPr>
      </w:pPr>
    </w:p>
    <w:p w14:paraId="39FE33E3" w14:textId="77777777" w:rsidR="00874519" w:rsidRDefault="00874519" w:rsidP="00542C4F">
      <w:pPr>
        <w:rPr>
          <w:rFonts w:asciiTheme="majorHAnsi" w:hAnsiTheme="majorHAnsi"/>
          <w:b/>
          <w:i/>
          <w:color w:val="FF0000"/>
          <w:sz w:val="20"/>
          <w:szCs w:val="20"/>
        </w:rPr>
      </w:pPr>
    </w:p>
    <w:p w14:paraId="68194CF3" w14:textId="77777777" w:rsidR="00874519" w:rsidRDefault="00874519" w:rsidP="00542C4F">
      <w:pPr>
        <w:rPr>
          <w:rFonts w:asciiTheme="majorHAnsi" w:hAnsiTheme="majorHAnsi"/>
          <w:b/>
          <w:i/>
          <w:color w:val="FF0000"/>
          <w:sz w:val="20"/>
          <w:szCs w:val="20"/>
        </w:rPr>
      </w:pPr>
    </w:p>
    <w:p w14:paraId="2DA9FD0A" w14:textId="77777777" w:rsidR="00874519" w:rsidRDefault="00874519" w:rsidP="00542C4F">
      <w:pPr>
        <w:rPr>
          <w:rFonts w:asciiTheme="majorHAnsi" w:hAnsiTheme="majorHAnsi"/>
          <w:b/>
          <w:i/>
          <w:color w:val="FF0000"/>
          <w:sz w:val="20"/>
          <w:szCs w:val="20"/>
        </w:rPr>
      </w:pPr>
    </w:p>
    <w:p w14:paraId="6D5D3EA6" w14:textId="77777777" w:rsidR="00874519" w:rsidRDefault="00874519" w:rsidP="00542C4F">
      <w:pPr>
        <w:rPr>
          <w:rFonts w:asciiTheme="majorHAnsi" w:hAnsiTheme="majorHAnsi"/>
          <w:b/>
          <w:i/>
          <w:color w:val="FF0000"/>
          <w:sz w:val="20"/>
          <w:szCs w:val="20"/>
        </w:rPr>
      </w:pPr>
    </w:p>
    <w:p w14:paraId="2D39543A" w14:textId="77777777" w:rsidR="00874519" w:rsidRDefault="00874519" w:rsidP="00542C4F">
      <w:pPr>
        <w:rPr>
          <w:rFonts w:asciiTheme="majorHAnsi" w:hAnsiTheme="majorHAnsi"/>
          <w:b/>
          <w:i/>
          <w:color w:val="FF0000"/>
          <w:sz w:val="20"/>
          <w:szCs w:val="20"/>
        </w:rPr>
      </w:pPr>
    </w:p>
    <w:p w14:paraId="0B60FA88" w14:textId="77777777" w:rsidR="00874519" w:rsidRDefault="00874519" w:rsidP="00542C4F">
      <w:pPr>
        <w:rPr>
          <w:rFonts w:asciiTheme="majorHAnsi" w:hAnsiTheme="majorHAnsi"/>
          <w:b/>
          <w:i/>
          <w:color w:val="FF0000"/>
          <w:sz w:val="20"/>
          <w:szCs w:val="20"/>
        </w:rPr>
      </w:pPr>
    </w:p>
    <w:p w14:paraId="2277F57F" w14:textId="77777777" w:rsidR="00874519" w:rsidRDefault="00874519" w:rsidP="00542C4F">
      <w:pPr>
        <w:rPr>
          <w:rFonts w:asciiTheme="majorHAnsi" w:hAnsiTheme="majorHAnsi"/>
          <w:b/>
          <w:i/>
          <w:color w:val="FF0000"/>
          <w:sz w:val="20"/>
          <w:szCs w:val="20"/>
        </w:rPr>
      </w:pPr>
    </w:p>
    <w:p w14:paraId="471F0892" w14:textId="77777777" w:rsidR="00B31E6F" w:rsidRDefault="00B31E6F" w:rsidP="00542C4F">
      <w:pPr>
        <w:rPr>
          <w:rFonts w:asciiTheme="majorHAnsi" w:hAnsiTheme="majorHAnsi"/>
          <w:b/>
          <w:i/>
          <w:color w:val="FF0000"/>
          <w:sz w:val="20"/>
          <w:szCs w:val="20"/>
        </w:rPr>
      </w:pPr>
    </w:p>
    <w:p w14:paraId="0C98A834" w14:textId="77777777" w:rsidR="00B31E6F" w:rsidRDefault="00B31E6F" w:rsidP="00542C4F">
      <w:pPr>
        <w:rPr>
          <w:rFonts w:asciiTheme="majorHAnsi" w:hAnsiTheme="majorHAnsi"/>
          <w:b/>
          <w:i/>
          <w:color w:val="FF0000"/>
          <w:sz w:val="20"/>
          <w:szCs w:val="20"/>
        </w:rPr>
      </w:pPr>
    </w:p>
    <w:p w14:paraId="6C0A1B90" w14:textId="77777777" w:rsidR="00874519" w:rsidRDefault="00874519" w:rsidP="00542C4F">
      <w:pPr>
        <w:rPr>
          <w:rFonts w:asciiTheme="majorHAnsi" w:hAnsiTheme="majorHAnsi"/>
          <w:b/>
          <w:i/>
          <w:color w:val="FF0000"/>
          <w:sz w:val="20"/>
          <w:szCs w:val="20"/>
        </w:rPr>
      </w:pPr>
    </w:p>
    <w:p w14:paraId="66D0B436" w14:textId="77777777" w:rsidR="003F2A89" w:rsidRPr="00A15863" w:rsidRDefault="003F2A89" w:rsidP="00542C4F">
      <w:pPr>
        <w:rPr>
          <w:rFonts w:asciiTheme="majorHAnsi" w:hAnsiTheme="majorHAnsi"/>
          <w:sz w:val="20"/>
          <w:szCs w:val="20"/>
        </w:rPr>
      </w:pPr>
    </w:p>
    <w:sectPr w:rsidR="003F2A89" w:rsidRPr="00A15863" w:rsidSect="006E3977">
      <w:footerReference w:type="even" r:id="rId8"/>
      <w:footerReference w:type="default" r:id="rId9"/>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8529DD" w14:textId="77777777" w:rsidR="00513FD7" w:rsidRDefault="00513FD7" w:rsidP="009771BE">
      <w:pPr>
        <w:spacing w:after="0" w:line="240" w:lineRule="auto"/>
      </w:pPr>
      <w:r>
        <w:separator/>
      </w:r>
    </w:p>
  </w:endnote>
  <w:endnote w:type="continuationSeparator" w:id="0">
    <w:p w14:paraId="5CFEE86C" w14:textId="77777777" w:rsidR="00513FD7" w:rsidRDefault="00513FD7" w:rsidP="00977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0000500000000020000"/>
    <w:charset w:val="00"/>
    <w:family w:val="auto"/>
    <w:pitch w:val="variable"/>
    <w:sig w:usb0="00000003" w:usb1="00000000" w:usb2="00000000" w:usb3="00000000" w:csb0="00000001" w:csb1="00000000"/>
  </w:font>
  <w:font w:name="CMUBright-Roman">
    <w:altName w:val="Cambria"/>
    <w:panose1 w:val="00000000000000000000"/>
    <w:charset w:val="00"/>
    <w:family w:val="auto"/>
    <w:notTrueType/>
    <w:pitch w:val="default"/>
    <w:sig w:usb0="00000003" w:usb1="00000000" w:usb2="00000000" w:usb3="00000000" w:csb0="00000001" w:csb1="00000000"/>
  </w:font>
  <w:font w:name="CMUBright-Bold">
    <w:altName w:val="Cambria"/>
    <w:panose1 w:val="00000000000000000000"/>
    <w:charset w:val="00"/>
    <w:family w:val="auto"/>
    <w:notTrueType/>
    <w:pitch w:val="default"/>
    <w:sig w:usb0="00000003" w:usb1="00000000" w:usb2="00000000" w:usb3="00000000" w:csb0="00000001" w:csb1="00000000"/>
  </w:font>
  <w:font w:name="Lato-Light">
    <w:altName w:val="Cambria"/>
    <w:panose1 w:val="00000000000000000000"/>
    <w:charset w:val="00"/>
    <w:family w:val="auto"/>
    <w:notTrueType/>
    <w:pitch w:val="default"/>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70FE3" w14:textId="77777777" w:rsidR="009771BE" w:rsidRDefault="009771BE" w:rsidP="00500821">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0478B47" w14:textId="77777777" w:rsidR="009771BE" w:rsidRDefault="009771BE" w:rsidP="009771BE">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413EE0" w14:textId="77777777" w:rsidR="009771BE" w:rsidRDefault="009771BE" w:rsidP="00500821">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513FD7">
      <w:rPr>
        <w:rStyle w:val="Numrodepage"/>
        <w:noProof/>
      </w:rPr>
      <w:t>1</w:t>
    </w:r>
    <w:r>
      <w:rPr>
        <w:rStyle w:val="Numrodepage"/>
      </w:rPr>
      <w:fldChar w:fldCharType="end"/>
    </w:r>
  </w:p>
  <w:p w14:paraId="1492CFF9" w14:textId="77777777" w:rsidR="009771BE" w:rsidRDefault="009771BE" w:rsidP="009771BE">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26AD3C" w14:textId="77777777" w:rsidR="00513FD7" w:rsidRDefault="00513FD7" w:rsidP="009771BE">
      <w:pPr>
        <w:spacing w:after="0" w:line="240" w:lineRule="auto"/>
      </w:pPr>
      <w:r>
        <w:separator/>
      </w:r>
    </w:p>
  </w:footnote>
  <w:footnote w:type="continuationSeparator" w:id="0">
    <w:p w14:paraId="78ACD9FD" w14:textId="77777777" w:rsidR="00513FD7" w:rsidRDefault="00513FD7" w:rsidP="009771B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B"/>
    <w:multiLevelType w:val="singleLevel"/>
    <w:tmpl w:val="0000000B"/>
    <w:lvl w:ilvl="0">
      <w:numFmt w:val="bullet"/>
      <w:lvlText w:val=""/>
      <w:lvlJc w:val="left"/>
      <w:pPr>
        <w:tabs>
          <w:tab w:val="num" w:pos="0"/>
        </w:tabs>
        <w:ind w:left="360" w:hanging="360"/>
      </w:pPr>
      <w:rPr>
        <w:rFonts w:ascii="Symbol" w:hAnsi="Symbol"/>
      </w:rPr>
    </w:lvl>
  </w:abstractNum>
  <w:abstractNum w:abstractNumId="9">
    <w:nsid w:val="0000000C"/>
    <w:multiLevelType w:val="singleLevel"/>
    <w:tmpl w:val="0000000C"/>
    <w:lvl w:ilvl="0">
      <w:numFmt w:val="bullet"/>
      <w:lvlText w:val=""/>
      <w:lvlJc w:val="left"/>
      <w:pPr>
        <w:tabs>
          <w:tab w:val="num" w:pos="0"/>
        </w:tabs>
        <w:ind w:left="360" w:hanging="360"/>
      </w:pPr>
      <w:rPr>
        <w:rFonts w:ascii="Symbol" w:hAnsi="Symbol"/>
      </w:rPr>
    </w:lvl>
  </w:abstractNum>
  <w:abstractNum w:abstractNumId="10">
    <w:nsid w:val="0000000D"/>
    <w:multiLevelType w:val="singleLevel"/>
    <w:tmpl w:val="0000000D"/>
    <w:lvl w:ilvl="0">
      <w:numFmt w:val="bullet"/>
      <w:lvlText w:val=""/>
      <w:lvlJc w:val="left"/>
      <w:pPr>
        <w:tabs>
          <w:tab w:val="num" w:pos="0"/>
        </w:tabs>
        <w:ind w:left="360" w:hanging="360"/>
      </w:pPr>
      <w:rPr>
        <w:rFonts w:ascii="Symbol" w:hAnsi="Symbol"/>
      </w:rPr>
    </w:lvl>
  </w:abstractNum>
  <w:abstractNum w:abstractNumId="11">
    <w:nsid w:val="00000010"/>
    <w:multiLevelType w:val="multilevel"/>
    <w:tmpl w:val="00000010"/>
    <w:name w:val="WWNum4"/>
    <w:lvl w:ilvl="0">
      <w:start w:val="1"/>
      <w:numFmt w:val="bullet"/>
      <w:lvlText w:val="-"/>
      <w:lvlJc w:val="left"/>
      <w:pPr>
        <w:tabs>
          <w:tab w:val="num" w:pos="0"/>
        </w:tabs>
        <w:ind w:left="720" w:hanging="360"/>
      </w:pPr>
      <w:rPr>
        <w:rFonts w:ascii="Times New Roman" w:hAnsi="Times New Roman" w:cs="Calibri"/>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2">
    <w:nsid w:val="00000011"/>
    <w:multiLevelType w:val="singleLevel"/>
    <w:tmpl w:val="00000011"/>
    <w:lvl w:ilvl="0">
      <w:numFmt w:val="bullet"/>
      <w:lvlText w:val=""/>
      <w:lvlJc w:val="left"/>
      <w:pPr>
        <w:tabs>
          <w:tab w:val="num" w:pos="0"/>
        </w:tabs>
        <w:ind w:left="360" w:hanging="360"/>
      </w:pPr>
      <w:rPr>
        <w:rFonts w:ascii="Symbol" w:hAnsi="Symbol"/>
      </w:rPr>
    </w:lvl>
  </w:abstractNum>
  <w:abstractNum w:abstractNumId="13">
    <w:nsid w:val="00000012"/>
    <w:multiLevelType w:val="singleLevel"/>
    <w:tmpl w:val="00000012"/>
    <w:lvl w:ilvl="0">
      <w:numFmt w:val="bullet"/>
      <w:lvlText w:val=""/>
      <w:lvlJc w:val="left"/>
      <w:pPr>
        <w:tabs>
          <w:tab w:val="num" w:pos="0"/>
        </w:tabs>
        <w:ind w:left="360" w:hanging="360"/>
      </w:pPr>
      <w:rPr>
        <w:rFonts w:ascii="Symbol" w:hAnsi="Symbol"/>
      </w:rPr>
    </w:lvl>
  </w:abstractNum>
  <w:abstractNum w:abstractNumId="14">
    <w:nsid w:val="00000013"/>
    <w:multiLevelType w:val="singleLevel"/>
    <w:tmpl w:val="00000013"/>
    <w:lvl w:ilvl="0">
      <w:numFmt w:val="bullet"/>
      <w:lvlText w:val=""/>
      <w:lvlJc w:val="left"/>
      <w:pPr>
        <w:tabs>
          <w:tab w:val="num" w:pos="0"/>
        </w:tabs>
        <w:ind w:left="360" w:hanging="360"/>
      </w:pPr>
      <w:rPr>
        <w:rFonts w:ascii="Symbol" w:hAnsi="Symbol"/>
      </w:rPr>
    </w:lvl>
  </w:abstractNum>
  <w:abstractNum w:abstractNumId="15">
    <w:nsid w:val="00000014"/>
    <w:multiLevelType w:val="singleLevel"/>
    <w:tmpl w:val="00000014"/>
    <w:lvl w:ilvl="0">
      <w:numFmt w:val="bullet"/>
      <w:lvlText w:val=""/>
      <w:lvlJc w:val="left"/>
      <w:pPr>
        <w:tabs>
          <w:tab w:val="num" w:pos="0"/>
        </w:tabs>
        <w:ind w:left="360" w:hanging="360"/>
      </w:pPr>
      <w:rPr>
        <w:rFonts w:ascii="Symbol" w:hAnsi="Symbol"/>
      </w:rPr>
    </w:lvl>
  </w:abstractNum>
  <w:abstractNum w:abstractNumId="16">
    <w:nsid w:val="00000015"/>
    <w:multiLevelType w:val="singleLevel"/>
    <w:tmpl w:val="00000015"/>
    <w:lvl w:ilvl="0">
      <w:numFmt w:val="bullet"/>
      <w:lvlText w:val=""/>
      <w:lvlJc w:val="left"/>
      <w:pPr>
        <w:tabs>
          <w:tab w:val="num" w:pos="0"/>
        </w:tabs>
        <w:ind w:left="360" w:hanging="360"/>
      </w:pPr>
      <w:rPr>
        <w:rFonts w:ascii="Symbol" w:hAnsi="Symbol"/>
      </w:rPr>
    </w:lvl>
  </w:abstractNum>
  <w:abstractNum w:abstractNumId="17">
    <w:nsid w:val="03004A07"/>
    <w:multiLevelType w:val="hybridMultilevel"/>
    <w:tmpl w:val="FC725F48"/>
    <w:lvl w:ilvl="0" w:tplc="FC00575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16D40443"/>
    <w:multiLevelType w:val="hybridMultilevel"/>
    <w:tmpl w:val="890C3BC8"/>
    <w:lvl w:ilvl="0" w:tplc="A17202D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1C825D06"/>
    <w:multiLevelType w:val="hybridMultilevel"/>
    <w:tmpl w:val="622215C6"/>
    <w:lvl w:ilvl="0" w:tplc="9A3C9FC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22D87C81"/>
    <w:multiLevelType w:val="hybridMultilevel"/>
    <w:tmpl w:val="BD38A8A4"/>
    <w:lvl w:ilvl="0" w:tplc="1E4E0B7A">
      <w:start w:val="1"/>
      <w:numFmt w:val="upperLetter"/>
      <w:lvlText w:val="%1-"/>
      <w:lvlJc w:val="left"/>
      <w:pPr>
        <w:ind w:left="643" w:hanging="360"/>
      </w:pPr>
      <w:rPr>
        <w:rFonts w:ascii="Calibri" w:hAnsi="Calibri" w:hint="default"/>
        <w:color w:val="008F46"/>
      </w:rPr>
    </w:lvl>
    <w:lvl w:ilvl="1" w:tplc="040C0019" w:tentative="1">
      <w:start w:val="1"/>
      <w:numFmt w:val="lowerLetter"/>
      <w:lvlText w:val="%2."/>
      <w:lvlJc w:val="left"/>
      <w:pPr>
        <w:ind w:left="1363" w:hanging="360"/>
      </w:pPr>
    </w:lvl>
    <w:lvl w:ilvl="2" w:tplc="040C001B" w:tentative="1">
      <w:start w:val="1"/>
      <w:numFmt w:val="lowerRoman"/>
      <w:lvlText w:val="%3."/>
      <w:lvlJc w:val="right"/>
      <w:pPr>
        <w:ind w:left="2083" w:hanging="180"/>
      </w:pPr>
    </w:lvl>
    <w:lvl w:ilvl="3" w:tplc="040C000F" w:tentative="1">
      <w:start w:val="1"/>
      <w:numFmt w:val="decimal"/>
      <w:lvlText w:val="%4."/>
      <w:lvlJc w:val="left"/>
      <w:pPr>
        <w:ind w:left="2803" w:hanging="360"/>
      </w:pPr>
    </w:lvl>
    <w:lvl w:ilvl="4" w:tplc="040C0019" w:tentative="1">
      <w:start w:val="1"/>
      <w:numFmt w:val="lowerLetter"/>
      <w:lvlText w:val="%5."/>
      <w:lvlJc w:val="left"/>
      <w:pPr>
        <w:ind w:left="3523" w:hanging="360"/>
      </w:pPr>
    </w:lvl>
    <w:lvl w:ilvl="5" w:tplc="040C001B" w:tentative="1">
      <w:start w:val="1"/>
      <w:numFmt w:val="lowerRoman"/>
      <w:lvlText w:val="%6."/>
      <w:lvlJc w:val="right"/>
      <w:pPr>
        <w:ind w:left="4243" w:hanging="180"/>
      </w:pPr>
    </w:lvl>
    <w:lvl w:ilvl="6" w:tplc="040C000F" w:tentative="1">
      <w:start w:val="1"/>
      <w:numFmt w:val="decimal"/>
      <w:lvlText w:val="%7."/>
      <w:lvlJc w:val="left"/>
      <w:pPr>
        <w:ind w:left="4963" w:hanging="360"/>
      </w:pPr>
    </w:lvl>
    <w:lvl w:ilvl="7" w:tplc="040C0019" w:tentative="1">
      <w:start w:val="1"/>
      <w:numFmt w:val="lowerLetter"/>
      <w:lvlText w:val="%8."/>
      <w:lvlJc w:val="left"/>
      <w:pPr>
        <w:ind w:left="5683" w:hanging="360"/>
      </w:pPr>
    </w:lvl>
    <w:lvl w:ilvl="8" w:tplc="040C001B" w:tentative="1">
      <w:start w:val="1"/>
      <w:numFmt w:val="lowerRoman"/>
      <w:lvlText w:val="%9."/>
      <w:lvlJc w:val="right"/>
      <w:pPr>
        <w:ind w:left="6403" w:hanging="180"/>
      </w:pPr>
    </w:lvl>
  </w:abstractNum>
  <w:abstractNum w:abstractNumId="21">
    <w:nsid w:val="28AD23D8"/>
    <w:multiLevelType w:val="hybridMultilevel"/>
    <w:tmpl w:val="7610B5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C351640"/>
    <w:multiLevelType w:val="hybridMultilevel"/>
    <w:tmpl w:val="C674EA3A"/>
    <w:lvl w:ilvl="0" w:tplc="74569D2A">
      <w:start w:val="2"/>
      <w:numFmt w:val="upperLetter"/>
      <w:lvlText w:val="%1-"/>
      <w:lvlJc w:val="left"/>
      <w:pPr>
        <w:ind w:left="1003" w:hanging="360"/>
      </w:pPr>
      <w:rPr>
        <w:rFonts w:ascii="Calibri" w:hAnsi="Calibri" w:hint="default"/>
        <w:b/>
        <w:i w:val="0"/>
        <w:color w:val="E36C0A" w:themeColor="accent6" w:themeShade="BF"/>
        <w:u w:val="single"/>
      </w:rPr>
    </w:lvl>
    <w:lvl w:ilvl="1" w:tplc="040C0019" w:tentative="1">
      <w:start w:val="1"/>
      <w:numFmt w:val="lowerLetter"/>
      <w:lvlText w:val="%2."/>
      <w:lvlJc w:val="left"/>
      <w:pPr>
        <w:ind w:left="1723" w:hanging="360"/>
      </w:pPr>
    </w:lvl>
    <w:lvl w:ilvl="2" w:tplc="040C001B" w:tentative="1">
      <w:start w:val="1"/>
      <w:numFmt w:val="lowerRoman"/>
      <w:lvlText w:val="%3."/>
      <w:lvlJc w:val="right"/>
      <w:pPr>
        <w:ind w:left="2443" w:hanging="180"/>
      </w:pPr>
    </w:lvl>
    <w:lvl w:ilvl="3" w:tplc="040C000F" w:tentative="1">
      <w:start w:val="1"/>
      <w:numFmt w:val="decimal"/>
      <w:lvlText w:val="%4."/>
      <w:lvlJc w:val="left"/>
      <w:pPr>
        <w:ind w:left="3163" w:hanging="360"/>
      </w:pPr>
    </w:lvl>
    <w:lvl w:ilvl="4" w:tplc="040C0019" w:tentative="1">
      <w:start w:val="1"/>
      <w:numFmt w:val="lowerLetter"/>
      <w:lvlText w:val="%5."/>
      <w:lvlJc w:val="left"/>
      <w:pPr>
        <w:ind w:left="3883" w:hanging="360"/>
      </w:pPr>
    </w:lvl>
    <w:lvl w:ilvl="5" w:tplc="040C001B" w:tentative="1">
      <w:start w:val="1"/>
      <w:numFmt w:val="lowerRoman"/>
      <w:lvlText w:val="%6."/>
      <w:lvlJc w:val="right"/>
      <w:pPr>
        <w:ind w:left="4603" w:hanging="180"/>
      </w:pPr>
    </w:lvl>
    <w:lvl w:ilvl="6" w:tplc="040C000F" w:tentative="1">
      <w:start w:val="1"/>
      <w:numFmt w:val="decimal"/>
      <w:lvlText w:val="%7."/>
      <w:lvlJc w:val="left"/>
      <w:pPr>
        <w:ind w:left="5323" w:hanging="360"/>
      </w:pPr>
    </w:lvl>
    <w:lvl w:ilvl="7" w:tplc="040C0019" w:tentative="1">
      <w:start w:val="1"/>
      <w:numFmt w:val="lowerLetter"/>
      <w:lvlText w:val="%8."/>
      <w:lvlJc w:val="left"/>
      <w:pPr>
        <w:ind w:left="6043" w:hanging="360"/>
      </w:pPr>
    </w:lvl>
    <w:lvl w:ilvl="8" w:tplc="040C001B" w:tentative="1">
      <w:start w:val="1"/>
      <w:numFmt w:val="lowerRoman"/>
      <w:lvlText w:val="%9."/>
      <w:lvlJc w:val="right"/>
      <w:pPr>
        <w:ind w:left="6763" w:hanging="180"/>
      </w:pPr>
    </w:lvl>
  </w:abstractNum>
  <w:abstractNum w:abstractNumId="23">
    <w:nsid w:val="2EE54B98"/>
    <w:multiLevelType w:val="hybridMultilevel"/>
    <w:tmpl w:val="52560528"/>
    <w:lvl w:ilvl="0" w:tplc="0F7203A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3BCD69B4"/>
    <w:multiLevelType w:val="hybridMultilevel"/>
    <w:tmpl w:val="BAD64B2E"/>
    <w:lvl w:ilvl="0" w:tplc="9EC8D548">
      <w:start w:val="1"/>
      <w:numFmt w:val="upperLetter"/>
      <w:lvlText w:val="%1-"/>
      <w:lvlJc w:val="left"/>
      <w:pPr>
        <w:ind w:left="720" w:hanging="360"/>
      </w:pPr>
      <w:rPr>
        <w:rFonts w:hint="default"/>
        <w:b w:val="0"/>
        <w:color w:val="FF0000"/>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69551CC"/>
    <w:multiLevelType w:val="hybridMultilevel"/>
    <w:tmpl w:val="E544E6AE"/>
    <w:lvl w:ilvl="0" w:tplc="48B0F40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AB51CD7"/>
    <w:multiLevelType w:val="hybridMultilevel"/>
    <w:tmpl w:val="8182DD76"/>
    <w:lvl w:ilvl="0" w:tplc="220A51B8">
      <w:start w:val="2"/>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AF668A7"/>
    <w:multiLevelType w:val="hybridMultilevel"/>
    <w:tmpl w:val="38268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84973BD"/>
    <w:multiLevelType w:val="hybridMultilevel"/>
    <w:tmpl w:val="BB821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A4F35A1"/>
    <w:multiLevelType w:val="hybridMultilevel"/>
    <w:tmpl w:val="5BD6AE9E"/>
    <w:lvl w:ilvl="0" w:tplc="F3081EBC">
      <w:start w:val="1"/>
      <w:numFmt w:val="upperLetter"/>
      <w:lvlText w:val="%1-"/>
      <w:lvlJc w:val="left"/>
      <w:pPr>
        <w:ind w:left="720" w:hanging="360"/>
      </w:pPr>
      <w:rPr>
        <w:rFonts w:hint="default"/>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6DB75482"/>
    <w:multiLevelType w:val="hybridMultilevel"/>
    <w:tmpl w:val="FC725F48"/>
    <w:lvl w:ilvl="0" w:tplc="FC00575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26"/>
  </w:num>
  <w:num w:numId="3">
    <w:abstractNumId w:val="1"/>
  </w:num>
  <w:num w:numId="4">
    <w:abstractNumId w:val="23"/>
  </w:num>
  <w:num w:numId="5">
    <w:abstractNumId w:val="12"/>
  </w:num>
  <w:num w:numId="6">
    <w:abstractNumId w:val="13"/>
  </w:num>
  <w:num w:numId="7">
    <w:abstractNumId w:val="14"/>
  </w:num>
  <w:num w:numId="8">
    <w:abstractNumId w:val="15"/>
  </w:num>
  <w:num w:numId="9">
    <w:abstractNumId w:val="16"/>
  </w:num>
  <w:num w:numId="10">
    <w:abstractNumId w:val="2"/>
  </w:num>
  <w:num w:numId="11">
    <w:abstractNumId w:val="3"/>
  </w:num>
  <w:num w:numId="12">
    <w:abstractNumId w:val="4"/>
  </w:num>
  <w:num w:numId="13">
    <w:abstractNumId w:val="5"/>
  </w:num>
  <w:num w:numId="14">
    <w:abstractNumId w:val="6"/>
  </w:num>
  <w:num w:numId="15">
    <w:abstractNumId w:val="7"/>
  </w:num>
  <w:num w:numId="16">
    <w:abstractNumId w:val="8"/>
  </w:num>
  <w:num w:numId="17">
    <w:abstractNumId w:val="9"/>
  </w:num>
  <w:num w:numId="18">
    <w:abstractNumId w:val="10"/>
  </w:num>
  <w:num w:numId="19">
    <w:abstractNumId w:val="27"/>
  </w:num>
  <w:num w:numId="20">
    <w:abstractNumId w:val="28"/>
  </w:num>
  <w:num w:numId="21">
    <w:abstractNumId w:val="17"/>
  </w:num>
  <w:num w:numId="22">
    <w:abstractNumId w:val="19"/>
  </w:num>
  <w:num w:numId="23">
    <w:abstractNumId w:val="20"/>
  </w:num>
  <w:num w:numId="24">
    <w:abstractNumId w:val="18"/>
  </w:num>
  <w:num w:numId="25">
    <w:abstractNumId w:val="30"/>
  </w:num>
  <w:num w:numId="26">
    <w:abstractNumId w:val="29"/>
  </w:num>
  <w:num w:numId="27">
    <w:abstractNumId w:val="22"/>
  </w:num>
  <w:num w:numId="28">
    <w:abstractNumId w:val="25"/>
  </w:num>
  <w:num w:numId="29">
    <w:abstractNumId w:val="24"/>
  </w:num>
  <w:num w:numId="30">
    <w:abstractNumId w:val="21"/>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977"/>
    <w:rsid w:val="000A008E"/>
    <w:rsid w:val="001311A5"/>
    <w:rsid w:val="001A799F"/>
    <w:rsid w:val="002550A2"/>
    <w:rsid w:val="0027104B"/>
    <w:rsid w:val="003F2A89"/>
    <w:rsid w:val="003F4EB2"/>
    <w:rsid w:val="00513FD7"/>
    <w:rsid w:val="00532978"/>
    <w:rsid w:val="00542C4F"/>
    <w:rsid w:val="006D39FC"/>
    <w:rsid w:val="006E3977"/>
    <w:rsid w:val="007635D4"/>
    <w:rsid w:val="00777D16"/>
    <w:rsid w:val="00782BE7"/>
    <w:rsid w:val="00787B58"/>
    <w:rsid w:val="0086289A"/>
    <w:rsid w:val="00874519"/>
    <w:rsid w:val="008D4626"/>
    <w:rsid w:val="009771BE"/>
    <w:rsid w:val="009953CA"/>
    <w:rsid w:val="009C1932"/>
    <w:rsid w:val="00A15863"/>
    <w:rsid w:val="00B31E6F"/>
    <w:rsid w:val="00B4257F"/>
    <w:rsid w:val="00BE325B"/>
    <w:rsid w:val="00C93EAA"/>
    <w:rsid w:val="00D63ADB"/>
    <w:rsid w:val="00D74F45"/>
    <w:rsid w:val="00D83806"/>
    <w:rsid w:val="00D9778D"/>
    <w:rsid w:val="00E15F2C"/>
    <w:rsid w:val="00E34137"/>
    <w:rsid w:val="00E416D3"/>
    <w:rsid w:val="00FF070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F5FC0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977"/>
    <w:pPr>
      <w:spacing w:after="200" w:line="276" w:lineRule="auto"/>
    </w:pPr>
    <w:rPr>
      <w:rFonts w:ascii="Calibri" w:eastAsia="Calibri" w:hAnsi="Calibri" w:cs="Times New Roman"/>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deliste1">
    <w:name w:val="Paragraphe de liste1"/>
    <w:basedOn w:val="Normal"/>
    <w:rsid w:val="00777D16"/>
    <w:pPr>
      <w:widowControl w:val="0"/>
      <w:suppressAutoHyphens/>
      <w:overflowPunct w:val="0"/>
      <w:autoSpaceDE w:val="0"/>
      <w:ind w:left="720"/>
      <w:textAlignment w:val="baseline"/>
    </w:pPr>
    <w:rPr>
      <w:rFonts w:ascii="Times New Roman" w:eastAsia="Times New Roman" w:hAnsi="Times New Roman"/>
      <w:color w:val="000000"/>
      <w:kern w:val="1"/>
      <w:sz w:val="24"/>
      <w:szCs w:val="20"/>
      <w:lang w:val="en-US" w:eastAsia="ar-SA"/>
    </w:rPr>
  </w:style>
  <w:style w:type="paragraph" w:styleId="Pardeliste">
    <w:name w:val="List Paragraph"/>
    <w:basedOn w:val="Normal"/>
    <w:uiPriority w:val="34"/>
    <w:qFormat/>
    <w:rsid w:val="00777D16"/>
    <w:pPr>
      <w:ind w:left="720"/>
      <w:contextualSpacing/>
    </w:pPr>
  </w:style>
  <w:style w:type="paragraph" w:styleId="Pieddepage">
    <w:name w:val="footer"/>
    <w:basedOn w:val="Normal"/>
    <w:link w:val="PieddepageCar"/>
    <w:uiPriority w:val="99"/>
    <w:unhideWhenUsed/>
    <w:rsid w:val="009771B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71BE"/>
    <w:rPr>
      <w:rFonts w:ascii="Calibri" w:eastAsia="Calibri" w:hAnsi="Calibri" w:cs="Times New Roman"/>
      <w:sz w:val="22"/>
      <w:szCs w:val="22"/>
      <w:lang w:eastAsia="en-US"/>
    </w:rPr>
  </w:style>
  <w:style w:type="character" w:styleId="Numrodepage">
    <w:name w:val="page number"/>
    <w:basedOn w:val="Policepardfaut"/>
    <w:uiPriority w:val="99"/>
    <w:semiHidden/>
    <w:unhideWhenUsed/>
    <w:rsid w:val="00977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1626</Words>
  <Characters>8944</Characters>
  <Application>Microsoft Macintosh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anouk BOISSEAU</dc:creator>
  <cp:keywords/>
  <dc:description/>
  <cp:lastModifiedBy>Utilisateur de Microsoft Office</cp:lastModifiedBy>
  <cp:revision>13</cp:revision>
  <cp:lastPrinted>2016-05-08T19:20:00Z</cp:lastPrinted>
  <dcterms:created xsi:type="dcterms:W3CDTF">2016-05-08T14:50:00Z</dcterms:created>
  <dcterms:modified xsi:type="dcterms:W3CDTF">2019-02-06T18:16:00Z</dcterms:modified>
</cp:coreProperties>
</file>