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36"/>
        </w:rPr>
        <w:t>A Fairness-Controlled Comparative Study of CNN-LSTM and MobileNetV2-Transformer Architectures for BISINDO Isolated Sign-Word Recognition</w:t>
      </w:r>
    </w:p>
    <w:p>
      <w:pPr>
        <w:spacing w:after="40"/>
        <w:jc w:val="center"/>
      </w:pPr>
      <w:r>
        <w:rPr>
          <w:rFonts w:ascii="Times New Roman" w:hAnsi="Times New Roman"/>
          <w:sz w:val="22"/>
        </w:rPr>
        <w:t>[Author Name(s) Placeholder]¹, [Co-Author Placeholder]²</w:t>
      </w:r>
    </w:p>
    <w:p>
      <w:pPr>
        <w:spacing w:after="40"/>
        <w:jc w:val="center"/>
      </w:pPr>
      <w:r>
        <w:rPr>
          <w:rFonts w:ascii="Times New Roman" w:hAnsi="Times New Roman"/>
          <w:i/>
          <w:sz w:val="18"/>
        </w:rPr>
        <w:t>¹Department of [Placeholder], [Institution Name Placeholder], [City, Country]</w:t>
        <w:br/>
        <w:t>²Department of [Placeholder], [Institution Name Placeholder], [City, Country]</w:t>
      </w:r>
    </w:p>
    <w:p>
      <w:pPr>
        <w:spacing w:after="200"/>
        <w:jc w:val="center"/>
      </w:pPr>
      <w:r>
        <w:rPr>
          <w:rFonts w:ascii="Times New Roman" w:hAnsi="Times New Roman"/>
          <w:sz w:val="18"/>
        </w:rPr>
        <w:t>{email1, email2}@placeholder-institution.ac.id</w:t>
      </w:r>
    </w:p>
    <w:p>
      <w:pPr>
        <w:spacing w:after="120"/>
        <w:jc w:val="both"/>
      </w:pPr>
      <w:r>
        <w:rPr>
          <w:rFonts w:ascii="Times New Roman" w:hAnsi="Times New Roman"/>
          <w:b/>
          <w:i/>
          <w:sz w:val="18"/>
        </w:rPr>
        <w:t>Abstract—</w:t>
      </w:r>
      <w:r>
        <w:rPr>
          <w:rFonts w:ascii="Times New Roman" w:hAnsi="Times New Roman"/>
          <w:sz w:val="18"/>
        </w:rPr>
        <w:t>Automatic recognition of Indonesian Sign Language (Bahasa Isyarat Indonesia, BISINDO) from video is a practical step toward reducing the communication barrier faced by the Deaf community. Prior work compared a CNN-LSTM-with-attention architecture against a MobileNetV2-Transformer architecture on a 32-class isolated-word BISINDO dataset (WLBisindo), but the comparison confounded architecture choice with unmatched fine-tuning depth (the CNN backbone was fully fine-tuned while the MobileNet backbone was only partially fine-tuned), used a single fixed temporal-pooling strategy for the Transformer branch, relied on a naive frame-differencing motion cue, and reported no efficiency or statistical-significance analysis. This paper re-designs the experimental protocol to remove these confounds. We introduce (1) a fairness-controlled fine-tuning-depth ablation applied identically to both backbones through a unified block-freezing controller, (2) a temporal-pooling ablation for the Transformer branch (last-token, mean, and Bahdanau attention pooling), (3) a motion-representation ablation that replaces normalized frame differencing with dense Farneback optical flow, and (4) a combined efficiency and statistical-significance evaluation protocol (parameter count, FLOPs, CPU/GPU latency, per-class F1, McNemar's test, and paired bootstrap confidence intervals). This framework yields a controlled, reviewer-defensible comparison between the two architectures and quantifies, rather than assumes, the accuracy-efficiency trade-off relevant to on-device BISINDO recognition. [Result placeholders are reported in Section IV pending completion of all ablation runs.]</w:t>
      </w:r>
    </w:p>
    <w:p>
      <w:pPr>
        <w:spacing w:after="200"/>
        <w:jc w:val="both"/>
      </w:pPr>
      <w:r>
        <w:rPr>
          <w:rFonts w:ascii="Times New Roman" w:hAnsi="Times New Roman"/>
          <w:b/>
          <w:i/>
          <w:sz w:val="18"/>
        </w:rPr>
        <w:t>Keywords—</w:t>
      </w:r>
      <w:r>
        <w:rPr>
          <w:rFonts w:ascii="Times New Roman" w:hAnsi="Times New Roman"/>
          <w:i/>
          <w:sz w:val="18"/>
        </w:rPr>
        <w:t>BISINDO; sign language recognition; CNN-LSTM; MobileNetV2; Transformer; attention pooling; optical flow; ablation study; McNemar's test</w:t>
      </w:r>
    </w:p>
    <w:p>
      <w:pPr>
        <w:sectPr>
          <w:pgSz w:w="12240" w:h="15840"/>
          <w:pgMar w:top="1080" w:right="900" w:bottom="1440" w:left="900" w:header="720" w:footer="720" w:gutter="0"/>
          <w:cols w:space="720"/>
          <w:docGrid w:linePitch="360"/>
        </w:sectPr>
      </w:pPr>
    </w:p>
    <w:p>
      <w:pPr>
        <w:spacing w:before="200" w:after="120"/>
        <w:jc w:val="center"/>
      </w:pPr>
      <w:r>
        <w:rPr>
          <w:rFonts w:ascii="Times New Roman" w:hAnsi="Times New Roman"/>
          <w:b/>
          <w:sz w:val="20"/>
        </w:rPr>
        <w:t>I. INTRODUCTION</w:t>
      </w:r>
    </w:p>
    <w:p>
      <w:pPr>
        <w:spacing w:after="120" w:line="240" w:lineRule="auto"/>
        <w:ind w:firstLine="288"/>
        <w:jc w:val="both"/>
      </w:pPr>
      <w:r>
        <w:rPr>
          <w:rFonts w:ascii="Times New Roman" w:hAnsi="Times New Roman"/>
          <w:sz w:val="20"/>
        </w:rPr>
        <w:t>Sign language is the primary means of communication for the Deaf and hard-of-hearing community, yet the number of hearing individuals who understand it remains small relative to the size of that community. In Indonesia, Bahasa Isyarat Indonesia (BISINDO) is one of the two sign systems in common use, alongside the more formally standardized Sistem Bahasa Isyarat Indonesia (SIBI). Automatic sign language recognition (SLR) systems that translate signed gestures into text or speech can narrow this communication gap in settings such as public services, education, and everyday social interaction. Video-based isolated-word SLR, where a system classifies a short video clip into one of a fixed vocabulary of glosses, is a tractable and practically useful first step toward more general continuous SLR and is the setting studied in this paper.</w:t>
      </w:r>
    </w:p>
    <w:p>
      <w:pPr>
        <w:spacing w:after="120" w:line="240" w:lineRule="auto"/>
        <w:ind w:firstLine="288"/>
        <w:jc w:val="both"/>
      </w:pPr>
      <w:r>
        <w:rPr>
          <w:rFonts w:ascii="Times New Roman" w:hAnsi="Times New Roman"/>
          <w:sz w:val="20"/>
        </w:rPr>
        <w:t>Two broad families of deep learning architectures dominate recent video-based gesture and sign recognition work: (i) convolutional backbones combined with a recurrent temporal model, typically a long short-term memory (LSTM) network, optionally augmented with an attention mechanism over the temporal axis, and (ii) lightweight mobile-oriented convolutional backbones combined with a self-attention-based Transformer encoder over the temporal axis. The first family is usually more accurate but heavier, while the second is designed for resource-constrained deployment at some accuracy cost. A meaningful comparison between the two families should therefore report not only accuracy but also the computational cost of each option, since the choice in a real deployment (e.g., an on-device or edge BISINDO translation assistant) is rarely accuracy alone.</w:t>
      </w:r>
    </w:p>
    <w:p>
      <w:pPr>
        <w:spacing w:after="120" w:line="240" w:lineRule="auto"/>
        <w:ind w:firstLine="288"/>
        <w:jc w:val="both"/>
      </w:pPr>
      <w:r>
        <w:rPr>
          <w:rFonts w:ascii="Times New Roman" w:hAnsi="Times New Roman"/>
          <w:sz w:val="20"/>
        </w:rPr>
        <w:t>A previous internal study within this line of work trained a ResNet-18-based CNN-LSTM-with-attention model and a MobileNetV2-based Transformer model on a self-collected 32-class isolated-word BISINDO dataset (WLBisindo) and reported that the CNN-LSTM model reached a higher validation accuracy than the MobileNetV2-Transformer model. On closer inspection of that experimental setup, however, we identified several methodological issues that make the reported comparison difficult to interpret as an architecture-vs-architecture result: (a) the CNN-LSTM backbone was fine-tuned in its entirety, while the MobileNetV2 backbone had only its last four of nineteen top-level blocks unfrozen, so part of the accuracy gap may be attributable to fine-tuning budget rather than architecture; (b) the Transformer branch used a single, architecturally restrictive pooling strategy (reading out only the final time step of the encoder output), discarding the context the encoder computed for every earlier frame, while the CNN-LSTM branch used a learned attention pooling over the full sequence; (c) the 6-channel input representation used a computationally negligible but conceptually weak motion cue -- the per-pixel difference between consecutive normalized RGB frames -- rather than an explicit optical flow estimate; and (d) no computational-cost figures (parameter count, floating point operations, or inference latency) and no test of statistical significance were reported alongside the accuracy numbers, both of which are commonly expected by reviewers of architecture-comparison papers.</w:t>
      </w:r>
    </w:p>
    <w:p>
      <w:pPr>
        <w:spacing w:after="120" w:line="240" w:lineRule="auto"/>
        <w:ind w:firstLine="288"/>
        <w:jc w:val="both"/>
      </w:pPr>
      <w:r>
        <w:rPr>
          <w:rFonts w:ascii="Times New Roman" w:hAnsi="Times New Roman"/>
          <w:sz w:val="20"/>
        </w:rPr>
        <w:t>This paper addresses these four issues directly by redesigning the training and evaluation protocol rather than by discarding the underlying dataset or architectures, which remain a reasonable and under-studied pairing for BISINDO recognition. Concretely, this paper makes the following contributions.</w:t>
      </w:r>
    </w:p>
    <w:p>
      <w:pPr>
        <w:spacing w:after="120" w:line="240" w:lineRule="auto"/>
        <w:ind w:firstLine="288"/>
        <w:jc w:val="both"/>
      </w:pPr>
      <w:r>
        <w:rPr>
          <w:rFonts w:ascii="Times New Roman" w:hAnsi="Times New Roman"/>
          <w:sz w:val="20"/>
        </w:rPr>
        <w:t>First, we introduce a fairness-controlled fine-tuning-depth ablation: both backbones are equipped with an identical block-freezing controller that exposes the number of trainable top-level backbone blocks as an explicit, comparable hyperparameter, allowing the CNN-LSTM and MobileNetV2-Transformer models to be trained and compared under matched fine-tuning budgets in both directions (full fine-tuning for both, and restricted fine-tuning for both), rather than only in the originally reported, unmatched configuration.</w:t>
      </w:r>
    </w:p>
    <w:p>
      <w:pPr>
        <w:spacing w:after="120" w:line="240" w:lineRule="auto"/>
        <w:ind w:firstLine="288"/>
        <w:jc w:val="both"/>
      </w:pPr>
      <w:r>
        <w:rPr>
          <w:rFonts w:ascii="Times New Roman" w:hAnsi="Times New Roman"/>
          <w:sz w:val="20"/>
        </w:rPr>
        <w:t>Second, we introduce a temporal-pooling ablation for the Transformer branch, extending it with the same Bahdanau-style additive attention pooling used by the CNN-LSTM branch and with a parameter-free mean pooling over time, and compare both against the original last-token pooling to determine whether the accuracy gap between the two architectures is partly attributable to the Transformer branch discarding sequence context.</w:t>
      </w:r>
    </w:p>
    <w:p>
      <w:pPr>
        <w:spacing w:after="120" w:line="240" w:lineRule="auto"/>
        <w:ind w:firstLine="288"/>
        <w:jc w:val="both"/>
      </w:pPr>
      <w:r>
        <w:rPr>
          <w:rFonts w:ascii="Times New Roman" w:hAnsi="Times New Roman"/>
          <w:sz w:val="20"/>
        </w:rPr>
        <w:t>Third, we introduce a motion-representation ablation that replaces the original normalized-RGB frame-differencing channel with a dense Farneback optical flow estimate computed on true (unnormalized) pixel intensities, encoded as horizontal flow, vertical flow, and flow magnitude, to test whether a classical, still computationally cheap motion estimator improves recognition accuracy over naive frame differencing without requiring a learned optical-flow network.</w:t>
      </w:r>
    </w:p>
    <w:p>
      <w:pPr>
        <w:spacing w:after="120" w:line="240" w:lineRule="auto"/>
        <w:ind w:firstLine="288"/>
        <w:jc w:val="both"/>
      </w:pPr>
      <w:r>
        <w:rPr>
          <w:rFonts w:ascii="Times New Roman" w:hAnsi="Times New Roman"/>
          <w:sz w:val="20"/>
        </w:rPr>
        <w:t>Fourth, we introduce a combined efficiency and statistical-significance evaluation protocol covering parameter count, floating-point operations (FLOPs), CPU/GPU inference latency, per-class precision/recall/F1, confusion-matrix-derived class confusions, McNemar's test on paired correct/incorrect outcomes, and a paired bootstrap confidence interval on the accuracy difference between the two architectures, so that any reported accuracy advantage is accompanied by both a cost figure and a significance statement.</w:t>
      </w:r>
    </w:p>
    <w:p>
      <w:pPr>
        <w:spacing w:after="120" w:line="240" w:lineRule="auto"/>
        <w:ind w:firstLine="288"/>
        <w:jc w:val="both"/>
      </w:pPr>
      <w:r>
        <w:rPr>
          <w:rFonts w:ascii="Times New Roman" w:hAnsi="Times New Roman"/>
          <w:sz w:val="20"/>
        </w:rPr>
        <w:t>The remainder of this paper is organized as follows. Section II summarizes related work on convolutional-recurrent and mobile-Transformer architectures for gesture and sign language recognition. Section III describes the dataset, the two architectures, the fairness-controlled ablation protocol, and the evaluation metrics in detail. Section IV reports the experimental results (placeholder pending completion of the ablation runs described in Section III). Section V concludes the paper and outlines directions for future work.</w:t>
      </w:r>
    </w:p>
    <w:p>
      <w:pPr>
        <w:spacing w:before="200" w:after="120"/>
        <w:jc w:val="center"/>
      </w:pPr>
      <w:r>
        <w:rPr>
          <w:rFonts w:ascii="Times New Roman" w:hAnsi="Times New Roman"/>
          <w:b/>
          <w:sz w:val="20"/>
        </w:rPr>
        <w:t>II. RELATED WORK</w:t>
      </w:r>
    </w:p>
    <w:p>
      <w:pPr>
        <w:spacing w:after="120" w:line="240" w:lineRule="auto"/>
        <w:ind w:firstLine="288"/>
        <w:jc w:val="both"/>
      </w:pPr>
      <w:r>
        <w:rPr>
          <w:rFonts w:ascii="Times New Roman" w:hAnsi="Times New Roman"/>
          <w:sz w:val="20"/>
        </w:rPr>
        <w:t>[Placeholder section -- to be expanded.] Prior work on video-based gesture and sign language recognition can be grouped into convolutional-recurrent approaches (CNN backbone plus LSTM/GRU, optionally with temporal attention) and, more recently, Transformer-based temporal encoders paired with lightweight mobile backbones for on-device deployment. Related studies on BISINDO and other national sign languages, on 3D-CNN and two-stream (RGB + optical flow) action recognition architectures, and on efficiency-focused mobile architectures for gesture recognition will be reviewed here in the final version of this paper. This section is intentionally left as a brief placeholder in the current draft.</w:t>
      </w:r>
    </w:p>
    <w:p>
      <w:pPr>
        <w:spacing w:before="200" w:after="120"/>
        <w:jc w:val="center"/>
      </w:pPr>
      <w:r>
        <w:rPr>
          <w:rFonts w:ascii="Times New Roman" w:hAnsi="Times New Roman"/>
          <w:b/>
          <w:sz w:val="20"/>
        </w:rPr>
        <w:t>III. METHODOLOGY</w:t>
      </w:r>
    </w:p>
    <w:p>
      <w:pPr>
        <w:spacing w:before="160" w:after="80"/>
      </w:pPr>
      <w:r>
        <w:rPr>
          <w:rFonts w:ascii="Times New Roman" w:hAnsi="Times New Roman"/>
          <w:b w:val="0"/>
          <w:i/>
          <w:sz w:val="20"/>
        </w:rPr>
        <w:t>A. Dataset</w:t>
      </w:r>
    </w:p>
    <w:p>
      <w:pPr>
        <w:spacing w:after="120" w:line="240" w:lineRule="auto"/>
        <w:ind w:firstLine="288"/>
        <w:jc w:val="both"/>
      </w:pPr>
      <w:r>
        <w:rPr>
          <w:rFonts w:ascii="Times New Roman" w:hAnsi="Times New Roman"/>
          <w:sz w:val="20"/>
        </w:rPr>
        <w:t>We use WLBisindo, a self-collected word-level BISINDO dataset covering 32 isolated-word gloss classes (e.g., air/water, belajar/learn, terima_kasih/thank-you, tuli/deaf, among others), recorded as short video clips per signer per gloss. The raw collection contains approximately 1,600 video recordings; after frame extraction and quality filtering (described below), 1,298 videos remain across the 32 classes, with a moderate class imbalance ranging from 12 to 35 videos per class. The processed videos are split into training, validation, and test partitions using a 70%/15%/15% ratio, stratified independently within each class so that every partition contains examples of every class in proportion to that class's overall frequency.</w:t>
      </w:r>
    </w:p>
    <w:p>
      <w:pPr>
        <w:spacing w:after="120" w:line="240" w:lineRule="auto"/>
        <w:ind w:firstLine="288"/>
        <w:jc w:val="both"/>
      </w:pPr>
      <w:r>
        <w:rPr>
          <w:rFonts w:ascii="Times New Roman" w:hAnsi="Times New Roman"/>
          <w:sz w:val="20"/>
        </w:rPr>
        <w:t>Frame extraction discards the first and last 20% of each raw video (retaining the middle 60%) to reduce the influence of idle start/end segments, then filters candidate frames using a motion heuristic (frame-to-frame absolute pixel difference above a fixed threshold) and a blur heuristic (Laplacian-variance sharpness above a fixed threshold); if fewer than the target frame count survives filtering, the extractor falls back to using all available frames. A fixed number of 20 frames per video is then obtained by uniform sub-sampling of the filtered frame set and saved as JPEG images.</w:t>
      </w:r>
    </w:p>
    <w:p>
      <w:pPr>
        <w:spacing w:before="160" w:after="80"/>
      </w:pPr>
      <w:r>
        <w:rPr>
          <w:rFonts w:ascii="Times New Roman" w:hAnsi="Times New Roman"/>
          <w:b w:val="0"/>
          <w:i/>
          <w:sz w:val="20"/>
        </w:rPr>
        <w:t>B. Input Representation and Motion Encoding</w:t>
      </w:r>
    </w:p>
    <w:p>
      <w:pPr>
        <w:spacing w:after="120" w:line="240" w:lineRule="auto"/>
        <w:ind w:firstLine="288"/>
        <w:jc w:val="both"/>
      </w:pPr>
      <w:r>
        <w:rPr>
          <w:rFonts w:ascii="Times New Roman" w:hAnsi="Times New Roman"/>
          <w:sz w:val="20"/>
        </w:rPr>
        <w:t>Both architectures consume a fixed-length sequence of T = 20 frames per clip, each represented as a 6-channel tensor: three RGB channels and three additional "motion" channels. RGB frames are resized to 224×224, augmented during training with random affine transformation and color jitter (held fixed within a given clip via a per-clip random seed, so that all frames of a sequence receive the same spatial augmentation), and normalized with ImageNet statistics. Two motion-encoding variants are compared as part of the ablation protocol (Section III-E):</w:t>
      </w:r>
    </w:p>
    <w:p>
      <w:pPr>
        <w:spacing w:after="120" w:line="240" w:lineRule="auto"/>
        <w:jc w:val="both"/>
      </w:pPr>
      <w:r>
        <w:rPr>
          <w:rFonts w:ascii="Times New Roman" w:hAnsi="Times New Roman"/>
          <w:sz w:val="20"/>
        </w:rPr>
        <w:t>(i) Frame differencing (baseline): the motion channels are the per-channel difference between the current and previous already-normalized RGB frame, with an all-zero motion channel for the first frame of a clip.</w:t>
      </w:r>
    </w:p>
    <w:p>
      <w:pPr>
        <w:spacing w:after="120" w:line="240" w:lineRule="auto"/>
        <w:jc w:val="both"/>
      </w:pPr>
      <w:r>
        <w:rPr>
          <w:rFonts w:ascii="Times New Roman" w:hAnsi="Times New Roman"/>
          <w:sz w:val="20"/>
        </w:rPr>
        <w:t>(ii) Dense optical flow (proposed ablation): the normalization is inverted to recover approximate 0–255 pixel intensities, the frame is converted to grayscale, and dense Farneback optical flow is computed between the current and previous grayscale frame using OpenCV's calcOpticalFlowFarneback. The resulting horizontal flow, vertical flow, and flow magnitude fields are each clipped and rescaled by a fixed maximum-displacement constant (20 pixels) to a range comparable to the normalized RGB channels, then stacked as the three motion channels.</w:t>
      </w:r>
    </w:p>
    <w:p>
      <w:pPr>
        <w:spacing w:before="160" w:after="80"/>
      </w:pPr>
      <w:r>
        <w:rPr>
          <w:rFonts w:ascii="Times New Roman" w:hAnsi="Times New Roman"/>
          <w:b w:val="0"/>
          <w:i/>
          <w:sz w:val="20"/>
        </w:rPr>
        <w:t>C. Architecture 1: CNN-LSTM with Attention</w:t>
      </w:r>
    </w:p>
    <w:p>
      <w:pPr>
        <w:spacing w:after="120" w:line="240" w:lineRule="auto"/>
        <w:ind w:firstLine="288"/>
        <w:jc w:val="both"/>
      </w:pPr>
      <w:r>
        <w:rPr>
          <w:rFonts w:ascii="Times New Roman" w:hAnsi="Times New Roman"/>
          <w:sz w:val="20"/>
        </w:rPr>
        <w:t>The first architecture ("CNN-LSTM") uses an ImageNet-pretrained ResNet-18 as a per-frame feature extractor. Its first convolutional layer is replaced with a 6-input-channel convolution whose weights for the additional three channels are initialized by duplicating the pretrained 3-channel RGB weights, so that pretrained low-level filters remain a sensible starting point for the motion channels. The 512-dimensional pooled ResNet feature for each frame is passed through a projection head (Linear → BatchNorm1d → ReLU → Dropout(0.5)) to obtain a 512-dimensional per-frame embedding. The sequence of per-frame embeddings is processed by a 2-layer unidirectional LSTM with hidden size 256 and inter-layer dropout 0.5. The LSTM's per-time-step outputs are aggregated by a Bahdanau-style additive attention pooling layer (Linear → Tanh → Linear → softmax over time → weighted sum) into a single 256-dimensional context vector, which is passed through a classifier head (Linear(256,256) → ReLU → BatchNorm1d → Dropout(0.5) → Linear(256, 32)) to produce class logits.</w:t>
      </w:r>
    </w:p>
    <w:p>
      <w:pPr>
        <w:spacing w:before="160" w:after="80"/>
      </w:pPr>
      <w:r>
        <w:rPr>
          <w:rFonts w:ascii="Times New Roman" w:hAnsi="Times New Roman"/>
          <w:b w:val="0"/>
          <w:i/>
          <w:sz w:val="20"/>
        </w:rPr>
        <w:t>D. Architecture 2: MobileNetV2-Transformer</w:t>
      </w:r>
    </w:p>
    <w:p>
      <w:pPr>
        <w:spacing w:after="120" w:line="240" w:lineRule="auto"/>
        <w:ind w:firstLine="288"/>
        <w:jc w:val="both"/>
      </w:pPr>
      <w:r>
        <w:rPr>
          <w:rFonts w:ascii="Times New Roman" w:hAnsi="Times New Roman"/>
          <w:sz w:val="20"/>
        </w:rPr>
        <w:t>The second architecture ("MobileNetV2-Transformer") uses an ImageNet-pretrained MobileNetV2 as the per-frame feature extractor, with the same 6-channel first-convolution patching strategy described above. The 1280-dimensional globally-average-pooled MobileNetV2 feature for each frame is linearly projected to 512 dimensions and combined with a learned additive positional embedding before being passed through a Transformer encoder with four layers and eight attention heads (dropout 0.3 per layer). Three temporal-pooling strategies for the encoder's per-time-step output are compared as part of the ablation protocol (Section III-E): (i) last-token pooling, which reads out only the final time step (the original configuration); (ii) mean pooling over all time steps; and (iii) the same Bahdanau-style additive attention pooling used in the CNN-LSTM branch. The pooled 512-dimensional representation is passed through a classifier head (LayerNorm → Linear(512,256) → ReLU → Dropout(0.5) → Linear(256, 32)) to produce class logits.</w:t>
      </w:r>
    </w:p>
    <w:p>
      <w:pPr>
        <w:spacing w:before="160" w:after="80"/>
      </w:pPr>
      <w:r>
        <w:rPr>
          <w:rFonts w:ascii="Times New Roman" w:hAnsi="Times New Roman"/>
          <w:b w:val="0"/>
          <w:i/>
          <w:sz w:val="20"/>
        </w:rPr>
        <w:t>E. Fairness-Controlled Ablation Protocol</w:t>
      </w:r>
    </w:p>
    <w:p>
      <w:pPr>
        <w:spacing w:after="120" w:line="240" w:lineRule="auto"/>
        <w:ind w:firstLine="288"/>
        <w:jc w:val="both"/>
      </w:pPr>
      <w:r>
        <w:rPr>
          <w:rFonts w:ascii="Times New Roman" w:hAnsi="Times New Roman"/>
          <w:sz w:val="20"/>
        </w:rPr>
        <w:t>To isolate the effect of each design choice, every ablation run changes exactly one configuration variable relative to a fixed reference configuration per architecture, holding every other hyperparameter -- including batch size, learning rate, optimizer, scheduler, loss function, random seed, and sequence length -- identical to the corresponding baseline run. This single-variable-per-run discipline is what allows any observed accuracy difference to be attributed to the ablated variable rather than to a confound. Table I summarizes the resulting experimental protocol: two baseline runs (one per architecture, reproducing the originally reported configuration) plus six controlled ablation runs.</w:t>
      </w:r>
    </w:p>
    <w:tbl>
      <w:tblPr>
        <w:tblStyle w:val="TableGrid"/>
        <w:tblW w:type="auto" w:w="0"/>
        <w:tblLook w:firstColumn="1" w:firstRow="1" w:lastColumn="0" w:lastRow="0" w:noHBand="0" w:noVBand="1" w:val="04A0"/>
      </w:tblPr>
      <w:tblGrid>
        <w:gridCol w:w="2088"/>
        <w:gridCol w:w="2088"/>
        <w:gridCol w:w="2088"/>
        <w:gridCol w:w="2088"/>
        <w:gridCol w:w="2088"/>
      </w:tblGrid>
      <w:tr>
        <w:tc>
          <w:tcPr>
            <w:tcW w:type="dxa" w:w="2088"/>
          </w:tcPr>
          <w:p>
            <w:pPr>
              <w:spacing w:after="40"/>
            </w:pPr>
            <w:r>
              <w:rPr>
                <w:rFonts w:ascii="Times New Roman" w:hAnsi="Times New Roman"/>
                <w:sz w:val="17"/>
              </w:rPr>
            </w:r>
            <w:r>
              <w:rPr>
                <w:rFonts w:ascii="Times New Roman" w:hAnsi="Times New Roman"/>
                <w:b/>
                <w:sz w:val="17"/>
              </w:rPr>
              <w:t>#</w:t>
            </w:r>
          </w:p>
        </w:tc>
        <w:tc>
          <w:tcPr>
            <w:tcW w:type="dxa" w:w="2088"/>
          </w:tcPr>
          <w:p>
            <w:pPr>
              <w:spacing w:after="40"/>
            </w:pPr>
            <w:r>
              <w:rPr>
                <w:rFonts w:ascii="Times New Roman" w:hAnsi="Times New Roman"/>
                <w:sz w:val="17"/>
              </w:rPr>
            </w:r>
            <w:r>
              <w:rPr>
                <w:rFonts w:ascii="Times New Roman" w:hAnsi="Times New Roman"/>
                <w:b/>
                <w:sz w:val="17"/>
              </w:rPr>
              <w:t>Architecture</w:t>
            </w:r>
          </w:p>
        </w:tc>
        <w:tc>
          <w:tcPr>
            <w:tcW w:type="dxa" w:w="2088"/>
          </w:tcPr>
          <w:p>
            <w:pPr>
              <w:spacing w:after="40"/>
            </w:pPr>
            <w:r>
              <w:rPr>
                <w:rFonts w:ascii="Times New Roman" w:hAnsi="Times New Roman"/>
                <w:sz w:val="17"/>
              </w:rPr>
            </w:r>
            <w:r>
              <w:rPr>
                <w:rFonts w:ascii="Times New Roman" w:hAnsi="Times New Roman"/>
                <w:b/>
                <w:sz w:val="17"/>
              </w:rPr>
              <w:t>Ablated variable</w:t>
            </w:r>
          </w:p>
        </w:tc>
        <w:tc>
          <w:tcPr>
            <w:tcW w:type="dxa" w:w="2088"/>
          </w:tcPr>
          <w:p>
            <w:pPr>
              <w:spacing w:after="40"/>
            </w:pPr>
            <w:r>
              <w:rPr>
                <w:rFonts w:ascii="Times New Roman" w:hAnsi="Times New Roman"/>
                <w:sz w:val="17"/>
              </w:rPr>
            </w:r>
            <w:r>
              <w:rPr>
                <w:rFonts w:ascii="Times New Roman" w:hAnsi="Times New Roman"/>
                <w:b/>
                <w:sz w:val="17"/>
              </w:rPr>
              <w:t>Value</w:t>
            </w:r>
          </w:p>
        </w:tc>
        <w:tc>
          <w:tcPr>
            <w:tcW w:type="dxa" w:w="2088"/>
          </w:tcPr>
          <w:p>
            <w:pPr>
              <w:spacing w:after="40"/>
            </w:pPr>
            <w:r>
              <w:rPr>
                <w:rFonts w:ascii="Times New Roman" w:hAnsi="Times New Roman"/>
                <w:sz w:val="17"/>
              </w:rPr>
            </w:r>
            <w:r>
              <w:rPr>
                <w:rFonts w:ascii="Times New Roman" w:hAnsi="Times New Roman"/>
                <w:b/>
                <w:sz w:val="17"/>
              </w:rPr>
              <w:t>Purpose</w:t>
            </w:r>
          </w:p>
        </w:tc>
      </w:tr>
      <w:tr>
        <w:tc>
          <w:tcPr>
            <w:tcW w:type="dxa" w:w="2088"/>
          </w:tcPr>
          <w:p>
            <w:pPr>
              <w:spacing w:after="40"/>
            </w:pPr>
            <w:r>
              <w:rPr>
                <w:rFonts w:ascii="Times New Roman" w:hAnsi="Times New Roman"/>
                <w:sz w:val="17"/>
              </w:rPr>
              <w:t>B1</w:t>
            </w:r>
          </w:p>
        </w:tc>
        <w:tc>
          <w:tcPr>
            <w:tcW w:type="dxa" w:w="2088"/>
          </w:tcPr>
          <w:p>
            <w:pPr>
              <w:spacing w:after="40"/>
            </w:pPr>
            <w:r>
              <w:rPr>
                <w:rFonts w:ascii="Times New Roman" w:hAnsi="Times New Roman"/>
                <w:sz w:val="17"/>
              </w:rPr>
              <w:t>CNN-LSTM</w:t>
            </w:r>
          </w:p>
        </w:tc>
        <w:tc>
          <w:tcPr>
            <w:tcW w:type="dxa" w:w="2088"/>
          </w:tcPr>
          <w:p>
            <w:pPr>
              <w:spacing w:after="40"/>
            </w:pPr>
            <w:r>
              <w:rPr>
                <w:rFonts w:ascii="Times New Roman" w:hAnsi="Times New Roman"/>
                <w:sz w:val="17"/>
              </w:rPr>
              <w:t>(baseline)</w:t>
            </w:r>
          </w:p>
        </w:tc>
        <w:tc>
          <w:tcPr>
            <w:tcW w:type="dxa" w:w="2088"/>
          </w:tcPr>
          <w:p>
            <w:pPr>
              <w:spacing w:after="40"/>
            </w:pPr>
            <w:r>
              <w:rPr>
                <w:rFonts w:ascii="Times New Roman" w:hAnsi="Times New Roman"/>
                <w:sz w:val="17"/>
              </w:rPr>
              <w:t>unfreeze=full, pooling=attn., motion=diff</w:t>
            </w:r>
          </w:p>
        </w:tc>
        <w:tc>
          <w:tcPr>
            <w:tcW w:type="dxa" w:w="2088"/>
          </w:tcPr>
          <w:p>
            <w:pPr>
              <w:spacing w:after="40"/>
            </w:pPr>
            <w:r>
              <w:rPr>
                <w:rFonts w:ascii="Times New Roman" w:hAnsi="Times New Roman"/>
                <w:sz w:val="17"/>
              </w:rPr>
              <w:t>Reference point</w:t>
            </w:r>
          </w:p>
        </w:tc>
      </w:tr>
      <w:tr>
        <w:tc>
          <w:tcPr>
            <w:tcW w:type="dxa" w:w="2088"/>
          </w:tcPr>
          <w:p>
            <w:pPr>
              <w:spacing w:after="40"/>
            </w:pPr>
            <w:r>
              <w:rPr>
                <w:rFonts w:ascii="Times New Roman" w:hAnsi="Times New Roman"/>
                <w:sz w:val="17"/>
              </w:rPr>
              <w:t>B2</w:t>
            </w:r>
          </w:p>
        </w:tc>
        <w:tc>
          <w:tcPr>
            <w:tcW w:type="dxa" w:w="2088"/>
          </w:tcPr>
          <w:p>
            <w:pPr>
              <w:spacing w:after="40"/>
            </w:pPr>
            <w:r>
              <w:rPr>
                <w:rFonts w:ascii="Times New Roman" w:hAnsi="Times New Roman"/>
                <w:sz w:val="17"/>
              </w:rPr>
              <w:t>MobileNetV2-Transf.</w:t>
            </w:r>
          </w:p>
        </w:tc>
        <w:tc>
          <w:tcPr>
            <w:tcW w:type="dxa" w:w="2088"/>
          </w:tcPr>
          <w:p>
            <w:pPr>
              <w:spacing w:after="40"/>
            </w:pPr>
            <w:r>
              <w:rPr>
                <w:rFonts w:ascii="Times New Roman" w:hAnsi="Times New Roman"/>
                <w:sz w:val="17"/>
              </w:rPr>
              <w:t>(baseline)</w:t>
            </w:r>
          </w:p>
        </w:tc>
        <w:tc>
          <w:tcPr>
            <w:tcW w:type="dxa" w:w="2088"/>
          </w:tcPr>
          <w:p>
            <w:pPr>
              <w:spacing w:after="40"/>
            </w:pPr>
            <w:r>
              <w:rPr>
                <w:rFonts w:ascii="Times New Roman" w:hAnsi="Times New Roman"/>
                <w:sz w:val="17"/>
              </w:rPr>
              <w:t>unfreeze=4 blocks, pooling=last, motion=diff</w:t>
            </w:r>
          </w:p>
        </w:tc>
        <w:tc>
          <w:tcPr>
            <w:tcW w:type="dxa" w:w="2088"/>
          </w:tcPr>
          <w:p>
            <w:pPr>
              <w:spacing w:after="40"/>
            </w:pPr>
            <w:r>
              <w:rPr>
                <w:rFonts w:ascii="Times New Roman" w:hAnsi="Times New Roman"/>
                <w:sz w:val="17"/>
              </w:rPr>
              <w:t>Reference point</w:t>
            </w:r>
          </w:p>
        </w:tc>
      </w:tr>
      <w:tr>
        <w:tc>
          <w:tcPr>
            <w:tcW w:type="dxa" w:w="2088"/>
          </w:tcPr>
          <w:p>
            <w:pPr>
              <w:spacing w:after="40"/>
            </w:pPr>
            <w:r>
              <w:rPr>
                <w:rFonts w:ascii="Times New Roman" w:hAnsi="Times New Roman"/>
                <w:sz w:val="17"/>
              </w:rPr>
              <w:t>1</w:t>
            </w:r>
          </w:p>
        </w:tc>
        <w:tc>
          <w:tcPr>
            <w:tcW w:type="dxa" w:w="2088"/>
          </w:tcPr>
          <w:p>
            <w:pPr>
              <w:spacing w:after="40"/>
            </w:pPr>
            <w:r>
              <w:rPr>
                <w:rFonts w:ascii="Times New Roman" w:hAnsi="Times New Roman"/>
                <w:sz w:val="17"/>
              </w:rPr>
              <w:t>CNN-LSTM</w:t>
            </w:r>
          </w:p>
        </w:tc>
        <w:tc>
          <w:tcPr>
            <w:tcW w:type="dxa" w:w="2088"/>
          </w:tcPr>
          <w:p>
            <w:pPr>
              <w:spacing w:after="40"/>
            </w:pPr>
            <w:r>
              <w:rPr>
                <w:rFonts w:ascii="Times New Roman" w:hAnsi="Times New Roman"/>
                <w:sz w:val="17"/>
              </w:rPr>
              <w:t>unfreeze_blocks</w:t>
            </w:r>
          </w:p>
        </w:tc>
        <w:tc>
          <w:tcPr>
            <w:tcW w:type="dxa" w:w="2088"/>
          </w:tcPr>
          <w:p>
            <w:pPr>
              <w:spacing w:after="40"/>
            </w:pPr>
            <w:r>
              <w:rPr>
                <w:rFonts w:ascii="Times New Roman" w:hAnsi="Times New Roman"/>
                <w:sz w:val="17"/>
              </w:rPr>
              <w:t>4 (of 9 top-level blocks)</w:t>
            </w:r>
          </w:p>
        </w:tc>
        <w:tc>
          <w:tcPr>
            <w:tcW w:type="dxa" w:w="2088"/>
          </w:tcPr>
          <w:p>
            <w:pPr>
              <w:spacing w:after="40"/>
            </w:pPr>
            <w:r>
              <w:rPr>
                <w:rFonts w:ascii="Times New Roman" w:hAnsi="Times New Roman"/>
                <w:sz w:val="17"/>
              </w:rPr>
              <w:t>Fairness (match B2's depth)</w:t>
            </w:r>
          </w:p>
        </w:tc>
      </w:tr>
      <w:tr>
        <w:tc>
          <w:tcPr>
            <w:tcW w:type="dxa" w:w="2088"/>
          </w:tcPr>
          <w:p>
            <w:pPr>
              <w:spacing w:after="40"/>
            </w:pPr>
            <w:r>
              <w:rPr>
                <w:rFonts w:ascii="Times New Roman" w:hAnsi="Times New Roman"/>
                <w:sz w:val="17"/>
              </w:rPr>
              <w:t>2</w:t>
            </w:r>
          </w:p>
        </w:tc>
        <w:tc>
          <w:tcPr>
            <w:tcW w:type="dxa" w:w="2088"/>
          </w:tcPr>
          <w:p>
            <w:pPr>
              <w:spacing w:after="40"/>
            </w:pPr>
            <w:r>
              <w:rPr>
                <w:rFonts w:ascii="Times New Roman" w:hAnsi="Times New Roman"/>
                <w:sz w:val="17"/>
              </w:rPr>
              <w:t>MobileNetV2-Transf.</w:t>
            </w:r>
          </w:p>
        </w:tc>
        <w:tc>
          <w:tcPr>
            <w:tcW w:type="dxa" w:w="2088"/>
          </w:tcPr>
          <w:p>
            <w:pPr>
              <w:spacing w:after="40"/>
            </w:pPr>
            <w:r>
              <w:rPr>
                <w:rFonts w:ascii="Times New Roman" w:hAnsi="Times New Roman"/>
                <w:sz w:val="17"/>
              </w:rPr>
              <w:t>unfreeze_blocks</w:t>
            </w:r>
          </w:p>
        </w:tc>
        <w:tc>
          <w:tcPr>
            <w:tcW w:type="dxa" w:w="2088"/>
          </w:tcPr>
          <w:p>
            <w:pPr>
              <w:spacing w:after="40"/>
            </w:pPr>
            <w:r>
              <w:rPr>
                <w:rFonts w:ascii="Times New Roman" w:hAnsi="Times New Roman"/>
                <w:sz w:val="17"/>
              </w:rPr>
              <w:t>full (all 19 top-level blocks)</w:t>
            </w:r>
          </w:p>
        </w:tc>
        <w:tc>
          <w:tcPr>
            <w:tcW w:type="dxa" w:w="2088"/>
          </w:tcPr>
          <w:p>
            <w:pPr>
              <w:spacing w:after="40"/>
            </w:pPr>
            <w:r>
              <w:rPr>
                <w:rFonts w:ascii="Times New Roman" w:hAnsi="Times New Roman"/>
                <w:sz w:val="17"/>
              </w:rPr>
              <w:t>Fairness (match B1's depth)</w:t>
            </w:r>
          </w:p>
        </w:tc>
      </w:tr>
      <w:tr>
        <w:tc>
          <w:tcPr>
            <w:tcW w:type="dxa" w:w="2088"/>
          </w:tcPr>
          <w:p>
            <w:pPr>
              <w:spacing w:after="40"/>
            </w:pPr>
            <w:r>
              <w:rPr>
                <w:rFonts w:ascii="Times New Roman" w:hAnsi="Times New Roman"/>
                <w:sz w:val="17"/>
              </w:rPr>
              <w:t>3</w:t>
            </w:r>
          </w:p>
        </w:tc>
        <w:tc>
          <w:tcPr>
            <w:tcW w:type="dxa" w:w="2088"/>
          </w:tcPr>
          <w:p>
            <w:pPr>
              <w:spacing w:after="40"/>
            </w:pPr>
            <w:r>
              <w:rPr>
                <w:rFonts w:ascii="Times New Roman" w:hAnsi="Times New Roman"/>
                <w:sz w:val="17"/>
              </w:rPr>
              <w:t>MobileNetV2-Transf.</w:t>
            </w:r>
          </w:p>
        </w:tc>
        <w:tc>
          <w:tcPr>
            <w:tcW w:type="dxa" w:w="2088"/>
          </w:tcPr>
          <w:p>
            <w:pPr>
              <w:spacing w:after="40"/>
            </w:pPr>
            <w:r>
              <w:rPr>
                <w:rFonts w:ascii="Times New Roman" w:hAnsi="Times New Roman"/>
                <w:sz w:val="17"/>
              </w:rPr>
              <w:t>pooling</w:t>
            </w:r>
          </w:p>
        </w:tc>
        <w:tc>
          <w:tcPr>
            <w:tcW w:type="dxa" w:w="2088"/>
          </w:tcPr>
          <w:p>
            <w:pPr>
              <w:spacing w:after="40"/>
            </w:pPr>
            <w:r>
              <w:rPr>
                <w:rFonts w:ascii="Times New Roman" w:hAnsi="Times New Roman"/>
                <w:sz w:val="17"/>
              </w:rPr>
              <w:t>mean</w:t>
            </w:r>
          </w:p>
        </w:tc>
        <w:tc>
          <w:tcPr>
            <w:tcW w:type="dxa" w:w="2088"/>
          </w:tcPr>
          <w:p>
            <w:pPr>
              <w:spacing w:after="40"/>
            </w:pPr>
            <w:r>
              <w:rPr>
                <w:rFonts w:ascii="Times New Roman" w:hAnsi="Times New Roman"/>
                <w:sz w:val="17"/>
              </w:rPr>
              <w:t>Pooling ablation</w:t>
            </w:r>
          </w:p>
        </w:tc>
      </w:tr>
      <w:tr>
        <w:tc>
          <w:tcPr>
            <w:tcW w:type="dxa" w:w="2088"/>
          </w:tcPr>
          <w:p>
            <w:pPr>
              <w:spacing w:after="40"/>
            </w:pPr>
            <w:r>
              <w:rPr>
                <w:rFonts w:ascii="Times New Roman" w:hAnsi="Times New Roman"/>
                <w:sz w:val="17"/>
              </w:rPr>
              <w:t>4</w:t>
            </w:r>
          </w:p>
        </w:tc>
        <w:tc>
          <w:tcPr>
            <w:tcW w:type="dxa" w:w="2088"/>
          </w:tcPr>
          <w:p>
            <w:pPr>
              <w:spacing w:after="40"/>
            </w:pPr>
            <w:r>
              <w:rPr>
                <w:rFonts w:ascii="Times New Roman" w:hAnsi="Times New Roman"/>
                <w:sz w:val="17"/>
              </w:rPr>
              <w:t>MobileNetV2-Transf.</w:t>
            </w:r>
          </w:p>
        </w:tc>
        <w:tc>
          <w:tcPr>
            <w:tcW w:type="dxa" w:w="2088"/>
          </w:tcPr>
          <w:p>
            <w:pPr>
              <w:spacing w:after="40"/>
            </w:pPr>
            <w:r>
              <w:rPr>
                <w:rFonts w:ascii="Times New Roman" w:hAnsi="Times New Roman"/>
                <w:sz w:val="17"/>
              </w:rPr>
              <w:t>pooling</w:t>
            </w:r>
          </w:p>
        </w:tc>
        <w:tc>
          <w:tcPr>
            <w:tcW w:type="dxa" w:w="2088"/>
          </w:tcPr>
          <w:p>
            <w:pPr>
              <w:spacing w:after="40"/>
            </w:pPr>
            <w:r>
              <w:rPr>
                <w:rFonts w:ascii="Times New Roman" w:hAnsi="Times New Roman"/>
                <w:sz w:val="17"/>
              </w:rPr>
              <w:t>attention</w:t>
            </w:r>
          </w:p>
        </w:tc>
        <w:tc>
          <w:tcPr>
            <w:tcW w:type="dxa" w:w="2088"/>
          </w:tcPr>
          <w:p>
            <w:pPr>
              <w:spacing w:after="40"/>
            </w:pPr>
            <w:r>
              <w:rPr>
                <w:rFonts w:ascii="Times New Roman" w:hAnsi="Times New Roman"/>
                <w:sz w:val="17"/>
              </w:rPr>
              <w:t>Pooling ablation</w:t>
            </w:r>
          </w:p>
        </w:tc>
      </w:tr>
      <w:tr>
        <w:tc>
          <w:tcPr>
            <w:tcW w:type="dxa" w:w="2088"/>
          </w:tcPr>
          <w:p>
            <w:pPr>
              <w:spacing w:after="40"/>
            </w:pPr>
            <w:r>
              <w:rPr>
                <w:rFonts w:ascii="Times New Roman" w:hAnsi="Times New Roman"/>
                <w:sz w:val="17"/>
              </w:rPr>
              <w:t>5</w:t>
            </w:r>
          </w:p>
        </w:tc>
        <w:tc>
          <w:tcPr>
            <w:tcW w:type="dxa" w:w="2088"/>
          </w:tcPr>
          <w:p>
            <w:pPr>
              <w:spacing w:after="40"/>
            </w:pPr>
            <w:r>
              <w:rPr>
                <w:rFonts w:ascii="Times New Roman" w:hAnsi="Times New Roman"/>
                <w:sz w:val="17"/>
              </w:rPr>
              <w:t>CNN-LSTM</w:t>
            </w:r>
          </w:p>
        </w:tc>
        <w:tc>
          <w:tcPr>
            <w:tcW w:type="dxa" w:w="2088"/>
          </w:tcPr>
          <w:p>
            <w:pPr>
              <w:spacing w:after="40"/>
            </w:pPr>
            <w:r>
              <w:rPr>
                <w:rFonts w:ascii="Times New Roman" w:hAnsi="Times New Roman"/>
                <w:sz w:val="17"/>
              </w:rPr>
              <w:t>motion_mode</w:t>
            </w:r>
          </w:p>
        </w:tc>
        <w:tc>
          <w:tcPr>
            <w:tcW w:type="dxa" w:w="2088"/>
          </w:tcPr>
          <w:p>
            <w:pPr>
              <w:spacing w:after="40"/>
            </w:pPr>
            <w:r>
              <w:rPr>
                <w:rFonts w:ascii="Times New Roman" w:hAnsi="Times New Roman"/>
                <w:sz w:val="17"/>
              </w:rPr>
              <w:t>optical_flow</w:t>
            </w:r>
          </w:p>
        </w:tc>
        <w:tc>
          <w:tcPr>
            <w:tcW w:type="dxa" w:w="2088"/>
          </w:tcPr>
          <w:p>
            <w:pPr>
              <w:spacing w:after="40"/>
            </w:pPr>
            <w:r>
              <w:rPr>
                <w:rFonts w:ascii="Times New Roman" w:hAnsi="Times New Roman"/>
                <w:sz w:val="17"/>
              </w:rPr>
              <w:t>Motion-cue ablation</w:t>
            </w:r>
          </w:p>
        </w:tc>
      </w:tr>
      <w:tr>
        <w:tc>
          <w:tcPr>
            <w:tcW w:type="dxa" w:w="2088"/>
          </w:tcPr>
          <w:p>
            <w:pPr>
              <w:spacing w:after="40"/>
            </w:pPr>
            <w:r>
              <w:rPr>
                <w:rFonts w:ascii="Times New Roman" w:hAnsi="Times New Roman"/>
                <w:sz w:val="17"/>
              </w:rPr>
              <w:t>6</w:t>
            </w:r>
          </w:p>
        </w:tc>
        <w:tc>
          <w:tcPr>
            <w:tcW w:type="dxa" w:w="2088"/>
          </w:tcPr>
          <w:p>
            <w:pPr>
              <w:spacing w:after="40"/>
            </w:pPr>
            <w:r>
              <w:rPr>
                <w:rFonts w:ascii="Times New Roman" w:hAnsi="Times New Roman"/>
                <w:sz w:val="17"/>
              </w:rPr>
              <w:t>MobileNetV2-Transf.</w:t>
            </w:r>
          </w:p>
        </w:tc>
        <w:tc>
          <w:tcPr>
            <w:tcW w:type="dxa" w:w="2088"/>
          </w:tcPr>
          <w:p>
            <w:pPr>
              <w:spacing w:after="40"/>
            </w:pPr>
            <w:r>
              <w:rPr>
                <w:rFonts w:ascii="Times New Roman" w:hAnsi="Times New Roman"/>
                <w:sz w:val="17"/>
              </w:rPr>
              <w:t>motion_mode</w:t>
            </w:r>
          </w:p>
        </w:tc>
        <w:tc>
          <w:tcPr>
            <w:tcW w:type="dxa" w:w="2088"/>
          </w:tcPr>
          <w:p>
            <w:pPr>
              <w:spacing w:after="40"/>
            </w:pPr>
            <w:r>
              <w:rPr>
                <w:rFonts w:ascii="Times New Roman" w:hAnsi="Times New Roman"/>
                <w:sz w:val="17"/>
              </w:rPr>
              <w:t>optical_flow</w:t>
            </w:r>
          </w:p>
        </w:tc>
        <w:tc>
          <w:tcPr>
            <w:tcW w:type="dxa" w:w="2088"/>
          </w:tcPr>
          <w:p>
            <w:pPr>
              <w:spacing w:after="40"/>
            </w:pPr>
            <w:r>
              <w:rPr>
                <w:rFonts w:ascii="Times New Roman" w:hAnsi="Times New Roman"/>
                <w:sz w:val="17"/>
              </w:rPr>
              <w:t>Motion-cue ablation</w:t>
            </w:r>
          </w:p>
        </w:tc>
      </w:tr>
    </w:tbl>
    <w:p>
      <w:pPr>
        <w:spacing w:before="80" w:after="160"/>
        <w:jc w:val="center"/>
      </w:pPr>
      <w:r>
        <w:rPr>
          <w:rFonts w:ascii="Times New Roman" w:hAnsi="Times New Roman"/>
          <w:i/>
          <w:sz w:val="18"/>
        </w:rPr>
        <w:t>TABLE I. FAIRNESS-CONTROLLED EXPERIMENTAL PROTOCOL (ONE VARIABLE CHANGED PER RUN).</w:t>
      </w:r>
    </w:p>
    <w:p>
      <w:pPr>
        <w:spacing w:before="160" w:after="80"/>
      </w:pPr>
      <w:r>
        <w:rPr>
          <w:rFonts w:ascii="Times New Roman" w:hAnsi="Times New Roman"/>
          <w:b w:val="0"/>
          <w:i/>
          <w:sz w:val="20"/>
        </w:rPr>
        <w:t>F. Training Configuration</w:t>
      </w:r>
    </w:p>
    <w:p>
      <w:pPr>
        <w:spacing w:after="120" w:line="240" w:lineRule="auto"/>
        <w:ind w:firstLine="288"/>
        <w:jc w:val="both"/>
      </w:pPr>
      <w:r>
        <w:rPr>
          <w:rFonts w:ascii="Times New Roman" w:hAnsi="Times New Roman"/>
          <w:sz w:val="20"/>
        </w:rPr>
        <w:t>Both architectures are trained with a class-weighted focal loss (γ = 2) to address the class imbalance identified in Section III-A, an AdamW optimizer, a ReduceLROnPlateau learning-rate scheduler (patience 2, decay factor 0.5) monitored on validation loss, gradient-norm clipping at 5.0, and early stopping on validation loss. A weighted random sampler is used during training to further counter class imbalance at the mini-batch level. Table II lists the baseline hyperparameters for each architecture as configured in this study; every ablation run in Table I reuses these values except for the single variable listed in that table's "Ablated variable" column.</w:t>
      </w:r>
    </w:p>
    <w:tbl>
      <w:tblPr>
        <w:tblStyle w:val="TableGrid"/>
        <w:tblW w:type="auto" w:w="0"/>
        <w:tblLook w:firstColumn="1" w:firstRow="1" w:lastColumn="0" w:lastRow="0" w:noHBand="0" w:noVBand="1" w:val="04A0"/>
      </w:tblPr>
      <w:tblGrid>
        <w:gridCol w:w="3480"/>
        <w:gridCol w:w="3480"/>
        <w:gridCol w:w="3480"/>
      </w:tblGrid>
      <w:tr>
        <w:tc>
          <w:tcPr>
            <w:tcW w:type="dxa" w:w="3480"/>
          </w:tcPr>
          <w:p>
            <w:pPr>
              <w:spacing w:after="40"/>
            </w:pPr>
            <w:r>
              <w:rPr>
                <w:rFonts w:ascii="Times New Roman" w:hAnsi="Times New Roman"/>
                <w:sz w:val="17"/>
              </w:rPr>
            </w:r>
            <w:r>
              <w:rPr>
                <w:rFonts w:ascii="Times New Roman" w:hAnsi="Times New Roman"/>
                <w:b/>
                <w:sz w:val="17"/>
              </w:rPr>
              <w:t>Hyperparameter</w:t>
            </w:r>
          </w:p>
        </w:tc>
        <w:tc>
          <w:tcPr>
            <w:tcW w:type="dxa" w:w="3480"/>
          </w:tcPr>
          <w:p>
            <w:pPr>
              <w:spacing w:after="40"/>
            </w:pPr>
            <w:r>
              <w:rPr>
                <w:rFonts w:ascii="Times New Roman" w:hAnsi="Times New Roman"/>
                <w:sz w:val="17"/>
              </w:rPr>
            </w:r>
            <w:r>
              <w:rPr>
                <w:rFonts w:ascii="Times New Roman" w:hAnsi="Times New Roman"/>
                <w:b/>
                <w:sz w:val="17"/>
              </w:rPr>
              <w:t>CNN-LSTM</w:t>
            </w:r>
          </w:p>
        </w:tc>
        <w:tc>
          <w:tcPr>
            <w:tcW w:type="dxa" w:w="3480"/>
          </w:tcPr>
          <w:p>
            <w:pPr>
              <w:spacing w:after="40"/>
            </w:pPr>
            <w:r>
              <w:rPr>
                <w:rFonts w:ascii="Times New Roman" w:hAnsi="Times New Roman"/>
                <w:sz w:val="17"/>
              </w:rPr>
            </w:r>
            <w:r>
              <w:rPr>
                <w:rFonts w:ascii="Times New Roman" w:hAnsi="Times New Roman"/>
                <w:b/>
                <w:sz w:val="17"/>
              </w:rPr>
              <w:t>MobileNetV2-Transf.</w:t>
            </w:r>
          </w:p>
        </w:tc>
      </w:tr>
      <w:tr>
        <w:tc>
          <w:tcPr>
            <w:tcW w:type="dxa" w:w="3480"/>
          </w:tcPr>
          <w:p>
            <w:pPr>
              <w:spacing w:after="40"/>
            </w:pPr>
            <w:r>
              <w:rPr>
                <w:rFonts w:ascii="Times New Roman" w:hAnsi="Times New Roman"/>
                <w:sz w:val="17"/>
              </w:rPr>
              <w:t>Epochs (max)</w:t>
            </w:r>
          </w:p>
        </w:tc>
        <w:tc>
          <w:tcPr>
            <w:tcW w:type="dxa" w:w="3480"/>
          </w:tcPr>
          <w:p>
            <w:pPr>
              <w:spacing w:after="40"/>
            </w:pPr>
            <w:r>
              <w:rPr>
                <w:rFonts w:ascii="Times New Roman" w:hAnsi="Times New Roman"/>
                <w:sz w:val="17"/>
              </w:rPr>
              <w:t>50</w:t>
            </w:r>
          </w:p>
        </w:tc>
        <w:tc>
          <w:tcPr>
            <w:tcW w:type="dxa" w:w="3480"/>
          </w:tcPr>
          <w:p>
            <w:pPr>
              <w:spacing w:after="40"/>
            </w:pPr>
            <w:r>
              <w:rPr>
                <w:rFonts w:ascii="Times New Roman" w:hAnsi="Times New Roman"/>
                <w:sz w:val="17"/>
              </w:rPr>
              <w:t>50</w:t>
            </w:r>
          </w:p>
        </w:tc>
      </w:tr>
      <w:tr>
        <w:tc>
          <w:tcPr>
            <w:tcW w:type="dxa" w:w="3480"/>
          </w:tcPr>
          <w:p>
            <w:pPr>
              <w:spacing w:after="40"/>
            </w:pPr>
            <w:r>
              <w:rPr>
                <w:rFonts w:ascii="Times New Roman" w:hAnsi="Times New Roman"/>
                <w:sz w:val="17"/>
              </w:rPr>
              <w:t>Batch size</w:t>
            </w:r>
          </w:p>
        </w:tc>
        <w:tc>
          <w:tcPr>
            <w:tcW w:type="dxa" w:w="3480"/>
          </w:tcPr>
          <w:p>
            <w:pPr>
              <w:spacing w:after="40"/>
            </w:pPr>
            <w:r>
              <w:rPr>
                <w:rFonts w:ascii="Times New Roman" w:hAnsi="Times New Roman"/>
                <w:sz w:val="17"/>
              </w:rPr>
              <w:t>8</w:t>
            </w:r>
          </w:p>
        </w:tc>
        <w:tc>
          <w:tcPr>
            <w:tcW w:type="dxa" w:w="3480"/>
          </w:tcPr>
          <w:p>
            <w:pPr>
              <w:spacing w:after="40"/>
            </w:pPr>
            <w:r>
              <w:rPr>
                <w:rFonts w:ascii="Times New Roman" w:hAnsi="Times New Roman"/>
                <w:sz w:val="17"/>
              </w:rPr>
              <w:t>8</w:t>
            </w:r>
          </w:p>
        </w:tc>
      </w:tr>
      <w:tr>
        <w:tc>
          <w:tcPr>
            <w:tcW w:type="dxa" w:w="3480"/>
          </w:tcPr>
          <w:p>
            <w:pPr>
              <w:spacing w:after="40"/>
            </w:pPr>
            <w:r>
              <w:rPr>
                <w:rFonts w:ascii="Times New Roman" w:hAnsi="Times New Roman"/>
                <w:sz w:val="17"/>
              </w:rPr>
              <w:t>Learning rate</w:t>
            </w:r>
          </w:p>
        </w:tc>
        <w:tc>
          <w:tcPr>
            <w:tcW w:type="dxa" w:w="3480"/>
          </w:tcPr>
          <w:p>
            <w:pPr>
              <w:spacing w:after="40"/>
            </w:pPr>
            <w:r>
              <w:rPr>
                <w:rFonts w:ascii="Times New Roman" w:hAnsi="Times New Roman"/>
                <w:sz w:val="17"/>
              </w:rPr>
              <w:t>1e-4</w:t>
            </w:r>
          </w:p>
        </w:tc>
        <w:tc>
          <w:tcPr>
            <w:tcW w:type="dxa" w:w="3480"/>
          </w:tcPr>
          <w:p>
            <w:pPr>
              <w:spacing w:after="40"/>
            </w:pPr>
            <w:r>
              <w:rPr>
                <w:rFonts w:ascii="Times New Roman" w:hAnsi="Times New Roman"/>
                <w:sz w:val="17"/>
              </w:rPr>
              <w:t>3e-5</w:t>
            </w:r>
          </w:p>
        </w:tc>
      </w:tr>
      <w:tr>
        <w:tc>
          <w:tcPr>
            <w:tcW w:type="dxa" w:w="3480"/>
          </w:tcPr>
          <w:p>
            <w:pPr>
              <w:spacing w:after="40"/>
            </w:pPr>
            <w:r>
              <w:rPr>
                <w:rFonts w:ascii="Times New Roman" w:hAnsi="Times New Roman"/>
                <w:sz w:val="17"/>
              </w:rPr>
              <w:t>Weight decay</w:t>
            </w:r>
          </w:p>
        </w:tc>
        <w:tc>
          <w:tcPr>
            <w:tcW w:type="dxa" w:w="3480"/>
          </w:tcPr>
          <w:p>
            <w:pPr>
              <w:spacing w:after="40"/>
            </w:pPr>
            <w:r>
              <w:rPr>
                <w:rFonts w:ascii="Times New Roman" w:hAnsi="Times New Roman"/>
                <w:sz w:val="17"/>
              </w:rPr>
              <w:t>1e-5</w:t>
            </w:r>
          </w:p>
        </w:tc>
        <w:tc>
          <w:tcPr>
            <w:tcW w:type="dxa" w:w="3480"/>
          </w:tcPr>
          <w:p>
            <w:pPr>
              <w:spacing w:after="40"/>
            </w:pPr>
            <w:r>
              <w:rPr>
                <w:rFonts w:ascii="Times New Roman" w:hAnsi="Times New Roman"/>
                <w:sz w:val="17"/>
              </w:rPr>
              <w:t>1e-5</w:t>
            </w:r>
          </w:p>
        </w:tc>
      </w:tr>
      <w:tr>
        <w:tc>
          <w:tcPr>
            <w:tcW w:type="dxa" w:w="3480"/>
          </w:tcPr>
          <w:p>
            <w:pPr>
              <w:spacing w:after="40"/>
            </w:pPr>
            <w:r>
              <w:rPr>
                <w:rFonts w:ascii="Times New Roman" w:hAnsi="Times New Roman"/>
                <w:sz w:val="17"/>
              </w:rPr>
              <w:t>Early-stop patience</w:t>
            </w:r>
          </w:p>
        </w:tc>
        <w:tc>
          <w:tcPr>
            <w:tcW w:type="dxa" w:w="3480"/>
          </w:tcPr>
          <w:p>
            <w:pPr>
              <w:spacing w:after="40"/>
            </w:pPr>
            <w:r>
              <w:rPr>
                <w:rFonts w:ascii="Times New Roman" w:hAnsi="Times New Roman"/>
                <w:sz w:val="17"/>
              </w:rPr>
              <w:t>3</w:t>
            </w:r>
          </w:p>
        </w:tc>
        <w:tc>
          <w:tcPr>
            <w:tcW w:type="dxa" w:w="3480"/>
          </w:tcPr>
          <w:p>
            <w:pPr>
              <w:spacing w:after="40"/>
            </w:pPr>
            <w:r>
              <w:rPr>
                <w:rFonts w:ascii="Times New Roman" w:hAnsi="Times New Roman"/>
                <w:sz w:val="17"/>
              </w:rPr>
              <w:t>3</w:t>
            </w:r>
          </w:p>
        </w:tc>
      </w:tr>
      <w:tr>
        <w:tc>
          <w:tcPr>
            <w:tcW w:type="dxa" w:w="3480"/>
          </w:tcPr>
          <w:p>
            <w:pPr>
              <w:spacing w:after="40"/>
            </w:pPr>
            <w:r>
              <w:rPr>
                <w:rFonts w:ascii="Times New Roman" w:hAnsi="Times New Roman"/>
                <w:sz w:val="17"/>
              </w:rPr>
              <w:t>LR-scheduler patience</w:t>
            </w:r>
          </w:p>
        </w:tc>
        <w:tc>
          <w:tcPr>
            <w:tcW w:type="dxa" w:w="3480"/>
          </w:tcPr>
          <w:p>
            <w:pPr>
              <w:spacing w:after="40"/>
            </w:pPr>
            <w:r>
              <w:rPr>
                <w:rFonts w:ascii="Times New Roman" w:hAnsi="Times New Roman"/>
                <w:sz w:val="17"/>
              </w:rPr>
              <w:t>2</w:t>
            </w:r>
          </w:p>
        </w:tc>
        <w:tc>
          <w:tcPr>
            <w:tcW w:type="dxa" w:w="3480"/>
          </w:tcPr>
          <w:p>
            <w:pPr>
              <w:spacing w:after="40"/>
            </w:pPr>
            <w:r>
              <w:rPr>
                <w:rFonts w:ascii="Times New Roman" w:hAnsi="Times New Roman"/>
                <w:sz w:val="17"/>
              </w:rPr>
              <w:t>2</w:t>
            </w:r>
          </w:p>
        </w:tc>
      </w:tr>
      <w:tr>
        <w:tc>
          <w:tcPr>
            <w:tcW w:type="dxa" w:w="3480"/>
          </w:tcPr>
          <w:p>
            <w:pPr>
              <w:spacing w:after="40"/>
            </w:pPr>
            <w:r>
              <w:rPr>
                <w:rFonts w:ascii="Times New Roman" w:hAnsi="Times New Roman"/>
                <w:sz w:val="17"/>
              </w:rPr>
              <w:t>Sequence length (T)</w:t>
            </w:r>
          </w:p>
        </w:tc>
        <w:tc>
          <w:tcPr>
            <w:tcW w:type="dxa" w:w="3480"/>
          </w:tcPr>
          <w:p>
            <w:pPr>
              <w:spacing w:after="40"/>
            </w:pPr>
            <w:r>
              <w:rPr>
                <w:rFonts w:ascii="Times New Roman" w:hAnsi="Times New Roman"/>
                <w:sz w:val="17"/>
              </w:rPr>
              <w:t>20</w:t>
            </w:r>
          </w:p>
        </w:tc>
        <w:tc>
          <w:tcPr>
            <w:tcW w:type="dxa" w:w="3480"/>
          </w:tcPr>
          <w:p>
            <w:pPr>
              <w:spacing w:after="40"/>
            </w:pPr>
            <w:r>
              <w:rPr>
                <w:rFonts w:ascii="Times New Roman" w:hAnsi="Times New Roman"/>
                <w:sz w:val="17"/>
              </w:rPr>
              <w:t>20</w:t>
            </w:r>
          </w:p>
        </w:tc>
      </w:tr>
      <w:tr>
        <w:tc>
          <w:tcPr>
            <w:tcW w:type="dxa" w:w="3480"/>
          </w:tcPr>
          <w:p>
            <w:pPr>
              <w:spacing w:after="40"/>
            </w:pPr>
            <w:r>
              <w:rPr>
                <w:rFonts w:ascii="Times New Roman" w:hAnsi="Times New Roman"/>
                <w:sz w:val="17"/>
              </w:rPr>
              <w:t>Random seed</w:t>
            </w:r>
          </w:p>
        </w:tc>
        <w:tc>
          <w:tcPr>
            <w:tcW w:type="dxa" w:w="3480"/>
          </w:tcPr>
          <w:p>
            <w:pPr>
              <w:spacing w:after="40"/>
            </w:pPr>
            <w:r>
              <w:rPr>
                <w:rFonts w:ascii="Times New Roman" w:hAnsi="Times New Roman"/>
                <w:sz w:val="17"/>
              </w:rPr>
              <w:t>42</w:t>
            </w:r>
          </w:p>
        </w:tc>
        <w:tc>
          <w:tcPr>
            <w:tcW w:type="dxa" w:w="3480"/>
          </w:tcPr>
          <w:p>
            <w:pPr>
              <w:spacing w:after="40"/>
            </w:pPr>
            <w:r>
              <w:rPr>
                <w:rFonts w:ascii="Times New Roman" w:hAnsi="Times New Roman"/>
                <w:sz w:val="17"/>
              </w:rPr>
              <w:t>42</w:t>
            </w:r>
          </w:p>
        </w:tc>
      </w:tr>
    </w:tbl>
    <w:p>
      <w:pPr>
        <w:spacing w:before="80" w:after="160"/>
        <w:jc w:val="center"/>
      </w:pPr>
      <w:r>
        <w:rPr>
          <w:rFonts w:ascii="Times New Roman" w:hAnsi="Times New Roman"/>
          <w:i/>
          <w:sz w:val="18"/>
        </w:rPr>
        <w:t>TABLE II. BASELINE TRAINING HYPERPARAMETERS.</w:t>
      </w:r>
    </w:p>
    <w:p>
      <w:pPr>
        <w:spacing w:before="160" w:after="80"/>
      </w:pPr>
      <w:r>
        <w:rPr>
          <w:rFonts w:ascii="Times New Roman" w:hAnsi="Times New Roman"/>
          <w:b w:val="0"/>
          <w:i/>
          <w:sz w:val="20"/>
        </w:rPr>
        <w:t>G. Evaluation Metrics</w:t>
      </w:r>
    </w:p>
    <w:p>
      <w:pPr>
        <w:spacing w:after="120" w:line="240" w:lineRule="auto"/>
        <w:ind w:firstLine="288"/>
        <w:jc w:val="both"/>
      </w:pPr>
      <w:r>
        <w:rPr>
          <w:rFonts w:ascii="Times New Roman" w:hAnsi="Times New Roman"/>
          <w:sz w:val="20"/>
        </w:rPr>
        <w:t>Each trained model is evaluated on the held-out test partition using its best validation-loss checkpoint. We report overall accuracy, macro-averaged precision/recall/F1, and Hamming loss, consistent with the multi-class formulation of the task. Beyond these aggregate metrics, we compute per-class precision/recall/F1 and the full confusion matrix to identify which gloss pairs are most frequently confused by each architecture and each ablation variant. To determine whether an observed accuracy difference between two models is statistically meaningful rather than sampling noise, both models are evaluated on identical, unshuffled test batches so that their predictions are paired sample-for-sample; McNemar's test (exact binomial form when the number of discordant pairs is below 25, otherwise the continuity-corrected chi-square form) is then applied to the paired correct/incorrect outcomes, and a paired bootstrap procedure (resampling test-set indices jointly for both models) yields a 95% confidence interval on the accuracy difference. Finally, to quantify the accuracy-efficiency trade-off, we report total and trainable parameter counts, floating-point operations (FLOPs) for a single forward pass over one 20-frame clip (measured via PyTorch's built-in profiler, with an analytic correction added for the CNN-LSTM's recurrent layer, which the profiler does not instrument), and inference latency on both CPU and GPU for representative batch sizes.</w:t>
      </w:r>
    </w:p>
    <w:p>
      <w:pPr>
        <w:spacing w:before="200" w:after="120"/>
        <w:jc w:val="center"/>
      </w:pPr>
      <w:r>
        <w:rPr>
          <w:rFonts w:ascii="Times New Roman" w:hAnsi="Times New Roman"/>
          <w:b/>
          <w:sz w:val="20"/>
        </w:rPr>
        <w:t>IV. RESULTS AND DISCUSSION</w:t>
      </w:r>
    </w:p>
    <w:p>
      <w:pPr>
        <w:spacing w:after="120" w:line="240" w:lineRule="auto"/>
        <w:ind w:firstLine="288"/>
        <w:jc w:val="both"/>
      </w:pPr>
      <w:r>
        <w:rPr>
          <w:rFonts w:ascii="Times New Roman" w:hAnsi="Times New Roman"/>
          <w:sz w:val="20"/>
        </w:rPr>
        <w:t>[Placeholder section -- dummy values shown below pending completion of all eight runs specified in Table I. The two baseline rows below reflect the actual test-set results already obtained for this study prior to the ablation runs; all ablation rows are marked TBD and will be filled in once the corresponding training run completes.]</w:t>
      </w:r>
    </w:p>
    <w:tbl>
      <w:tblPr>
        <w:tblStyle w:val="TableGrid"/>
        <w:tblW w:type="auto" w:w="0"/>
        <w:tblLook w:firstColumn="1" w:firstRow="1" w:lastColumn="0" w:lastRow="0" w:noHBand="0" w:noVBand="1" w:val="04A0"/>
      </w:tblPr>
      <w:tblGrid>
        <w:gridCol w:w="1740"/>
        <w:gridCol w:w="1740"/>
        <w:gridCol w:w="1740"/>
        <w:gridCol w:w="1740"/>
        <w:gridCol w:w="1740"/>
        <w:gridCol w:w="1740"/>
      </w:tblGrid>
      <w:tr>
        <w:tc>
          <w:tcPr>
            <w:tcW w:type="dxa" w:w="1740"/>
          </w:tcPr>
          <w:p>
            <w:pPr>
              <w:spacing w:after="40"/>
            </w:pPr>
            <w:r>
              <w:rPr>
                <w:rFonts w:ascii="Times New Roman" w:hAnsi="Times New Roman"/>
                <w:sz w:val="17"/>
              </w:rPr>
            </w:r>
            <w:r>
              <w:rPr>
                <w:rFonts w:ascii="Times New Roman" w:hAnsi="Times New Roman"/>
                <w:b/>
                <w:sz w:val="17"/>
              </w:rPr>
              <w:t>Run</w:t>
            </w:r>
          </w:p>
        </w:tc>
        <w:tc>
          <w:tcPr>
            <w:tcW w:type="dxa" w:w="1740"/>
          </w:tcPr>
          <w:p>
            <w:pPr>
              <w:spacing w:after="40"/>
            </w:pPr>
            <w:r>
              <w:rPr>
                <w:rFonts w:ascii="Times New Roman" w:hAnsi="Times New Roman"/>
                <w:sz w:val="17"/>
              </w:rPr>
            </w:r>
            <w:r>
              <w:rPr>
                <w:rFonts w:ascii="Times New Roman" w:hAnsi="Times New Roman"/>
                <w:b/>
                <w:sz w:val="17"/>
              </w:rPr>
              <w:t>Accuracy</w:t>
            </w:r>
          </w:p>
        </w:tc>
        <w:tc>
          <w:tcPr>
            <w:tcW w:type="dxa" w:w="1740"/>
          </w:tcPr>
          <w:p>
            <w:pPr>
              <w:spacing w:after="40"/>
            </w:pPr>
            <w:r>
              <w:rPr>
                <w:rFonts w:ascii="Times New Roman" w:hAnsi="Times New Roman"/>
                <w:sz w:val="17"/>
              </w:rPr>
            </w:r>
            <w:r>
              <w:rPr>
                <w:rFonts w:ascii="Times New Roman" w:hAnsi="Times New Roman"/>
                <w:b/>
                <w:sz w:val="17"/>
              </w:rPr>
              <w:t>Precision</w:t>
            </w:r>
          </w:p>
        </w:tc>
        <w:tc>
          <w:tcPr>
            <w:tcW w:type="dxa" w:w="1740"/>
          </w:tcPr>
          <w:p>
            <w:pPr>
              <w:spacing w:after="40"/>
            </w:pPr>
            <w:r>
              <w:rPr>
                <w:rFonts w:ascii="Times New Roman" w:hAnsi="Times New Roman"/>
                <w:sz w:val="17"/>
              </w:rPr>
            </w:r>
            <w:r>
              <w:rPr>
                <w:rFonts w:ascii="Times New Roman" w:hAnsi="Times New Roman"/>
                <w:b/>
                <w:sz w:val="17"/>
              </w:rPr>
              <w:t>Recall</w:t>
            </w:r>
          </w:p>
        </w:tc>
        <w:tc>
          <w:tcPr>
            <w:tcW w:type="dxa" w:w="1740"/>
          </w:tcPr>
          <w:p>
            <w:pPr>
              <w:spacing w:after="40"/>
            </w:pPr>
            <w:r>
              <w:rPr>
                <w:rFonts w:ascii="Times New Roman" w:hAnsi="Times New Roman"/>
                <w:sz w:val="17"/>
              </w:rPr>
            </w:r>
            <w:r>
              <w:rPr>
                <w:rFonts w:ascii="Times New Roman" w:hAnsi="Times New Roman"/>
                <w:b/>
                <w:sz w:val="17"/>
              </w:rPr>
              <w:t>F1</w:t>
            </w:r>
          </w:p>
        </w:tc>
        <w:tc>
          <w:tcPr>
            <w:tcW w:type="dxa" w:w="1740"/>
          </w:tcPr>
          <w:p>
            <w:pPr>
              <w:spacing w:after="40"/>
            </w:pPr>
            <w:r>
              <w:rPr>
                <w:rFonts w:ascii="Times New Roman" w:hAnsi="Times New Roman"/>
                <w:sz w:val="17"/>
              </w:rPr>
            </w:r>
            <w:r>
              <w:rPr>
                <w:rFonts w:ascii="Times New Roman" w:hAnsi="Times New Roman"/>
                <w:b/>
                <w:sz w:val="17"/>
              </w:rPr>
              <w:t>Hamming loss</w:t>
            </w:r>
          </w:p>
        </w:tc>
      </w:tr>
      <w:tr>
        <w:tc>
          <w:tcPr>
            <w:tcW w:type="dxa" w:w="1740"/>
          </w:tcPr>
          <w:p>
            <w:pPr>
              <w:spacing w:after="40"/>
            </w:pPr>
            <w:r>
              <w:rPr>
                <w:rFonts w:ascii="Times New Roman" w:hAnsi="Times New Roman"/>
                <w:sz w:val="17"/>
              </w:rPr>
              <w:t>B1: CNN-LSTM (baseline)</w:t>
            </w:r>
          </w:p>
        </w:tc>
        <w:tc>
          <w:tcPr>
            <w:tcW w:type="dxa" w:w="1740"/>
          </w:tcPr>
          <w:p>
            <w:pPr>
              <w:spacing w:after="40"/>
            </w:pPr>
            <w:r>
              <w:rPr>
                <w:rFonts w:ascii="Times New Roman" w:hAnsi="Times New Roman"/>
                <w:sz w:val="17"/>
              </w:rPr>
              <w:t>0.892</w:t>
            </w:r>
          </w:p>
        </w:tc>
        <w:tc>
          <w:tcPr>
            <w:tcW w:type="dxa" w:w="1740"/>
          </w:tcPr>
          <w:p>
            <w:pPr>
              <w:spacing w:after="40"/>
            </w:pPr>
            <w:r>
              <w:rPr>
                <w:rFonts w:ascii="Times New Roman" w:hAnsi="Times New Roman"/>
                <w:sz w:val="17"/>
              </w:rPr>
              <w:t>0.906</w:t>
            </w:r>
          </w:p>
        </w:tc>
        <w:tc>
          <w:tcPr>
            <w:tcW w:type="dxa" w:w="1740"/>
          </w:tcPr>
          <w:p>
            <w:pPr>
              <w:spacing w:after="40"/>
            </w:pPr>
            <w:r>
              <w:rPr>
                <w:rFonts w:ascii="Times New Roman" w:hAnsi="Times New Roman"/>
                <w:sz w:val="17"/>
              </w:rPr>
              <w:t>0.893</w:t>
            </w:r>
          </w:p>
        </w:tc>
        <w:tc>
          <w:tcPr>
            <w:tcW w:type="dxa" w:w="1740"/>
          </w:tcPr>
          <w:p>
            <w:pPr>
              <w:spacing w:after="40"/>
            </w:pPr>
            <w:r>
              <w:rPr>
                <w:rFonts w:ascii="Times New Roman" w:hAnsi="Times New Roman"/>
                <w:sz w:val="17"/>
              </w:rPr>
              <w:t>0.891</w:t>
            </w:r>
          </w:p>
        </w:tc>
        <w:tc>
          <w:tcPr>
            <w:tcW w:type="dxa" w:w="1740"/>
          </w:tcPr>
          <w:p>
            <w:pPr>
              <w:spacing w:after="40"/>
            </w:pPr>
            <w:r>
              <w:rPr>
                <w:rFonts w:ascii="Times New Roman" w:hAnsi="Times New Roman"/>
                <w:sz w:val="17"/>
              </w:rPr>
              <w:t>0.108</w:t>
            </w:r>
          </w:p>
        </w:tc>
      </w:tr>
      <w:tr>
        <w:tc>
          <w:tcPr>
            <w:tcW w:type="dxa" w:w="1740"/>
          </w:tcPr>
          <w:p>
            <w:pPr>
              <w:spacing w:after="40"/>
            </w:pPr>
            <w:r>
              <w:rPr>
                <w:rFonts w:ascii="Times New Roman" w:hAnsi="Times New Roman"/>
                <w:sz w:val="17"/>
              </w:rPr>
              <w:t>B2: MobileNetV2-Transf. (baseline)</w:t>
            </w:r>
          </w:p>
        </w:tc>
        <w:tc>
          <w:tcPr>
            <w:tcW w:type="dxa" w:w="1740"/>
          </w:tcPr>
          <w:p>
            <w:pPr>
              <w:spacing w:after="40"/>
            </w:pPr>
            <w:r>
              <w:rPr>
                <w:rFonts w:ascii="Times New Roman" w:hAnsi="Times New Roman"/>
                <w:sz w:val="17"/>
              </w:rPr>
              <w:t>0.919</w:t>
            </w:r>
          </w:p>
        </w:tc>
        <w:tc>
          <w:tcPr>
            <w:tcW w:type="dxa" w:w="1740"/>
          </w:tcPr>
          <w:p>
            <w:pPr>
              <w:spacing w:after="40"/>
            </w:pPr>
            <w:r>
              <w:rPr>
                <w:rFonts w:ascii="Times New Roman" w:hAnsi="Times New Roman"/>
                <w:sz w:val="17"/>
              </w:rPr>
              <w:t>0.925</w:t>
            </w:r>
          </w:p>
        </w:tc>
        <w:tc>
          <w:tcPr>
            <w:tcW w:type="dxa" w:w="1740"/>
          </w:tcPr>
          <w:p>
            <w:pPr>
              <w:spacing w:after="40"/>
            </w:pPr>
            <w:r>
              <w:rPr>
                <w:rFonts w:ascii="Times New Roman" w:hAnsi="Times New Roman"/>
                <w:sz w:val="17"/>
              </w:rPr>
              <w:t>0.917</w:t>
            </w:r>
          </w:p>
        </w:tc>
        <w:tc>
          <w:tcPr>
            <w:tcW w:type="dxa" w:w="1740"/>
          </w:tcPr>
          <w:p>
            <w:pPr>
              <w:spacing w:after="40"/>
            </w:pPr>
            <w:r>
              <w:rPr>
                <w:rFonts w:ascii="Times New Roman" w:hAnsi="Times New Roman"/>
                <w:sz w:val="17"/>
              </w:rPr>
              <w:t>0.916</w:t>
            </w:r>
          </w:p>
        </w:tc>
        <w:tc>
          <w:tcPr>
            <w:tcW w:type="dxa" w:w="1740"/>
          </w:tcPr>
          <w:p>
            <w:pPr>
              <w:spacing w:after="40"/>
            </w:pPr>
            <w:r>
              <w:rPr>
                <w:rFonts w:ascii="Times New Roman" w:hAnsi="Times New Roman"/>
                <w:sz w:val="17"/>
              </w:rPr>
              <w:t>0.081</w:t>
            </w:r>
          </w:p>
        </w:tc>
      </w:tr>
      <w:tr>
        <w:tc>
          <w:tcPr>
            <w:tcW w:type="dxa" w:w="1740"/>
          </w:tcPr>
          <w:p>
            <w:pPr>
              <w:spacing w:after="40"/>
            </w:pPr>
            <w:r>
              <w:rPr>
                <w:rFonts w:ascii="Times New Roman" w:hAnsi="Times New Roman"/>
                <w:sz w:val="17"/>
              </w:rPr>
              <w:t>1: CNN-LSTM (unfreeze=4)</w:t>
            </w:r>
          </w:p>
        </w:tc>
        <w:tc>
          <w:tcPr>
            <w:tcW w:type="dxa" w:w="1740"/>
          </w:tcPr>
          <w:p>
            <w:pPr>
              <w:spacing w:after="40"/>
            </w:pPr>
            <w:r>
              <w:rPr>
                <w:rFonts w:ascii="Times New Roman" w:hAnsi="Times New Roman"/>
                <w:sz w:val="17"/>
              </w:rPr>
              <w:t>TBD</w:t>
            </w:r>
          </w:p>
        </w:tc>
        <w:tc>
          <w:tcPr>
            <w:tcW w:type="dxa" w:w="1740"/>
          </w:tcPr>
          <w:p>
            <w:pPr>
              <w:spacing w:after="40"/>
            </w:pPr>
            <w:r>
              <w:rPr>
                <w:rFonts w:ascii="Times New Roman" w:hAnsi="Times New Roman"/>
                <w:sz w:val="17"/>
              </w:rPr>
              <w:t>TBD</w:t>
            </w:r>
          </w:p>
        </w:tc>
        <w:tc>
          <w:tcPr>
            <w:tcW w:type="dxa" w:w="1740"/>
          </w:tcPr>
          <w:p>
            <w:pPr>
              <w:spacing w:after="40"/>
            </w:pPr>
            <w:r>
              <w:rPr>
                <w:rFonts w:ascii="Times New Roman" w:hAnsi="Times New Roman"/>
                <w:sz w:val="17"/>
              </w:rPr>
              <w:t>TBD</w:t>
            </w:r>
          </w:p>
        </w:tc>
        <w:tc>
          <w:tcPr>
            <w:tcW w:type="dxa" w:w="1740"/>
          </w:tcPr>
          <w:p>
            <w:pPr>
              <w:spacing w:after="40"/>
            </w:pPr>
            <w:r>
              <w:rPr>
                <w:rFonts w:ascii="Times New Roman" w:hAnsi="Times New Roman"/>
                <w:sz w:val="17"/>
              </w:rPr>
              <w:t>TBD</w:t>
            </w:r>
          </w:p>
        </w:tc>
        <w:tc>
          <w:tcPr>
            <w:tcW w:type="dxa" w:w="1740"/>
          </w:tcPr>
          <w:p>
            <w:pPr>
              <w:spacing w:after="40"/>
            </w:pPr>
            <w:r>
              <w:rPr>
                <w:rFonts w:ascii="Times New Roman" w:hAnsi="Times New Roman"/>
                <w:sz w:val="17"/>
              </w:rPr>
              <w:t>TBD</w:t>
            </w:r>
          </w:p>
        </w:tc>
      </w:tr>
      <w:tr>
        <w:tc>
          <w:tcPr>
            <w:tcW w:type="dxa" w:w="1740"/>
          </w:tcPr>
          <w:p>
            <w:pPr>
              <w:spacing w:after="40"/>
            </w:pPr>
            <w:r>
              <w:rPr>
                <w:rFonts w:ascii="Times New Roman" w:hAnsi="Times New Roman"/>
                <w:sz w:val="17"/>
              </w:rPr>
              <w:t>2: MobileNetV2-Transf. (unfreeze=full)</w:t>
            </w:r>
          </w:p>
        </w:tc>
        <w:tc>
          <w:tcPr>
            <w:tcW w:type="dxa" w:w="1740"/>
          </w:tcPr>
          <w:p>
            <w:pPr>
              <w:spacing w:after="40"/>
            </w:pPr>
            <w:r>
              <w:rPr>
                <w:rFonts w:ascii="Times New Roman" w:hAnsi="Times New Roman"/>
                <w:sz w:val="17"/>
              </w:rPr>
              <w:t>TBD</w:t>
            </w:r>
          </w:p>
        </w:tc>
        <w:tc>
          <w:tcPr>
            <w:tcW w:type="dxa" w:w="1740"/>
          </w:tcPr>
          <w:p>
            <w:pPr>
              <w:spacing w:after="40"/>
            </w:pPr>
            <w:r>
              <w:rPr>
                <w:rFonts w:ascii="Times New Roman" w:hAnsi="Times New Roman"/>
                <w:sz w:val="17"/>
              </w:rPr>
              <w:t>TBD</w:t>
            </w:r>
          </w:p>
        </w:tc>
        <w:tc>
          <w:tcPr>
            <w:tcW w:type="dxa" w:w="1740"/>
          </w:tcPr>
          <w:p>
            <w:pPr>
              <w:spacing w:after="40"/>
            </w:pPr>
            <w:r>
              <w:rPr>
                <w:rFonts w:ascii="Times New Roman" w:hAnsi="Times New Roman"/>
                <w:sz w:val="17"/>
              </w:rPr>
              <w:t>TBD</w:t>
            </w:r>
          </w:p>
        </w:tc>
        <w:tc>
          <w:tcPr>
            <w:tcW w:type="dxa" w:w="1740"/>
          </w:tcPr>
          <w:p>
            <w:pPr>
              <w:spacing w:after="40"/>
            </w:pPr>
            <w:r>
              <w:rPr>
                <w:rFonts w:ascii="Times New Roman" w:hAnsi="Times New Roman"/>
                <w:sz w:val="17"/>
              </w:rPr>
              <w:t>TBD</w:t>
            </w:r>
          </w:p>
        </w:tc>
        <w:tc>
          <w:tcPr>
            <w:tcW w:type="dxa" w:w="1740"/>
          </w:tcPr>
          <w:p>
            <w:pPr>
              <w:spacing w:after="40"/>
            </w:pPr>
            <w:r>
              <w:rPr>
                <w:rFonts w:ascii="Times New Roman" w:hAnsi="Times New Roman"/>
                <w:sz w:val="17"/>
              </w:rPr>
              <w:t>TBD</w:t>
            </w:r>
          </w:p>
        </w:tc>
      </w:tr>
      <w:tr>
        <w:tc>
          <w:tcPr>
            <w:tcW w:type="dxa" w:w="1740"/>
          </w:tcPr>
          <w:p>
            <w:pPr>
              <w:spacing w:after="40"/>
            </w:pPr>
            <w:r>
              <w:rPr>
                <w:rFonts w:ascii="Times New Roman" w:hAnsi="Times New Roman"/>
                <w:sz w:val="17"/>
              </w:rPr>
              <w:t>3: MobileNetV2-Transf. (pooling=mean)</w:t>
            </w:r>
          </w:p>
        </w:tc>
        <w:tc>
          <w:tcPr>
            <w:tcW w:type="dxa" w:w="1740"/>
          </w:tcPr>
          <w:p>
            <w:pPr>
              <w:spacing w:after="40"/>
            </w:pPr>
            <w:r>
              <w:rPr>
                <w:rFonts w:ascii="Times New Roman" w:hAnsi="Times New Roman"/>
                <w:sz w:val="17"/>
              </w:rPr>
              <w:t>TBD</w:t>
            </w:r>
          </w:p>
        </w:tc>
        <w:tc>
          <w:tcPr>
            <w:tcW w:type="dxa" w:w="1740"/>
          </w:tcPr>
          <w:p>
            <w:pPr>
              <w:spacing w:after="40"/>
            </w:pPr>
            <w:r>
              <w:rPr>
                <w:rFonts w:ascii="Times New Roman" w:hAnsi="Times New Roman"/>
                <w:sz w:val="17"/>
              </w:rPr>
              <w:t>TBD</w:t>
            </w:r>
          </w:p>
        </w:tc>
        <w:tc>
          <w:tcPr>
            <w:tcW w:type="dxa" w:w="1740"/>
          </w:tcPr>
          <w:p>
            <w:pPr>
              <w:spacing w:after="40"/>
            </w:pPr>
            <w:r>
              <w:rPr>
                <w:rFonts w:ascii="Times New Roman" w:hAnsi="Times New Roman"/>
                <w:sz w:val="17"/>
              </w:rPr>
              <w:t>TBD</w:t>
            </w:r>
          </w:p>
        </w:tc>
        <w:tc>
          <w:tcPr>
            <w:tcW w:type="dxa" w:w="1740"/>
          </w:tcPr>
          <w:p>
            <w:pPr>
              <w:spacing w:after="40"/>
            </w:pPr>
            <w:r>
              <w:rPr>
                <w:rFonts w:ascii="Times New Roman" w:hAnsi="Times New Roman"/>
                <w:sz w:val="17"/>
              </w:rPr>
              <w:t>TBD</w:t>
            </w:r>
          </w:p>
        </w:tc>
        <w:tc>
          <w:tcPr>
            <w:tcW w:type="dxa" w:w="1740"/>
          </w:tcPr>
          <w:p>
            <w:pPr>
              <w:spacing w:after="40"/>
            </w:pPr>
            <w:r>
              <w:rPr>
                <w:rFonts w:ascii="Times New Roman" w:hAnsi="Times New Roman"/>
                <w:sz w:val="17"/>
              </w:rPr>
              <w:t>TBD</w:t>
            </w:r>
          </w:p>
        </w:tc>
      </w:tr>
      <w:tr>
        <w:tc>
          <w:tcPr>
            <w:tcW w:type="dxa" w:w="1740"/>
          </w:tcPr>
          <w:p>
            <w:pPr>
              <w:spacing w:after="40"/>
            </w:pPr>
            <w:r>
              <w:rPr>
                <w:rFonts w:ascii="Times New Roman" w:hAnsi="Times New Roman"/>
                <w:sz w:val="17"/>
              </w:rPr>
              <w:t>4: MobileNetV2-Transf. (pooling=attn.)</w:t>
            </w:r>
          </w:p>
        </w:tc>
        <w:tc>
          <w:tcPr>
            <w:tcW w:type="dxa" w:w="1740"/>
          </w:tcPr>
          <w:p>
            <w:pPr>
              <w:spacing w:after="40"/>
            </w:pPr>
            <w:r>
              <w:rPr>
                <w:rFonts w:ascii="Times New Roman" w:hAnsi="Times New Roman"/>
                <w:sz w:val="17"/>
              </w:rPr>
              <w:t>TBD</w:t>
            </w:r>
          </w:p>
        </w:tc>
        <w:tc>
          <w:tcPr>
            <w:tcW w:type="dxa" w:w="1740"/>
          </w:tcPr>
          <w:p>
            <w:pPr>
              <w:spacing w:after="40"/>
            </w:pPr>
            <w:r>
              <w:rPr>
                <w:rFonts w:ascii="Times New Roman" w:hAnsi="Times New Roman"/>
                <w:sz w:val="17"/>
              </w:rPr>
              <w:t>TBD</w:t>
            </w:r>
          </w:p>
        </w:tc>
        <w:tc>
          <w:tcPr>
            <w:tcW w:type="dxa" w:w="1740"/>
          </w:tcPr>
          <w:p>
            <w:pPr>
              <w:spacing w:after="40"/>
            </w:pPr>
            <w:r>
              <w:rPr>
                <w:rFonts w:ascii="Times New Roman" w:hAnsi="Times New Roman"/>
                <w:sz w:val="17"/>
              </w:rPr>
              <w:t>TBD</w:t>
            </w:r>
          </w:p>
        </w:tc>
        <w:tc>
          <w:tcPr>
            <w:tcW w:type="dxa" w:w="1740"/>
          </w:tcPr>
          <w:p>
            <w:pPr>
              <w:spacing w:after="40"/>
            </w:pPr>
            <w:r>
              <w:rPr>
                <w:rFonts w:ascii="Times New Roman" w:hAnsi="Times New Roman"/>
                <w:sz w:val="17"/>
              </w:rPr>
              <w:t>TBD</w:t>
            </w:r>
          </w:p>
        </w:tc>
        <w:tc>
          <w:tcPr>
            <w:tcW w:type="dxa" w:w="1740"/>
          </w:tcPr>
          <w:p>
            <w:pPr>
              <w:spacing w:after="40"/>
            </w:pPr>
            <w:r>
              <w:rPr>
                <w:rFonts w:ascii="Times New Roman" w:hAnsi="Times New Roman"/>
                <w:sz w:val="17"/>
              </w:rPr>
              <w:t>TBD</w:t>
            </w:r>
          </w:p>
        </w:tc>
      </w:tr>
      <w:tr>
        <w:tc>
          <w:tcPr>
            <w:tcW w:type="dxa" w:w="1740"/>
          </w:tcPr>
          <w:p>
            <w:pPr>
              <w:spacing w:after="40"/>
            </w:pPr>
            <w:r>
              <w:rPr>
                <w:rFonts w:ascii="Times New Roman" w:hAnsi="Times New Roman"/>
                <w:sz w:val="17"/>
              </w:rPr>
              <w:t>5: CNN-LSTM (motion=optical_flow)</w:t>
            </w:r>
          </w:p>
        </w:tc>
        <w:tc>
          <w:tcPr>
            <w:tcW w:type="dxa" w:w="1740"/>
          </w:tcPr>
          <w:p>
            <w:pPr>
              <w:spacing w:after="40"/>
            </w:pPr>
            <w:r>
              <w:rPr>
                <w:rFonts w:ascii="Times New Roman" w:hAnsi="Times New Roman"/>
                <w:sz w:val="17"/>
              </w:rPr>
              <w:t>TBD</w:t>
            </w:r>
          </w:p>
        </w:tc>
        <w:tc>
          <w:tcPr>
            <w:tcW w:type="dxa" w:w="1740"/>
          </w:tcPr>
          <w:p>
            <w:pPr>
              <w:spacing w:after="40"/>
            </w:pPr>
            <w:r>
              <w:rPr>
                <w:rFonts w:ascii="Times New Roman" w:hAnsi="Times New Roman"/>
                <w:sz w:val="17"/>
              </w:rPr>
              <w:t>TBD</w:t>
            </w:r>
          </w:p>
        </w:tc>
        <w:tc>
          <w:tcPr>
            <w:tcW w:type="dxa" w:w="1740"/>
          </w:tcPr>
          <w:p>
            <w:pPr>
              <w:spacing w:after="40"/>
            </w:pPr>
            <w:r>
              <w:rPr>
                <w:rFonts w:ascii="Times New Roman" w:hAnsi="Times New Roman"/>
                <w:sz w:val="17"/>
              </w:rPr>
              <w:t>TBD</w:t>
            </w:r>
          </w:p>
        </w:tc>
        <w:tc>
          <w:tcPr>
            <w:tcW w:type="dxa" w:w="1740"/>
          </w:tcPr>
          <w:p>
            <w:pPr>
              <w:spacing w:after="40"/>
            </w:pPr>
            <w:r>
              <w:rPr>
                <w:rFonts w:ascii="Times New Roman" w:hAnsi="Times New Roman"/>
                <w:sz w:val="17"/>
              </w:rPr>
              <w:t>TBD</w:t>
            </w:r>
          </w:p>
        </w:tc>
        <w:tc>
          <w:tcPr>
            <w:tcW w:type="dxa" w:w="1740"/>
          </w:tcPr>
          <w:p>
            <w:pPr>
              <w:spacing w:after="40"/>
            </w:pPr>
            <w:r>
              <w:rPr>
                <w:rFonts w:ascii="Times New Roman" w:hAnsi="Times New Roman"/>
                <w:sz w:val="17"/>
              </w:rPr>
              <w:t>TBD</w:t>
            </w:r>
          </w:p>
        </w:tc>
      </w:tr>
      <w:tr>
        <w:tc>
          <w:tcPr>
            <w:tcW w:type="dxa" w:w="1740"/>
          </w:tcPr>
          <w:p>
            <w:pPr>
              <w:spacing w:after="40"/>
            </w:pPr>
            <w:r>
              <w:rPr>
                <w:rFonts w:ascii="Times New Roman" w:hAnsi="Times New Roman"/>
                <w:sz w:val="17"/>
              </w:rPr>
              <w:t>6: MobileNetV2-Transf. (motion=optical_flow)</w:t>
            </w:r>
          </w:p>
        </w:tc>
        <w:tc>
          <w:tcPr>
            <w:tcW w:type="dxa" w:w="1740"/>
          </w:tcPr>
          <w:p>
            <w:pPr>
              <w:spacing w:after="40"/>
            </w:pPr>
            <w:r>
              <w:rPr>
                <w:rFonts w:ascii="Times New Roman" w:hAnsi="Times New Roman"/>
                <w:sz w:val="17"/>
              </w:rPr>
              <w:t>TBD</w:t>
            </w:r>
          </w:p>
        </w:tc>
        <w:tc>
          <w:tcPr>
            <w:tcW w:type="dxa" w:w="1740"/>
          </w:tcPr>
          <w:p>
            <w:pPr>
              <w:spacing w:after="40"/>
            </w:pPr>
            <w:r>
              <w:rPr>
                <w:rFonts w:ascii="Times New Roman" w:hAnsi="Times New Roman"/>
                <w:sz w:val="17"/>
              </w:rPr>
              <w:t>TBD</w:t>
            </w:r>
          </w:p>
        </w:tc>
        <w:tc>
          <w:tcPr>
            <w:tcW w:type="dxa" w:w="1740"/>
          </w:tcPr>
          <w:p>
            <w:pPr>
              <w:spacing w:after="40"/>
            </w:pPr>
            <w:r>
              <w:rPr>
                <w:rFonts w:ascii="Times New Roman" w:hAnsi="Times New Roman"/>
                <w:sz w:val="17"/>
              </w:rPr>
              <w:t>TBD</w:t>
            </w:r>
          </w:p>
        </w:tc>
        <w:tc>
          <w:tcPr>
            <w:tcW w:type="dxa" w:w="1740"/>
          </w:tcPr>
          <w:p>
            <w:pPr>
              <w:spacing w:after="40"/>
            </w:pPr>
            <w:r>
              <w:rPr>
                <w:rFonts w:ascii="Times New Roman" w:hAnsi="Times New Roman"/>
                <w:sz w:val="17"/>
              </w:rPr>
              <w:t>TBD</w:t>
            </w:r>
          </w:p>
        </w:tc>
        <w:tc>
          <w:tcPr>
            <w:tcW w:type="dxa" w:w="1740"/>
          </w:tcPr>
          <w:p>
            <w:pPr>
              <w:spacing w:after="40"/>
            </w:pPr>
            <w:r>
              <w:rPr>
                <w:rFonts w:ascii="Times New Roman" w:hAnsi="Times New Roman"/>
                <w:sz w:val="17"/>
              </w:rPr>
              <w:t>TBD</w:t>
            </w:r>
          </w:p>
        </w:tc>
      </w:tr>
    </w:tbl>
    <w:p>
      <w:pPr>
        <w:spacing w:before="80" w:after="160"/>
        <w:jc w:val="center"/>
      </w:pPr>
      <w:r>
        <w:rPr>
          <w:rFonts w:ascii="Times New Roman" w:hAnsi="Times New Roman"/>
          <w:i/>
          <w:sz w:val="18"/>
        </w:rPr>
        <w:t>TABLE III. TEST-SET RESULTS (DUMMY PLACEHOLDER -- ABLATION ROWS PENDING).</w:t>
      </w:r>
    </w:p>
    <w:p>
      <w:pPr>
        <w:spacing w:after="120" w:line="240" w:lineRule="auto"/>
        <w:ind w:firstLine="288"/>
        <w:jc w:val="both"/>
      </w:pPr>
      <w:r>
        <w:rPr>
          <w:rFonts w:ascii="Times New Roman" w:hAnsi="Times New Roman"/>
          <w:sz w:val="20"/>
        </w:rPr>
        <w:t>[Placeholder discussion.] Once all runs in Table III are complete, this subsection will discuss: (a) whether the fairness-matched fine-tuning-depth runs (1 and 2) narrow, preserve, or reverse the baseline accuracy gap between the two architectures; (b) whether pooling strategy (runs 3 and 4) measurably affects the Transformer branch's accuracy relative to its last-token baseline; (c) whether dense optical flow (runs 5 and 6) improves accuracy over normalized frame differencing for either architecture; (d) the outcome of McNemar's test and the paired bootstrap confidence interval for the headline baseline-vs-baseline comparison and for each fairness-matched pair; and (e) the parameter count, FLOPs, and CPU/GPU latency of both architectures side by side, to characterize the accuracy-efficiency trade-off relevant to on-device deployment.</w:t>
      </w:r>
    </w:p>
    <w:p>
      <w:pPr>
        <w:spacing w:after="120" w:line="240" w:lineRule="auto"/>
        <w:ind w:firstLine="288"/>
        <w:jc w:val="both"/>
      </w:pPr>
      <w:r>
        <w:rPr>
          <w:rFonts w:ascii="Times New Roman" w:hAnsi="Times New Roman"/>
          <w:sz w:val="20"/>
        </w:rPr>
        <w:t>[Placeholder.] Table IV (efficiency comparison) and Table V (per-class error analysis / most-confused gloss pairs) will be inserted here once the corresponding evaluation notebooks (efficiency_benchmark and statistical_analysis) have been executed for the finalized set of checkpoints.</w:t>
      </w:r>
    </w:p>
    <w:p>
      <w:pPr>
        <w:spacing w:before="200" w:after="120"/>
        <w:jc w:val="center"/>
      </w:pPr>
      <w:r>
        <w:rPr>
          <w:rFonts w:ascii="Times New Roman" w:hAnsi="Times New Roman"/>
          <w:b/>
          <w:sz w:val="20"/>
        </w:rPr>
        <w:t>V. CONCLUSION</w:t>
      </w:r>
    </w:p>
    <w:p>
      <w:pPr>
        <w:spacing w:after="120" w:line="240" w:lineRule="auto"/>
        <w:ind w:firstLine="288"/>
        <w:jc w:val="both"/>
      </w:pPr>
      <w:r>
        <w:rPr>
          <w:rFonts w:ascii="Times New Roman" w:hAnsi="Times New Roman"/>
          <w:sz w:val="20"/>
        </w:rPr>
        <w:t>[Placeholder section.] This paper will conclude by summarizing whether a fairness-controlled comparison changes the conclusions of the original CNN-LSTM-vs-MobileNetV2-Transformer comparison for BISINDO isolated-word recognition, which of the four proposed ablations (fine-tuning depth, pooling strategy, motion representation, efficiency/statistical evaluation) proved most impactful, and what the resulting accuracy-efficiency trade-off implies for deploying either architecture in an on-device or edge-based BISINDO recognition assistant. Limitations (dataset size and class imbalance, isolated-word rather than continuous signing, single-signer-per-class considerations) and directions for future work (larger/continuous-signing datasets, learned optical flow, quantization for deployment) will also be discussed here.</w:t>
      </w:r>
    </w:p>
    <w:p>
      <w:pPr>
        <w:spacing w:before="200" w:after="120"/>
        <w:jc w:val="center"/>
      </w:pPr>
      <w:r>
        <w:rPr>
          <w:rFonts w:ascii="Times New Roman" w:hAnsi="Times New Roman"/>
          <w:b/>
          <w:sz w:val="20"/>
        </w:rPr>
        <w:t>REFERENCES</w:t>
      </w:r>
    </w:p>
    <w:p>
      <w:pPr>
        <w:spacing w:after="80" w:line="240" w:lineRule="auto"/>
      </w:pPr>
      <w:r>
        <w:rPr>
          <w:rFonts w:ascii="Times New Roman" w:hAnsi="Times New Roman"/>
          <w:sz w:val="18"/>
        </w:rPr>
        <w:t>[1] Placeholder Author A. and Placeholder Author B., "Placeholder title on convolutional-recurrent architectures for sign language recognition," Placeholder Journal/Conference Name, vol. XX, no. X, pp. XX-XX, Year.</w:t>
      </w:r>
    </w:p>
    <w:p>
      <w:pPr>
        <w:spacing w:after="80" w:line="240" w:lineRule="auto"/>
      </w:pPr>
      <w:r>
        <w:rPr>
          <w:rFonts w:ascii="Times New Roman" w:hAnsi="Times New Roman"/>
          <w:sz w:val="18"/>
        </w:rPr>
        <w:t>[2] Placeholder Author C., "Placeholder title on MobileNet-based lightweight architectures for gesture recognition," Placeholder Conference Name, pp. XX-XX, Year.</w:t>
      </w:r>
    </w:p>
    <w:p>
      <w:pPr>
        <w:spacing w:after="80" w:line="240" w:lineRule="auto"/>
      </w:pPr>
      <w:r>
        <w:rPr>
          <w:rFonts w:ascii="Times New Roman" w:hAnsi="Times New Roman"/>
          <w:sz w:val="18"/>
        </w:rPr>
        <w:t>[3] Placeholder Author D., Placeholder Author E., and Placeholder Author F., "Placeholder title on Transformer encoders for temporal video classification," Placeholder Journal Name, vol. XX, pp. XX-XX, Year.</w:t>
      </w:r>
    </w:p>
    <w:p>
      <w:pPr>
        <w:spacing w:after="80" w:line="240" w:lineRule="auto"/>
      </w:pPr>
      <w:r>
        <w:rPr>
          <w:rFonts w:ascii="Times New Roman" w:hAnsi="Times New Roman"/>
          <w:sz w:val="18"/>
        </w:rPr>
        <w:t>[4] Placeholder Author G., "Placeholder title on Indonesian sign language (BISINDO/SIBI) recognition datasets and baselines," Placeholder Conference Name, Year.</w:t>
      </w:r>
    </w:p>
    <w:p>
      <w:pPr>
        <w:spacing w:after="80" w:line="240" w:lineRule="auto"/>
      </w:pPr>
      <w:r>
        <w:rPr>
          <w:rFonts w:ascii="Times New Roman" w:hAnsi="Times New Roman"/>
          <w:sz w:val="18"/>
        </w:rPr>
        <w:t>[5] Placeholder Author H. and Placeholder Author I., "Placeholder title on two-stream RGB and optical-flow networks for action recognition," Placeholder Conference Name, pp. XX-XX, Year.</w:t>
      </w:r>
    </w:p>
    <w:p>
      <w:pPr>
        <w:spacing w:after="80" w:line="240" w:lineRule="auto"/>
      </w:pPr>
      <w:r>
        <w:rPr>
          <w:rFonts w:ascii="Times New Roman" w:hAnsi="Times New Roman"/>
          <w:sz w:val="18"/>
        </w:rPr>
        <w:t>[6] Placeholder Author J., "Placeholder title on Farneback dense optical flow estimation," Placeholder Journal Name, vol. XX, pp. XX-XX, Year.</w:t>
      </w:r>
    </w:p>
    <w:p>
      <w:pPr>
        <w:spacing w:after="80" w:line="240" w:lineRule="auto"/>
      </w:pPr>
      <w:r>
        <w:rPr>
          <w:rFonts w:ascii="Times New Roman" w:hAnsi="Times New Roman"/>
          <w:sz w:val="18"/>
        </w:rPr>
        <w:t>[7] Placeholder Author K., "Placeholder title on focal loss for class-imbalanced classification," Placeholder Conference Name, Year.</w:t>
      </w:r>
    </w:p>
    <w:p>
      <w:pPr>
        <w:spacing w:after="80" w:line="240" w:lineRule="auto"/>
      </w:pPr>
      <w:r>
        <w:rPr>
          <w:rFonts w:ascii="Times New Roman" w:hAnsi="Times New Roman"/>
          <w:sz w:val="18"/>
        </w:rPr>
        <w:t>[8] Placeholder Author L. and Placeholder Author M., "Placeholder title on statistical significance testing for classifier comparison (McNemar's test)," Placeholder Journal Name, vol. XX, pp. XX-XX, Year.</w:t>
      </w:r>
    </w:p>
    <w:p>
      <w:pPr>
        <w:spacing w:after="80" w:line="240" w:lineRule="auto"/>
      </w:pPr>
      <w:r>
        <w:rPr>
          <w:rFonts w:ascii="Times New Roman" w:hAnsi="Times New Roman"/>
          <w:sz w:val="18"/>
        </w:rPr>
        <w:t>[9] Placeholder Author N., "Placeholder title on efficient mobile convolutional network design (MobileNetV2)," Placeholder Conference Name, Year.</w:t>
      </w:r>
    </w:p>
    <w:p>
      <w:pPr>
        <w:spacing w:after="80" w:line="240" w:lineRule="auto"/>
      </w:pPr>
      <w:r>
        <w:rPr>
          <w:rFonts w:ascii="Times New Roman" w:hAnsi="Times New Roman"/>
          <w:sz w:val="18"/>
        </w:rPr>
        <w:t>[10] Placeholder Author O., "Placeholder title on residual networks for image recognition (ResNet)," Placeholder Conference Name, Year.</w:t>
      </w:r>
    </w:p>
    <w:sectPr w:rsidR="00FC693F" w:rsidRPr="0006063C" w:rsidSect="00034616">
      <w:type w:val="continuous"/>
      <w:pgSz w:w="12240" w:h="15840"/>
      <w:pgMar w:top="1080" w:right="900" w:bottom="1440" w:left="900" w:header="720" w:footer="720" w:gutter="0"/>
      <w:cols w:space="288"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