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Calibri" w:hAnsi="Calibri"/>
          <w:b/>
          <w:color w:val="4F46E5"/>
          <w:sz w:val="15"/>
        </w:rPr>
        <w:t>BRIGHTCHAMPS  |  FOUNDER'S OFFICE &amp; FINANCE  |  AI FORWARD DEPLOYED INITIATIVE</w:t>
        <w:br/>
      </w:r>
      <w:r>
        <w:rPr>
          <w:rFonts w:ascii="Calibri" w:hAnsi="Calibri"/>
          <w:b/>
          <w:color w:val="1E1B4B"/>
          <w:sz w:val="26"/>
        </w:rPr>
        <w:t>EXECUTIVE MEMORANDUM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6" w:space="0" w:color="CBD5E1"/>
          <w:left w:val="none"/>
          <w:right w:val="none"/>
          <w:insideV w:val="none"/>
        </w:tblBorders>
      </w:tblPr>
      <w:tblGrid>
        <w:gridCol w:w="5292"/>
        <w:gridCol w:w="5292"/>
      </w:tblGrid>
      <w:tr>
        <w:tc>
          <w:tcPr>
            <w:tcW w:type="dxa" w:w="6480"/>
            <w:tcMar>
              <w:top w:w="10" w:type="dxa"/>
              <w:bottom w:w="10" w:type="dxa"/>
              <w:left w:w="20" w:type="dxa"/>
              <w:right w:w="2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TO: </w:t>
            </w:r>
            <w:r>
              <w:rPr>
                <w:rFonts w:ascii="Calibri" w:hAnsi="Calibri"/>
                <w:color w:val="0F172A"/>
                <w:sz w:val="15"/>
              </w:rPr>
              <w:t>Founder's Office &amp; Finance, BrightCHAMPS</w:t>
            </w:r>
          </w:p>
        </w:tc>
        <w:tc>
          <w:tcPr>
            <w:tcW w:type="dxa" w:w="4104"/>
            <w:tcMar>
              <w:top w:w="10" w:type="dxa"/>
              <w:bottom w:w="10" w:type="dxa"/>
              <w:left w:w="20" w:type="dxa"/>
              <w:right w:w="2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DATE: </w:t>
            </w:r>
            <w:r>
              <w:rPr>
                <w:rFonts w:ascii="Calibri" w:hAnsi="Calibri"/>
                <w:color w:val="0F172A"/>
                <w:sz w:val="15"/>
              </w:rPr>
              <w:t>September 21, 2026</w:t>
            </w:r>
          </w:p>
        </w:tc>
      </w:tr>
      <w:tr>
        <w:tc>
          <w:tcPr>
            <w:tcW w:type="dxa" w:w="6480"/>
            <w:tcMar>
              <w:top w:w="10" w:type="dxa"/>
              <w:bottom w:w="10" w:type="dxa"/>
              <w:left w:w="20" w:type="dxa"/>
              <w:right w:w="2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FROM: </w:t>
            </w:r>
            <w:r>
              <w:rPr>
                <w:rFonts w:ascii="Calibri" w:hAnsi="Calibri"/>
                <w:color w:val="0F172A"/>
                <w:sz w:val="15"/>
              </w:rPr>
              <w:t>Bharanee B (AI Forward Deployed Associate Candidate)</w:t>
            </w:r>
          </w:p>
        </w:tc>
        <w:tc>
          <w:tcPr>
            <w:tcW w:type="dxa" w:w="4104"/>
            <w:tcMar>
              <w:top w:w="10" w:type="dxa"/>
              <w:bottom w:w="10" w:type="dxa"/>
              <w:left w:w="20" w:type="dxa"/>
              <w:right w:w="2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SUBJECT: </w:t>
            </w:r>
            <w:r>
              <w:rPr>
                <w:rFonts w:ascii="Calibri" w:hAnsi="Calibri"/>
                <w:b/>
                <w:color w:val="1E1B4B"/>
                <w:sz w:val="15"/>
              </w:rPr>
              <w:t>14-Day Plan to Recover ₹24.12L/mo in Trial Attendance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left w:val="none"/>
          <w:right w:val="none"/>
          <w:insideV w:val="none"/>
        </w:tblBorders>
      </w:tblPr>
      <w:tblGrid>
        <w:gridCol w:w="2646"/>
        <w:gridCol w:w="2646"/>
        <w:gridCol w:w="2646"/>
        <w:gridCol w:w="2646"/>
      </w:tblGrid>
      <w:tr>
        <w:tc>
          <w:tcPr>
            <w:tcW w:type="dxa" w:w="2635"/>
            <w:shd w:fill="FEF2F2"/>
            <w:tcMar>
              <w:top w:w="35" w:type="dxa"/>
              <w:bottom w:w="35" w:type="dxa"/>
              <w:left w:w="30" w:type="dxa"/>
              <w:right w:w="3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64748B"/>
                <w:sz w:val="13"/>
              </w:rPr>
              <w:t>GROSS LEAK CEILING</w:t>
              <w:br/>
            </w:r>
            <w:r>
              <w:rPr>
                <w:rFonts w:ascii="Calibri" w:hAnsi="Calibri"/>
                <w:b/>
                <w:color w:val="B91C1C"/>
                <w:sz w:val="19"/>
              </w:rPr>
              <w:t>₹61.62 Lakhs/mo</w:t>
              <w:br/>
            </w:r>
            <w:r>
              <w:rPr>
                <w:rFonts w:ascii="Calibri" w:hAnsi="Calibri"/>
                <w:color w:val="334155"/>
                <w:sz w:val="13"/>
              </w:rPr>
              <w:t>584.5 No-Shows / month</w:t>
            </w:r>
          </w:p>
        </w:tc>
        <w:tc>
          <w:tcPr>
            <w:tcW w:type="dxa" w:w="2635"/>
            <w:shd w:fill="F0FDF4"/>
            <w:tcMar>
              <w:top w:w="35" w:type="dxa"/>
              <w:bottom w:w="35" w:type="dxa"/>
              <w:left w:w="30" w:type="dxa"/>
              <w:right w:w="3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64748B"/>
                <w:sz w:val="13"/>
              </w:rPr>
              <w:t>RECOVERABLE CASH</w:t>
              <w:br/>
            </w:r>
            <w:r>
              <w:rPr>
                <w:rFonts w:ascii="Calibri" w:hAnsi="Calibri"/>
                <w:b/>
                <w:color w:val="166534"/>
                <w:sz w:val="19"/>
              </w:rPr>
              <w:t>+₹24.12 Lakhs/mo</w:t>
              <w:br/>
            </w:r>
            <w:r>
              <w:rPr>
                <w:rFonts w:ascii="Calibri" w:hAnsi="Calibri"/>
                <w:color w:val="334155"/>
                <w:sz w:val="13"/>
              </w:rPr>
              <w:t>+40.2 Net Conv/mo (68.9x ROI)</w:t>
            </w:r>
          </w:p>
        </w:tc>
        <w:tc>
          <w:tcPr>
            <w:tcW w:type="dxa" w:w="2635"/>
            <w:shd w:fill="F8FAFC"/>
            <w:tcMar>
              <w:top w:w="35" w:type="dxa"/>
              <w:bottom w:w="35" w:type="dxa"/>
              <w:left w:w="30" w:type="dxa"/>
              <w:right w:w="3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64748B"/>
                <w:sz w:val="13"/>
              </w:rPr>
              <w:t>CONTROL BASELINE</w:t>
              <w:br/>
            </w:r>
            <w:r>
              <w:rPr>
                <w:rFonts w:ascii="Calibri" w:hAnsi="Calibri"/>
                <w:b/>
                <w:color w:val="1E1B4B"/>
                <w:sz w:val="19"/>
              </w:rPr>
              <w:t>63.80% Show Rate</w:t>
              <w:br/>
            </w:r>
            <w:r>
              <w:rPr>
                <w:rFonts w:ascii="Calibri" w:hAnsi="Calibri"/>
                <w:color w:val="334155"/>
                <w:sz w:val="13"/>
              </w:rPr>
              <w:t>1,614.5 scheduled demos/mo</w:t>
            </w:r>
          </w:p>
        </w:tc>
        <w:tc>
          <w:tcPr>
            <w:tcW w:type="dxa" w:w="2635"/>
            <w:shd w:fill="EEF2FF"/>
            <w:tcMar>
              <w:top w:w="35" w:type="dxa"/>
              <w:bottom w:w="35" w:type="dxa"/>
              <w:left w:w="30" w:type="dxa"/>
              <w:right w:w="3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64748B"/>
                <w:sz w:val="13"/>
              </w:rPr>
              <w:t>TARGET THRESHOLD</w:t>
              <w:br/>
            </w:r>
            <w:r>
              <w:rPr>
                <w:rFonts w:ascii="Calibri" w:hAnsi="Calibri"/>
                <w:b/>
                <w:color w:val="4F46E5"/>
                <w:sz w:val="19"/>
              </w:rPr>
              <w:t>78.00% Show Rate</w:t>
              <w:br/>
            </w:r>
            <w:r>
              <w:rPr>
                <w:rFonts w:ascii="Calibri" w:hAnsi="Calibri"/>
                <w:color w:val="334155"/>
                <w:sz w:val="13"/>
              </w:rPr>
              <w:t>Internal 24–48h cohort benchmark</w:t>
            </w:r>
          </w:p>
        </w:tc>
      </w:tr>
    </w:tbl>
    <w:p>
      <w:pPr>
        <w:spacing w:before="70" w:after="30" w:line="240" w:lineRule="auto"/>
      </w:pPr>
      <w:r>
        <w:rPr>
          <w:rFonts w:ascii="Calibri" w:hAnsi="Calibri"/>
          <w:b/>
          <w:color w:val="1E1B4B"/>
          <w:sz w:val="17"/>
        </w:rPr>
        <w:t>1. THE LEAK: THEORETICAL CEILING VS. RECOVERABLE CASH</w:t>
      </w:r>
    </w:p>
    <w:p>
      <w:pPr>
        <w:spacing w:before="0" w:after="40" w:line="252" w:lineRule="auto"/>
      </w:pPr>
      <w:r>
        <w:rPr>
          <w:rFonts w:ascii="Calibri" w:hAnsi="Calibri"/>
          <w:color w:val="0F172A"/>
          <w:sz w:val="15"/>
        </w:rPr>
        <w:t xml:space="preserve">Across 5,000 anonymised leads covering June–July 2026 (2,500/mo) at ₹60,000 revenue/converted student and ₹900 CAC, the single largest financial drain is </w:t>
      </w:r>
      <w:r>
        <w:rPr>
          <w:rFonts w:ascii="Calibri" w:hAnsi="Calibri"/>
          <w:b/>
          <w:color w:val="0F172A"/>
          <w:sz w:val="15"/>
        </w:rPr>
        <w:t>Demo Scheduled → Demo Joined (The Pre-Demo No-Show Drop)</w:t>
      </w:r>
      <w:r>
        <w:rPr>
          <w:rFonts w:ascii="Calibri" w:hAnsi="Calibri"/>
          <w:color w:val="0F172A"/>
          <w:sz w:val="15"/>
        </w:rPr>
        <w:t>. Out of 3,229 scheduled demos, 1,169 failed to attend (584.5 no-shows/mo; 36.20% no-show rate). With a 17.57% historical attendee-to-paid conversion rate (362/2,060), each attending parent has an expected value of ₹10,544. The theoretical maximum ceiling is ₹61,62,786/mo (~₹61.62 Lakhs/mo). Crucially, timestamp analysis uncovers a 24-hour scheduling lag cliff: leads scheduled within 24–48 hours already achieve an internal show rate of 77.52%, whereas leads delayed &gt;48 hours collapse to 45.40%. Our 78.00% target is an internal empirical benchmark, recovering 229.3 attendees/month and eliminating 172 hours/mo of sales counselor downtime in empty Zoom rooms.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left w:val="none"/>
          <w:right w:val="none"/>
          <w:insideV w:val="none"/>
        </w:tblBorders>
      </w:tblPr>
      <w:tblGrid>
        <w:gridCol w:w="2117"/>
        <w:gridCol w:w="2117"/>
        <w:gridCol w:w="2117"/>
        <w:gridCol w:w="2117"/>
        <w:gridCol w:w="2117"/>
      </w:tblGrid>
      <w:tr>
        <w:tc>
          <w:tcPr>
            <w:tcW w:type="dxa" w:w="2520"/>
            <w:shd w:fill="F1F5F9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4155"/>
                <w:sz w:val="14"/>
              </w:rPr>
              <w:t>Funnel Stage</w:t>
            </w:r>
          </w:p>
        </w:tc>
        <w:tc>
          <w:tcPr>
            <w:tcW w:type="dxa" w:w="1224"/>
            <w:shd w:fill="F1F5F9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4155"/>
                <w:sz w:val="14"/>
              </w:rPr>
              <w:t>Monthly Vol</w:t>
            </w:r>
          </w:p>
        </w:tc>
        <w:tc>
          <w:tcPr>
            <w:tcW w:type="dxa" w:w="1224"/>
            <w:shd w:fill="F1F5F9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4155"/>
                <w:sz w:val="14"/>
              </w:rPr>
              <w:t>Stage Conv %</w:t>
            </w:r>
          </w:p>
        </w:tc>
        <w:tc>
          <w:tcPr>
            <w:tcW w:type="dxa" w:w="1080"/>
            <w:shd w:fill="F1F5F9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4155"/>
                <w:sz w:val="14"/>
              </w:rPr>
              <w:t>Funnel %</w:t>
            </w:r>
          </w:p>
        </w:tc>
        <w:tc>
          <w:tcPr>
            <w:tcW w:type="dxa" w:w="4536"/>
            <w:shd w:fill="F1F5F9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4155"/>
                <w:sz w:val="14"/>
              </w:rPr>
              <w:t>Financial Leak Working (INR / Month)</w:t>
            </w:r>
          </w:p>
        </w:tc>
      </w:tr>
      <w:tr>
        <w:tc>
          <w:tcPr>
            <w:tcW w:type="dxa" w:w="2520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Lead → Demo Scheduled</w:t>
            </w:r>
          </w:p>
        </w:tc>
        <w:tc>
          <w:tcPr>
            <w:tcW w:type="dxa" w:w="1224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1,614.5</w:t>
            </w:r>
          </w:p>
        </w:tc>
        <w:tc>
          <w:tcPr>
            <w:tcW w:type="dxa" w:w="1224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64.58%</w:t>
            </w:r>
          </w:p>
        </w:tc>
        <w:tc>
          <w:tcPr>
            <w:tcW w:type="dxa" w:w="1080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64.58%</w:t>
            </w:r>
          </w:p>
        </w:tc>
        <w:tc>
          <w:tcPr>
            <w:tcW w:type="dxa" w:w="4536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885.5 unscheduled = ₹7.97L flushed CAC (₹38.47L lost rev)</w:t>
            </w:r>
          </w:p>
        </w:tc>
      </w:tr>
      <w:tr>
        <w:tc>
          <w:tcPr>
            <w:tcW w:type="dxa" w:w="2520"/>
            <w:shd w:fill="FEF2F2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B91C1C"/>
                <w:sz w:val="14"/>
              </w:rPr>
              <w:t>Demo Scheduled → Joined</w:t>
            </w:r>
          </w:p>
        </w:tc>
        <w:tc>
          <w:tcPr>
            <w:tcW w:type="dxa" w:w="1224"/>
            <w:shd w:fill="FEF2F2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B91C1C"/>
                <w:sz w:val="14"/>
              </w:rPr>
              <w:t>1,030.0</w:t>
            </w:r>
          </w:p>
        </w:tc>
        <w:tc>
          <w:tcPr>
            <w:tcW w:type="dxa" w:w="1224"/>
            <w:shd w:fill="FEF2F2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B91C1C"/>
                <w:sz w:val="14"/>
              </w:rPr>
              <w:t>63.80%</w:t>
            </w:r>
          </w:p>
        </w:tc>
        <w:tc>
          <w:tcPr>
            <w:tcW w:type="dxa" w:w="1080"/>
            <w:shd w:fill="FEF2F2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B91C1C"/>
                <w:sz w:val="14"/>
              </w:rPr>
              <w:t>41.20%</w:t>
            </w:r>
          </w:p>
        </w:tc>
        <w:tc>
          <w:tcPr>
            <w:tcW w:type="dxa" w:w="4536"/>
            <w:shd w:fill="FEF2F2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B91C1C"/>
                <w:sz w:val="14"/>
              </w:rPr>
              <w:t>584.5 NO-SHOWS × 17.57% conv × ₹60k = ₹61.62L GROSS CEILING</w:t>
            </w:r>
          </w:p>
        </w:tc>
      </w:tr>
      <w:tr>
        <w:tc>
          <w:tcPr>
            <w:tcW w:type="dxa" w:w="2520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Demo Joined → Completed</w:t>
            </w:r>
          </w:p>
        </w:tc>
        <w:tc>
          <w:tcPr>
            <w:tcW w:type="dxa" w:w="1224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893.0</w:t>
            </w:r>
          </w:p>
        </w:tc>
        <w:tc>
          <w:tcPr>
            <w:tcW w:type="dxa" w:w="1224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86.70%</w:t>
            </w:r>
          </w:p>
        </w:tc>
        <w:tc>
          <w:tcPr>
            <w:tcW w:type="dxa" w:w="1080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35.72%</w:t>
            </w:r>
          </w:p>
        </w:tc>
        <w:tc>
          <w:tcPr>
            <w:tcW w:type="dxa" w:w="4536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137.0 in-demo drops × 20.27% conv × ₹60k = ₹16.66L / month</w:t>
            </w:r>
          </w:p>
        </w:tc>
      </w:tr>
      <w:tr>
        <w:tc>
          <w:tcPr>
            <w:tcW w:type="dxa" w:w="2520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Demo Completed → Converted</w:t>
            </w:r>
          </w:p>
        </w:tc>
        <w:tc>
          <w:tcPr>
            <w:tcW w:type="dxa" w:w="1224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181.0</w:t>
            </w:r>
          </w:p>
        </w:tc>
        <w:tc>
          <w:tcPr>
            <w:tcW w:type="dxa" w:w="1224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20.27%</w:t>
            </w:r>
          </w:p>
        </w:tc>
        <w:tc>
          <w:tcPr>
            <w:tcW w:type="dxa" w:w="1080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7.24%</w:t>
            </w:r>
          </w:p>
        </w:tc>
        <w:tc>
          <w:tcPr>
            <w:tcW w:type="dxa" w:w="4536"/>
            <w:tcMar>
              <w:top w:w="12" w:type="dxa"/>
              <w:bottom w:w="12" w:type="dxa"/>
              <w:left w:w="25" w:type="dxa"/>
              <w:right w:w="2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4"/>
              </w:rPr>
              <w:t>Baseline Rev: ₹1.086 Cr / mo (Contribution: ₹86.10L / mo)</w:t>
            </w:r>
          </w:p>
        </w:tc>
      </w:tr>
    </w:tbl>
    <w:p>
      <w:pPr>
        <w:spacing w:before="70" w:after="30" w:line="240" w:lineRule="auto"/>
      </w:pPr>
      <w:r>
        <w:rPr>
          <w:rFonts w:ascii="Calibri" w:hAnsi="Calibri"/>
          <w:b/>
          <w:color w:val="1E1B4B"/>
          <w:sz w:val="17"/>
        </w:rPr>
        <w:t>2. THE LEVER: AI WHATSAPP ATTENDANCE CONCIERGE ('TOTTO') &amp; TRADE-OFFS</w:t>
      </w:r>
    </w:p>
    <w:p>
      <w:pPr>
        <w:spacing w:before="0" w:after="40" w:line="252" w:lineRule="auto"/>
      </w:pPr>
      <w:r>
        <w:rPr>
          <w:rFonts w:ascii="Calibri" w:hAnsi="Calibri"/>
          <w:b/>
          <w:color w:val="4F46E5"/>
          <w:sz w:val="15"/>
        </w:rPr>
        <w:t xml:space="preserve">• Chosen Zero-Engineering Lever ('Totto'): </w:t>
      </w:r>
      <w:r>
        <w:rPr>
          <w:rFonts w:ascii="Calibri" w:hAnsi="Calibri"/>
          <w:color w:val="0F172A"/>
          <w:sz w:val="15"/>
        </w:rPr>
        <w:t>A 2-way conversational WhatsApp agent triggered instantly via CRM webhook upon booking (Wati/Aisensy + Make.com). Deployed in 14 days without an engineering sprint: (1) 1-Click Calendar Sync: Injects Google/Apple (.ics) holds + 30s personalized video teaser of the child's coding project. (2) Interactive T-24h &amp; T-2h Confirmation: 1-tap WhatsApp buttons ('Confirm Spot' or 'Reschedule to Tomorrow') to capture schedule conflicts before counselor downtime. (3) T-10m Direct Launch: Pings parent with 1-tap direct Zoom join link and hardware checklist (laptop/audio). Sized Impact: Brings show rate from 63.8% to 78.0% (anchored to 77.5% benchmark), recovering 229.3 attendees/mo = +40.2 net conversions/mo = ₹24,12,000/mo incremental revenue (₹2.89 Cr/yr run-rate) against ₹35k/mo tooling cost (68.9x ROI).</w:t>
        <w:br/>
      </w:r>
      <w:r>
        <w:rPr>
          <w:rFonts w:ascii="Calibri" w:hAnsi="Calibri"/>
          <w:b/>
          <w:color w:val="334155"/>
          <w:sz w:val="15"/>
        </w:rPr>
        <w:t xml:space="preserve">• Alternatives Considered &amp; Rejected: </w:t>
      </w:r>
      <w:r>
        <w:rPr>
          <w:rFonts w:ascii="Calibri" w:hAnsi="Calibri"/>
          <w:color w:val="0F172A"/>
          <w:sz w:val="15"/>
        </w:rPr>
        <w:t>(1) Outbound AI Voice Bot: Rejected due to &gt;60% parent hangups on robocalls and severe TCPA/DND regulatory compliance penalties in US/UK. (2) Timezone Routing Alone: Two-proportion z-tests prove only USA routing is statistically significant (z = 2.65, p = 0.008, unlocking ₹11.31L/mo); other cells are sample noise. Even on US_SHIFT, US no-show is 30.4%. Deployed as Day-1 operational prerequisite. (3) Post-Demo Pitch Copilot: Requires &gt;6 weeks rep coaching, suffers subjective adoption, and ignores empty Zoom rooms.</w:t>
      </w:r>
    </w:p>
    <w:p>
      <w:pPr>
        <w:spacing w:before="70" w:after="30" w:line="240" w:lineRule="auto"/>
      </w:pPr>
      <w:r>
        <w:rPr>
          <w:rFonts w:ascii="Calibri" w:hAnsi="Calibri"/>
          <w:b/>
          <w:color w:val="1E1B4B"/>
          <w:sz w:val="17"/>
        </w:rPr>
        <w:t>3. BIGGEST ADOPTION RISK &amp; OPERATIONAL MITIGATION</w:t>
      </w:r>
    </w:p>
    <w:p>
      <w:pPr>
        <w:spacing w:before="0" w:after="40" w:line="252" w:lineRule="auto"/>
      </w:pPr>
      <w:r>
        <w:rPr>
          <w:rFonts w:ascii="Calibri" w:hAnsi="Calibri"/>
          <w:b/>
          <w:color w:val="B91C1C"/>
          <w:sz w:val="15"/>
        </w:rPr>
        <w:t xml:space="preserve">• Core Risk (Workflow Bypass &amp; Spam Fatigue): </w:t>
      </w:r>
      <w:r>
        <w:rPr>
          <w:rFonts w:ascii="Calibri" w:hAnsi="Calibri"/>
          <w:color w:val="0F172A"/>
          <w:sz w:val="15"/>
        </w:rPr>
        <w:t>Sales reps may distrust bot confirmations and double-call parents (causing annoyance), while parents may block spammy automated alerts.</w:t>
        <w:br/>
      </w:r>
      <w:r>
        <w:rPr>
          <w:rFonts w:ascii="Calibri" w:hAnsi="Calibri"/>
          <w:b/>
          <w:color w:val="4F46E5"/>
          <w:sz w:val="15"/>
        </w:rPr>
        <w:t xml:space="preserve">• Operational Mitigations: </w:t>
      </w:r>
      <w:r>
        <w:rPr>
          <w:rFonts w:ascii="Calibri" w:hAnsi="Calibri"/>
          <w:color w:val="0F172A"/>
          <w:sz w:val="15"/>
        </w:rPr>
        <w:t>(1) Zero Disruption SOP: Bot writes directly to CRM field attendance_status ('CONFIRMED', 'RESCHEDULE_PENDING'). Morning standup rule: 'Green means locked; do not dial.' Saves 172 hours/mo. (2) Value-First Engagement: Messages focus on the child's customized project preview rather than sales pressure. (3) Frictionless Opt-Out: Typing 'STOP' halts automation immediately, flagging CRM record DO_NOT_CONTACT.</w:t>
      </w:r>
    </w:p>
    <w:p>
      <w:pPr>
        <w:spacing w:before="70" w:after="30" w:line="240" w:lineRule="auto"/>
      </w:pPr>
      <w:r>
        <w:rPr>
          <w:rFonts w:ascii="Calibri" w:hAnsi="Calibri"/>
          <w:b/>
          <w:color w:val="1E1B4B"/>
          <w:sz w:val="17"/>
        </w:rPr>
        <w:t>4. PRE-REGISTERED BASELINE &amp; MEASUREMENT FRAMEWORK</w:t>
      </w:r>
    </w:p>
    <w:p>
      <w:pPr>
        <w:spacing w:before="0" w:after="0" w:line="252" w:lineRule="auto"/>
      </w:pPr>
      <w:r>
        <w:rPr>
          <w:rFonts w:ascii="Calibri" w:hAnsi="Calibri"/>
          <w:b/>
          <w:color w:val="1E1B4B"/>
          <w:sz w:val="15"/>
        </w:rPr>
        <w:t xml:space="preserve">• Control Baseline &amp; A/B Setup: </w:t>
      </w:r>
      <w:r>
        <w:rPr>
          <w:rFonts w:ascii="Calibri" w:hAnsi="Calibri"/>
          <w:color w:val="0F172A"/>
          <w:sz w:val="15"/>
        </w:rPr>
        <w:t>Scheduled leads = 1,614.5/mo; Baseline Show Rate = 63.80%; Demo-to-Paid = 17.57%; Blended CAC = ₹900. Measured via 14-day 50/50 randomized A/B test split by Lead ID modulo across all geographies.</w:t>
        <w:br/>
      </w:r>
      <w:r>
        <w:rPr>
          <w:rFonts w:ascii="Calibri" w:hAnsi="Calibri"/>
          <w:b/>
          <w:color w:val="4F46E5"/>
          <w:sz w:val="15"/>
        </w:rPr>
        <w:t xml:space="preserve">• Target Threshold &amp; Guardrails: </w:t>
      </w:r>
      <w:r>
        <w:rPr>
          <w:rFonts w:ascii="Calibri" w:hAnsi="Calibri"/>
          <w:color w:val="0F172A"/>
          <w:sz w:val="15"/>
        </w:rPr>
        <w:t>Primary Success: Variant Show Rate reaches ≥ 78.00% (anchored to 77.52% internal benchmark; p &lt; 0.01). Guardrail: Opt-out rate &lt; 2.5%; Demo completion rate ≥ 86.0%.</w:t>
        <w:br/>
      </w:r>
      <w:r>
        <w:rPr>
          <w:rFonts w:ascii="Calibri" w:hAnsi="Calibri"/>
          <w:b/>
          <w:color w:val="166534"/>
          <w:sz w:val="15"/>
        </w:rPr>
        <w:t xml:space="preserve">• Finance Sign-Off Formula: </w:t>
      </w:r>
      <w:r>
        <w:rPr>
          <w:rFonts w:ascii="Calibri" w:hAnsi="Calibri"/>
          <w:color w:val="0F172A"/>
          <w:sz w:val="15"/>
        </w:rPr>
        <w:t>ΔRevenue = N_scheduled × (ShowRate_Variant - ShowRate_Control) × 17.57% × ₹60,000 (Weekly reconciliation with FP&amp;A and Sales Ops).</w:t>
      </w:r>
    </w:p>
    <w:sectPr w:rsidR="00FC693F" w:rsidRPr="0006063C" w:rsidSect="00034616">
      <w:pgSz w:w="11909" w:h="16834"/>
      <w:pgMar w:top="461" w:right="662" w:bottom="432" w:left="66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