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1B4B"/>
          <w:sz w:val="44"/>
        </w:rPr>
        <w:t>MEMORANDUM</w:t>
      </w:r>
    </w:p>
    <w:p>
      <w:pPr>
        <w:spacing w:after="240"/>
      </w:pPr>
      <w:r>
        <w:rPr>
          <w:rFonts w:ascii="Calibri" w:hAnsi="Calibri"/>
          <w:b/>
          <w:color w:val="5C3BE8"/>
          <w:sz w:val="17"/>
        </w:rPr>
        <w:t>FOUNDER'S OFFICE &amp; FINANCE  |  AI FORWARD DEPLOYED INITIATIVE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4968"/>
        <w:gridCol w:w="4968"/>
      </w:tblGrid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>TO:</w:t>
            </w:r>
          </w:p>
        </w:tc>
        <w:tc>
          <w:tcPr>
            <w:tcW w:type="dxa" w:w="82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Founder's Office &amp; Finance, BrightCHAMPS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>FROM:</w:t>
            </w:r>
          </w:p>
        </w:tc>
        <w:tc>
          <w:tcPr>
            <w:tcW w:type="dxa" w:w="82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Candidate (AI Forward Deployed Associate)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>DATE:</w:t>
            </w:r>
          </w:p>
        </w:tc>
        <w:tc>
          <w:tcPr>
            <w:tcW w:type="dxa" w:w="82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color w:val="0F172A"/>
                <w:sz w:val="18"/>
              </w:rPr>
              <w:t>September 21, 2026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8"/>
              </w:rPr>
              <w:t>SUBJECT:</w:t>
            </w:r>
          </w:p>
        </w:tc>
        <w:tc>
          <w:tcPr>
            <w:tcW w:type="dxa" w:w="820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Economic Sizing &amp; 14-Day Operational Strategy: Slashing Trial No-Show Rates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shd w:fill="FE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5"/>
              </w:rPr>
              <w:t>GROSS LEAK (CEILING)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Rs. 61.62 Lakhs</w:t>
              <w:br/>
            </w:r>
            <w:r>
              <w:rPr>
                <w:rFonts w:ascii="Calibri" w:hAnsi="Calibri"/>
                <w:color w:val="334155"/>
                <w:sz w:val="15"/>
              </w:rPr>
              <w:t>584.5 No-Shows / mo</w:t>
            </w:r>
          </w:p>
        </w:tc>
        <w:tc>
          <w:tcPr>
            <w:tcW w:type="dxa" w:w="2448"/>
            <w:shd w:fill="F0FDF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5"/>
              </w:rPr>
              <w:t>RECOVERABLE CASH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+Rs. 24.12 Lakhs</w:t>
              <w:br/>
            </w:r>
            <w:r>
              <w:rPr>
                <w:rFonts w:ascii="Calibri" w:hAnsi="Calibri"/>
                <w:color w:val="334155"/>
                <w:sz w:val="15"/>
              </w:rPr>
              <w:t>Per month (+40.2 conv)</w:t>
            </w:r>
          </w:p>
        </w:tc>
        <w:tc>
          <w:tcPr>
            <w:tcW w:type="dxa" w:w="2448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5"/>
              </w:rPr>
              <w:t>CONTROL BASELINE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63.80% Show Rate</w:t>
              <w:br/>
            </w:r>
            <w:r>
              <w:rPr>
                <w:rFonts w:ascii="Calibri" w:hAnsi="Calibri"/>
                <w:color w:val="334155"/>
                <w:sz w:val="15"/>
              </w:rPr>
              <w:t>1,614.5 scheduled/mo</w:t>
            </w:r>
          </w:p>
        </w:tc>
        <w:tc>
          <w:tcPr>
            <w:tcW w:type="dxa" w:w="2448"/>
            <w:shd w:fill="F0EDFF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64748B"/>
                <w:sz w:val="15"/>
              </w:rPr>
              <w:t>TARGET THRESHOLD</w:t>
              <w:br/>
            </w:r>
            <w:r>
              <w:rPr>
                <w:rFonts w:ascii="Calibri" w:hAnsi="Calibri"/>
                <w:b/>
                <w:color w:val="0F172A"/>
                <w:sz w:val="24"/>
              </w:rPr>
              <w:t>78.00% Show Rate</w:t>
              <w:br/>
            </w:r>
            <w:r>
              <w:rPr>
                <w:rFonts w:ascii="Calibri" w:hAnsi="Calibri"/>
                <w:color w:val="334155"/>
                <w:sz w:val="15"/>
              </w:rPr>
              <w:t>Internal 24-48h cohort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1E1B4B"/>
          <w:sz w:val="22"/>
        </w:rPr>
        <w:t>1. The Leak: Theoretical Ceiling vs. Realistic Recoverable Loss</w:t>
      </w:r>
    </w:p>
    <w:p>
      <w:pPr>
        <w:spacing w:after="120" w:line="276" w:lineRule="auto"/>
      </w:pPr>
      <w:r>
        <w:t xml:space="preserve">Across the two-month operating dataset (5,000 leads; 2,500/month) at Rs. 60,000 revenue per customer and Rs. 900 blended CAC, the single largest revenue drain occurs at </w:t>
      </w:r>
      <w:r>
        <w:rPr>
          <w:b/>
        </w:rPr>
        <w:t>Demo Scheduled -&gt; Demo Joined (The Pre-Demo No-Show Drop)</w:t>
      </w:r>
      <w:r>
        <w:t>. Out of 3,229 scheduled demos, 1,169 parents failed to attend (36.20% no-show rate; 584.5 no-shows/month).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>Funnel Stage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>Monthly Vol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>Stage Conv %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>Funnel %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334155"/>
                <w:sz w:val="17"/>
              </w:rPr>
              <w:t>Financial Leak Working (INR / Mo)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Lead -&gt; Demo Scheduled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1,614.5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64.58%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64.58%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885.5 unscheduled = Rs. 7.97L flushed CAC (Rs. 38.47L lost rev)</w:t>
            </w:r>
          </w:p>
        </w:tc>
      </w:tr>
      <w:tr>
        <w:tc>
          <w:tcPr>
            <w:tcW w:type="dxa" w:w="2592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C1C"/>
                <w:sz w:val="17"/>
              </w:rPr>
              <w:t>Demo Scheduled -&gt; Joined</w:t>
            </w:r>
          </w:p>
        </w:tc>
        <w:tc>
          <w:tcPr>
            <w:tcW w:type="dxa" w:w="1296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C1C"/>
                <w:sz w:val="17"/>
              </w:rPr>
              <w:t>1,030.0</w:t>
            </w:r>
          </w:p>
        </w:tc>
        <w:tc>
          <w:tcPr>
            <w:tcW w:type="dxa" w:w="1440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C1C"/>
                <w:sz w:val="17"/>
              </w:rPr>
              <w:t>63.80%</w:t>
            </w:r>
          </w:p>
        </w:tc>
        <w:tc>
          <w:tcPr>
            <w:tcW w:type="dxa" w:w="1152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C1C"/>
                <w:sz w:val="17"/>
              </w:rPr>
              <w:t>41.20%</w:t>
            </w:r>
          </w:p>
        </w:tc>
        <w:tc>
          <w:tcPr>
            <w:tcW w:type="dxa" w:w="3312"/>
            <w:shd w:fill="FEF2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B91C1C"/>
                <w:sz w:val="17"/>
              </w:rPr>
              <w:t>584.5 NO-SHOWS x 17.57% conv x Rs. 60k = Rs. 61.62L GROSS CEILING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Demo Joined -&gt; Completed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893.0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86.70%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35.72%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137.0 in-demo drops x 20.27% conv x Rs. 60k = Rs. 16.66L / month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Demo Completed -&gt; Converted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181.0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20.27%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7.24%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7"/>
              </w:rPr>
              <w:t>Current Revenue: Rs. 1.086 Cr / mo (Contribution: Rs. 86.10L / mo)</w:t>
            </w:r>
          </w:p>
        </w:tc>
      </w:tr>
    </w:tbl>
    <w:p>
      <w:pPr>
        <w:spacing w:before="120" w:after="120" w:line="276" w:lineRule="auto"/>
      </w:pPr>
      <w:r>
        <w:rPr>
          <w:b/>
        </w:rPr>
        <w:t xml:space="preserve">Root Cause &amp; Empirical Grounding: </w:t>
      </w:r>
      <w:r>
        <w:t>Sizing requires separating the theoretical ceiling (Rs. 61.62L/month if 100% of no-shows attended) from recoverable revenue. Timestamp analysis uncovers a 24-hour scheduling lag cliff: leads scheduled within 24-48 hours already achieve an internal show rate of 77.52%. When scheduling lag extends beyond 48 hours, parent excitement decays and show rate collapses to 45.4%. Our 78.0% target is therefore an internal empirical benchmark, not an arbitrary guess. Closing this lag gap recovers 229.3 attendees/month and eliminates ~172 wasted sales counselor hours in empty Zoom rooms.</w:t>
      </w:r>
    </w:p>
    <w:p>
      <w:pPr>
        <w:spacing w:before="280" w:after="80"/>
      </w:pPr>
      <w:r>
        <w:rPr>
          <w:rFonts w:ascii="Calibri" w:hAnsi="Calibri"/>
          <w:b/>
          <w:color w:val="1E1B4B"/>
          <w:sz w:val="22"/>
        </w:rPr>
        <w:t>2. The Lever: AI WhatsApp Attendance Concierge ('Aarav') &amp; Trade-Offs</w:t>
      </w:r>
    </w:p>
    <w:p>
      <w:pPr>
        <w:spacing w:after="80" w:line="276" w:lineRule="auto"/>
      </w:pPr>
      <w:r>
        <w:rPr>
          <w:b/>
        </w:rPr>
        <w:t xml:space="preserve">The Chosen Lever: </w:t>
      </w:r>
      <w:r>
        <w:t xml:space="preserve">A two-way conversational WhatsApp agent triggered instantly upon demo booking via CRM webhook (Wati/Aisensy + Make.com). The agent executes three automated touchpoints: 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9"/>
        </w:rPr>
        <w:t xml:space="preserve">Instant 1-Click Calendar Hold: </w:t>
      </w:r>
      <w:r>
        <w:rPr>
          <w:rFonts w:ascii="Calibri" w:hAnsi="Calibri"/>
          <w:color w:val="0F172A"/>
          <w:sz w:val="19"/>
        </w:rPr>
        <w:t>Automatically injects Google/Apple Calendar links (.ics) with reminder alerts and a 30-second video teaser of the child's coding project.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9"/>
        </w:rPr>
        <w:t xml:space="preserve">Interactive T-24h &amp; T-2h Confirmation: </w:t>
      </w:r>
      <w:r>
        <w:rPr>
          <w:rFonts w:ascii="Calibri" w:hAnsi="Calibri"/>
          <w:color w:val="0F172A"/>
          <w:sz w:val="19"/>
        </w:rPr>
        <w:t>Interactive 1-tap WhatsApp buttons ('Confirm Spot' or 'Reschedule to Tomorrow') to capture schedule conflicts ahead of time.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9"/>
        </w:rPr>
        <w:t xml:space="preserve">T-10m Direct Zoom Launch: </w:t>
      </w:r>
      <w:r>
        <w:rPr>
          <w:rFonts w:ascii="Calibri" w:hAnsi="Calibri"/>
          <w:color w:val="0F172A"/>
          <w:sz w:val="19"/>
        </w:rPr>
        <w:t>Pings parents with a direct Zoom join link and a 60-second hardware readiness checklist (laptop audio/Chrome browser).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9"/>
        </w:rPr>
        <w:t xml:space="preserve">Recoverable Financial Impact: </w:t>
      </w:r>
      <w:r>
        <w:rPr>
          <w:rFonts w:ascii="Calibri" w:hAnsi="Calibri"/>
          <w:color w:val="0F172A"/>
          <w:sz w:val="19"/>
        </w:rPr>
        <w:t>Brings show rate from 63.8% to 78.0% (anchored to the 77.5% benchmark). At historical 17.57% demo-to-paid conversion, yields +40.2 net conversions/month = Rs. 24,12,000/month incremental revenue (Rs. 2.89 Cr/year run-rate) against Rs. 35,000/month tooling cost (68.9x ROI).</w:t>
      </w:r>
    </w:p>
    <w:p>
      <w:pPr>
        <w:spacing w:before="80" w:after="40"/>
      </w:pPr>
      <w:r>
        <w:rPr>
          <w:b/>
        </w:rPr>
        <w:t>Alternatives Considered and Rejected: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4155"/>
          <w:sz w:val="18"/>
        </w:rPr>
        <w:t xml:space="preserve">Rejected 1: Outbound AI Voice Calling Bot: </w:t>
      </w:r>
      <w:r>
        <w:rPr>
          <w:rFonts w:ascii="Calibri" w:hAnsi="Calibri"/>
          <w:color w:val="0F172A"/>
          <w:sz w:val="18"/>
        </w:rPr>
        <w:t>High consumer friction; &gt;60% of parents hang up on robocalls; severe regulatory TCPA and DND compliance penalties in US and UK.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4155"/>
          <w:sz w:val="18"/>
        </w:rPr>
        <w:t xml:space="preserve">Rejected 2: Timezone Routing Alone: </w:t>
      </w:r>
      <w:r>
        <w:rPr>
          <w:rFonts w:ascii="Calibri" w:hAnsi="Calibri"/>
          <w:color w:val="0F172A"/>
          <w:sz w:val="18"/>
        </w:rPr>
        <w:t>Two-proportion z-tests show only the USA shift routing is statistically significant (z = 2.65, p = 0.008, unlocking Rs. 11.31L/mo); other cells are sample noise. Even on US_SHIFT, the US no-show rate remains 30.4%. We deploy the USA routing rule on Day 1 as an operational prerequisite, but focus the primary build on attendance.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334155"/>
          <w:sz w:val="18"/>
        </w:rPr>
        <w:t xml:space="preserve">Rejected 3: Post-Demo Pitch AI Copilot: </w:t>
      </w:r>
      <w:r>
        <w:rPr>
          <w:rFonts w:ascii="Calibri" w:hAnsi="Calibri"/>
          <w:color w:val="0F172A"/>
          <w:sz w:val="18"/>
        </w:rPr>
        <w:t>Requires &gt;6 weeks of sales rep coaching, suffers from subjective adoption, and does not solve the empty Zoom room problem.</w:t>
      </w:r>
    </w:p>
    <w:p>
      <w:pPr>
        <w:spacing w:before="280" w:after="80"/>
      </w:pPr>
      <w:r>
        <w:rPr>
          <w:rFonts w:ascii="Calibri" w:hAnsi="Calibri"/>
          <w:b/>
          <w:color w:val="1E1B4B"/>
          <w:sz w:val="22"/>
        </w:rPr>
        <w:t>3. Biggest Adoption Risk &amp; Operational Mitigation</w:t>
      </w:r>
    </w:p>
    <w:p>
      <w:pPr>
        <w:spacing w:after="80" w:line="276" w:lineRule="auto"/>
      </w:pPr>
      <w:r>
        <w:rPr>
          <w:b/>
        </w:rPr>
        <w:t xml:space="preserve">Core Operational Risk: </w:t>
      </w:r>
      <w:r>
        <w:t>Sales rep workflow bypass (counselors double-calling confirmed parents, causing confusion) and parent spam fatigue.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8"/>
        </w:rPr>
        <w:t xml:space="preserve">Zero Rep Disruption: </w:t>
      </w:r>
      <w:r>
        <w:rPr>
          <w:rFonts w:ascii="Calibri" w:hAnsi="Calibri"/>
          <w:color w:val="0F172A"/>
          <w:sz w:val="18"/>
        </w:rPr>
        <w:t>The bot writes directly to CRM field attendance_status ('CONFIRMED', 'RESCHEDULE_PENDING'). Rep morning standup rule: 'Green means locked; do not dial.' Counselors save 172 hours/month.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8"/>
        </w:rPr>
        <w:t xml:space="preserve">Value-First Content: </w:t>
      </w:r>
      <w:r>
        <w:rPr>
          <w:rFonts w:ascii="Calibri" w:hAnsi="Calibri"/>
          <w:color w:val="0F172A"/>
          <w:sz w:val="18"/>
        </w:rPr>
        <w:t>Messages are educational and personalized with the child's customized project teaser, not generic reminders.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8"/>
        </w:rPr>
        <w:t xml:space="preserve">Instant Opt-Out: </w:t>
      </w:r>
      <w:r>
        <w:rPr>
          <w:rFonts w:ascii="Calibri" w:hAnsi="Calibri"/>
          <w:color w:val="0F172A"/>
          <w:sz w:val="18"/>
        </w:rPr>
        <w:t>Replying 'STOP' triggers immediate unsubscribing, tags the CRM record DO_NOT_CONTACT, and halts all automation.</w:t>
      </w:r>
    </w:p>
    <w:p>
      <w:pPr>
        <w:spacing w:before="280" w:after="80"/>
      </w:pPr>
      <w:r>
        <w:rPr>
          <w:rFonts w:ascii="Calibri" w:hAnsi="Calibri"/>
          <w:b/>
          <w:color w:val="1E1B4B"/>
          <w:sz w:val="22"/>
        </w:rPr>
        <w:t>4. Measurement Framework &amp; Pre-Registered Baseline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8"/>
        </w:rPr>
        <w:t xml:space="preserve">Pre-Registered Control Baseline: </w:t>
      </w:r>
      <w:r>
        <w:rPr>
          <w:rFonts w:ascii="Calibri" w:hAnsi="Calibri"/>
          <w:color w:val="0F172A"/>
          <w:sz w:val="18"/>
        </w:rPr>
        <w:t>Demos Scheduled = 1,614.5/mo; Demo Show Rate = 63.80%; Demo Join-to-Paid = 17.57%; Blended CAC = Rs. 900.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8"/>
        </w:rPr>
        <w:t xml:space="preserve">Measurement Methodology: </w:t>
      </w:r>
      <w:r>
        <w:rPr>
          <w:rFonts w:ascii="Calibri" w:hAnsi="Calibri"/>
          <w:color w:val="0F172A"/>
          <w:sz w:val="18"/>
        </w:rPr>
        <w:t>14-day 50/50 randomized A/B test on all scheduled demos split by Lead ID modulo.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8"/>
        </w:rPr>
        <w:t xml:space="preserve">Primary Success Metric: </w:t>
      </w:r>
      <w:r>
        <w:rPr>
          <w:rFonts w:ascii="Calibri" w:hAnsi="Calibri"/>
          <w:color w:val="0F172A"/>
          <w:sz w:val="18"/>
        </w:rPr>
        <w:t>Demo Show Rate in Variant reaches &gt;= 78.00% (anchored to the internal 24-48h benchmark of 77.52%; p &lt; 0.01).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8"/>
        </w:rPr>
        <w:t xml:space="preserve">Guardrail Metrics: </w:t>
      </w:r>
      <w:r>
        <w:rPr>
          <w:rFonts w:ascii="Calibri" w:hAnsi="Calibri"/>
          <w:color w:val="0F172A"/>
          <w:sz w:val="18"/>
        </w:rPr>
        <w:t>Parent WhatsApp opt-out rate &lt; 2.5%; Demo completion rate post-join holds at &gt;= 86.0%.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1B4B"/>
          <w:sz w:val="18"/>
        </w:rPr>
        <w:t xml:space="preserve">Finance Sign-Off Formula: </w:t>
      </w:r>
      <w:r>
        <w:rPr>
          <w:rFonts w:ascii="Calibri" w:hAnsi="Calibri"/>
          <w:color w:val="0F172A"/>
          <w:sz w:val="18"/>
        </w:rPr>
        <w:t>ΔRevenue = N_scheduled x (ShowRate_Variant - ShowRate_Control) x 17.57% x Rs. 60,000 (Audited weekly by FP&amp;A).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