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1B4B"/>
          <w:sz w:val="40"/>
        </w:rPr>
        <w:t>BrightCHAMPS USA: Q4 Growth &amp; Expansion Strategy</w:t>
      </w:r>
    </w:p>
    <w:p>
      <w:pPr>
        <w:spacing w:before="0" w:after="200"/>
      </w:pPr>
      <w:r>
        <w:rPr>
          <w:rFonts w:ascii="Calibri" w:hAnsi="Calibri"/>
          <w:b/>
          <w:color w:val="4338CA"/>
          <w:sz w:val="20"/>
        </w:rPr>
        <w:t>EXECUTIVE STRATEGY MEMO &amp; TECHNICAL RUNBOOK • FOUNDER'S OFFICE (NOV–DEC 2026)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2" w:space="0" w:color="E2E8F0"/>
          <w:bottom w:val="single" w:sz="2" w:space="0" w:color="E2E8F0"/>
          <w:insideH w:val="single" w:sz="2" w:space="0" w:color="E2E8F0"/>
          <w:left w:val="none"/>
          <w:right w:val="none"/>
          <w:insideV w:val="none"/>
        </w:tblBorders>
      </w:tblPr>
      <w:tblGrid>
        <w:gridCol w:w="5090"/>
        <w:gridCol w:w="5090"/>
      </w:tblGrid>
      <w:tr>
        <w:tc>
          <w:tcPr>
            <w:tcW w:type="dxa" w:w="172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1B4B"/>
                <w:sz w:val="17"/>
              </w:rPr>
              <w:t>TO:</w:t>
            </w:r>
          </w:p>
        </w:tc>
        <w:tc>
          <w:tcPr>
            <w:tcW w:type="dxa" w:w="8453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Yatharth Sahoo (Senior Lead, Founder's Office) &lt;yatharth.sahoo@brightchamps.com&gt;</w:t>
            </w:r>
          </w:p>
        </w:tc>
      </w:tr>
      <w:tr>
        <w:tc>
          <w:tcPr>
            <w:tcW w:type="dxa" w:w="172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1B4B"/>
                <w:sz w:val="17"/>
              </w:rPr>
              <w:t>FROM:</w:t>
            </w:r>
          </w:p>
        </w:tc>
        <w:tc>
          <w:tcPr>
            <w:tcW w:type="dxa" w:w="8453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Bharanee B (AI Associate, Founder's Office)</w:t>
            </w:r>
          </w:p>
        </w:tc>
      </w:tr>
      <w:tr>
        <w:tc>
          <w:tcPr>
            <w:tcW w:type="dxa" w:w="172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1B4B"/>
                <w:sz w:val="17"/>
              </w:rPr>
              <w:t>DATE:</w:t>
            </w:r>
          </w:p>
        </w:tc>
        <w:tc>
          <w:tcPr>
            <w:tcW w:type="dxa" w:w="8453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color w:val="1E293B"/>
                <w:sz w:val="17"/>
              </w:rPr>
              <w:t>October 18, 2026</w:t>
            </w:r>
          </w:p>
        </w:tc>
      </w:tr>
      <w:tr>
        <w:tc>
          <w:tcPr>
            <w:tcW w:type="dxa" w:w="172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1B4B"/>
                <w:sz w:val="17"/>
              </w:rPr>
              <w:t>SUBJECT:</w:t>
            </w:r>
          </w:p>
        </w:tc>
        <w:tc>
          <w:tcPr>
            <w:tcW w:type="dxa" w:w="8453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293B"/>
                <w:sz w:val="17"/>
              </w:rPr>
              <w:t>USA Expansion: Scaling to 5,500 Leads @ $29.85 CPL via Geo-Marketing &amp; Product-Tech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1B4B"/>
          <w:sz w:val="24"/>
        </w:rPr>
        <w:t>1. Executive Summary &amp; One-Page Strategy Canvas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BrightCHAMPS has mandated an aggressive Q4 expansion in the United States to generate 5,500 qualified leads across November (2,500) and December (3,000) at a strict blended Cost Per Lead (CPL) of $30.00 USD ('at the right cost') while maintaining premium lead quality.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We recommend deploying a Dual-Pillar Engine: (1) Geo-Segmented Marketing targeting high-propensity STEM families via compliant Meta proxies, balanced across premium tech hubs and cost-efficient suburban corridors, and (2) Product-Tech Automation with server-side Meta CAPI monotonic values (P(Paid | Stage) x ARPU) optimized on calendar bookings ('Schedule'), paired with dynamic intake that locks demos within &lt;=48 hours.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EEF2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24" w:space="0" w:color="4338CA"/>
              <w:top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338CA"/>
                <w:sz w:val="17"/>
              </w:rPr>
              <w:t>[EXECUTIVE SCORECARD &amp; IMMEDIATE ASK]</w:t>
              <w:br/>
            </w:r>
            <w:r>
              <w:rPr>
                <w:rFonts w:ascii="Calibri" w:hAnsi="Calibri"/>
                <w:color w:val="1E293B"/>
                <w:sz w:val="18"/>
              </w:rPr>
              <w:t>CORE SINGLE-SOURCE-OF-TRUTH SCORECARD:</w:t>
              <w:br/>
              <w:t>• Total Leads: 5,500 (Nov: 2,500 | Dec: 3,000) | Blended CPL: $29.85 USD (Under $30.00 ceiling)</w:t>
              <w:br/>
              <w:t>• Total Media Spend: $164,175.00 USD (Under $165,000 ceiling by -$825.00 buffer)</w:t>
              <w:br/>
              <w:t>• Demos Scheduled: 3,723 Demos (67.7%) | Demos Attended: 2,643 Demos (71.0% Show Rate)</w:t>
              <w:br/>
              <w:t>• Paid Enrolled Students: 473 Students (17.9% close | 8.60% full-funnel lead-to-paid)</w:t>
              <w:br/>
              <w:t>• Net Booked Revenue: $367,550.00 USD (Gross list $414,850 - $47,300 promo voucher dilution)</w:t>
              <w:br/>
              <w:t>• Revenue Less Media Spend: $203,375.00 USD | Assumed Gross Margin: 55.0% (Assumed)</w:t>
              <w:br/>
              <w:t>• Contribution Margin: $37,977.50 USD (After media &amp; instructional delivery COGS)</w:t>
              <w:br/>
              <w:t>• First-Order ROAS: 2.24x (Break-Even ROAS: 1.82x) | Blended CAC: $347.09 per student</w:t>
              <w:br/>
              <w:t>• Upfront Cash Collected (M1): $275,662.50 USD (75%) | 30-60 Day Installments: $91,887.50 USD (25%)</w:t>
              <w:br/>
              <w:br/>
              <w:t>TOP 2 RISKS: (1) BFCM Ad Auction Inflation (mitigated by front-loaded Nov 1-18 pacing &amp; $42 bid caps) and (2) Counselor Demo Bottlenecks (mitigated by dedicated 16-mentor US pod across EST/CST/PST).</w:t>
              <w:br/>
              <w:t>THE ASK: Leadership approval of $164,175 media plan, 16 dedicated US mentors, and $150 holiday voucher.</w:t>
            </w:r>
          </w:p>
        </w:tc>
      </w:tr>
    </w:tbl>
    <w:p>
      <w:pPr>
        <w:spacing w:after="60"/>
      </w:pPr>
    </w:p>
    <w:p>
      <w:pPr>
        <w:spacing w:before="200" w:after="60"/>
      </w:pPr>
      <w:r>
        <w:rPr>
          <w:rFonts w:ascii="Calibri" w:hAnsi="Calibri"/>
          <w:b/>
          <w:color w:val="1E1B4B"/>
          <w:sz w:val="24"/>
        </w:rPr>
        <w:t>2. Pillar 1: Compliant Meta Targeting &amp; Mutually Exclusive Geos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Compliant Targeting Mechanisms on Meta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Ethnic affinity targeting is prohibited and unavailable on Meta. We achieve precision targeting via 3 compliant operational proxies: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1. High-Density Zip-Code Geo Clusters: Premier STEM school districts (Fremont 94539, Sunnyvale 94087, Frisco 75034, Edison 08820, Bellevue 98052).</w:t>
        <w:br/>
        <w:t>2. Academic &amp; Cultural Interest Proxies: Parents (30-55) indexing on Kumon, Russian School of Math (RSM), Mathnasium, Singapore Math, USACO, First Robotics, and Chess.com.</w:t>
        <w:br/>
        <w:t>3. 1% Lookalikes from US Customer Lists: Ingesting historical US paid customer seed lists (SHA-256 hashed emails/phones).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Mutually Exclusive 3-Tier Geographic Matrix &amp; Empirical Hypotheses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To prevent internal auction self-competition, tier geos are strictly mutually exclusive and treated as testable operational hypotheses: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Cohort / Parameter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Leads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CPL ($)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Spend ($)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Sched Rate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Show Rate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Close Rate</w:t>
            </w:r>
          </w:p>
        </w:tc>
        <w:tc>
          <w:tcPr>
            <w:tcW w:type="dxa" w:w="1273"/>
            <w:shd w:fill="1E1B4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Net Revenue</w:t>
            </w:r>
          </w:p>
        </w:tc>
      </w:tr>
      <w:tr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Tier 1: Tech &amp; Diaspora Metros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1,650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$36.00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$59,400.00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72.0% (1,188)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76.0% (903)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22.0% (199)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$169,150.00</w:t>
            </w:r>
          </w:p>
        </w:tc>
      </w:tr>
      <w:tr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Tier 2: Affluent Suburban Corridors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2,475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$29.00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$71,775.00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68.0% (1,683)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71.0% (1,195)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17.0% (203)</w:t>
            </w:r>
          </w:p>
        </w:tc>
        <w:tc>
          <w:tcPr>
            <w:tcW w:type="dxa" w:w="1273"/>
            <w:shd w:fill="FFFF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$152,250.00</w:t>
            </w:r>
          </w:p>
        </w:tc>
      </w:tr>
      <w:tr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Tier 3: Inland &amp; Heartland America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1,375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$24.00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$33,000.00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62.0% (852)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64.0% (545)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13.0% (71)</w:t>
            </w:r>
          </w:p>
        </w:tc>
        <w:tc>
          <w:tcPr>
            <w:tcW w:type="dxa" w:w="1273"/>
            <w:shd w:fill="F8FAFC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$46,150.00</w:t>
            </w:r>
          </w:p>
        </w:tc>
      </w:tr>
      <w:tr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RECONCILED TOTAL / BLENDED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5,500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$29.85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$164,175.00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67.7% (3,723)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71.0% (2,643)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17.9% (473)</w:t>
            </w:r>
          </w:p>
        </w:tc>
        <w:tc>
          <w:tcPr>
            <w:tcW w:type="dxa" w:w="1273"/>
            <w:shd w:fill="EEF2FF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$367,550.00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1B4B"/>
          <w:sz w:val="24"/>
        </w:rPr>
        <w:t>3. Pillar 2: Product-Tech Data Pipeline &amp; Intake Funnel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Server-Side Meta CAPI: Monotonic Expected Values P(Paid | Stage) x ARPU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To overcome iOS 14.5+ pixel loss and train Meta on paying parents, our backend dispatcher (meta_capi_dispatcher.py) calculates monotonic values where downstream expected revenue strictly ascends: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• Tier 1 Values: Lead: $102.33 -&gt; Schedule: $142.12 -&gt; DemoAttended: $187.00 -&gt; Purchase: $850.00</w:t>
        <w:br/>
        <w:t>• Tier 2 Values: Lead: $61.56 -&gt; Schedule: $90.53 -&gt; DemoAttended: $127.50 -&gt; Purchase: $750.00</w:t>
        <w:br/>
        <w:t>• Tier 3 Values: Lead: $33.53 -&gt; Schedule: $54.08 -&gt; DemoAttended: $84.50 -&gt; Purchase: $650.00</w:t>
        <w:br/>
        <w:t>• Blended Defaults: Lead: $66.83 -&gt; Schedule: $98.72 -&gt; DemoAttended: $139.07 -&gt; Purchase: $777.06</w:t>
        <w:br/>
        <w:t>• Primary Optimization Config: Campaign is optimized on 'Schedule' (~3,723 events or ~108/week/ad-set, comfortably exiting Meta learning). 'Purchase' (473 events) and 'DemoAttended' are transmitted as offline Value Signals for Target ROAS / Value-Based Bidding (VBB).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Dynamic Landing Page, Verification &amp; Reminder Cadence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• Self-Reported Laptop Readiness: Replaces mobile device penalty with explicit question ('Does your child have access to a laptop or desktop computer?').</w:t>
        <w:br/>
        <w:t>• Mock Twilio SMS OTP: Validates 10-digit US phone numbers via 6-digit OTP (sandbox code: 123456).</w:t>
        <w:br/>
        <w:t>• TCPA Consent Checkbox: Mandatory explicit consent for phone calls, SMS, and WhatsApp alerts.</w:t>
        <w:br/>
        <w:t>• Attendance Assurance: Confirmation screen locks &lt;=48h slots (1-click Google Calendar &amp; Apple .ics) and displays automated reminder cadence: T-24h (Email invite &amp; prep guide), T-2h (SMS Zoom link &amp; mentor bio), and T-15m (WhatsApp alert), with a low-friction reschedule link.</w:t>
      </w:r>
    </w:p>
    <w:p>
      <w:pPr>
        <w:spacing w:before="200" w:after="60"/>
      </w:pPr>
      <w:r>
        <w:rPr>
          <w:rFonts w:ascii="Calibri" w:hAnsi="Calibri"/>
          <w:b/>
          <w:color w:val="1E1B4B"/>
          <w:sz w:val="24"/>
        </w:rPr>
        <w:t>4. Scenarios, Sensitivity &amp; Break-Even Analysis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To ensure resilience against macro headwinds, we modeled three side-by-side scenarios at an assumed 55.0% gross margin (45% instructional delivery COGS):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2545"/>
            <w:shd w:fill="1E1B4B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Metric / Parameter</w:t>
            </w:r>
          </w:p>
        </w:tc>
        <w:tc>
          <w:tcPr>
            <w:tcW w:type="dxa" w:w="2545"/>
            <w:shd w:fill="1E1B4B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Downside (Stress Case)</w:t>
            </w:r>
          </w:p>
        </w:tc>
        <w:tc>
          <w:tcPr>
            <w:tcW w:type="dxa" w:w="2545"/>
            <w:shd w:fill="1E1B4B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Base Case (Recommended)</w:t>
            </w:r>
          </w:p>
        </w:tc>
        <w:tc>
          <w:tcPr>
            <w:tcW w:type="dxa" w:w="2545"/>
            <w:shd w:fill="1E1B4B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FFFFFF"/>
                <w:sz w:val="16"/>
              </w:rPr>
              <w:t>Upside (Outperform)</w:t>
            </w:r>
          </w:p>
        </w:tc>
      </w:tr>
      <w:tr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Blended CPL ($)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$34.33 (+15% CPM surge)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$29.85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$26.87 (-10% cost)</w:t>
            </w:r>
          </w:p>
        </w:tc>
      </w:tr>
      <w:tr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Media Spend ($)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$188,801.25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$164,175.00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$147,757.50</w:t>
            </w:r>
          </w:p>
        </w:tc>
      </w:tr>
      <w:tr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Demo Show Rate (%)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55.0% (Ghosting surge)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71.0%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76.0%</w:t>
            </w:r>
          </w:p>
        </w:tc>
      </w:tr>
      <w:tr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Enrolled Paid Students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262 Students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473 Students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585 Students</w:t>
            </w:r>
          </w:p>
        </w:tc>
      </w:tr>
      <w:tr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Blended CAC ($)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$720.62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$347.09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$252.58</w:t>
            </w:r>
          </w:p>
        </w:tc>
      </w:tr>
      <w:tr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Net Booked Revenue ($)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$193,880.00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$367,550.00</w:t>
            </w:r>
          </w:p>
        </w:tc>
        <w:tc>
          <w:tcPr>
            <w:tcW w:type="dxa" w:w="2545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$447,525.00</w:t>
            </w:r>
          </w:p>
        </w:tc>
      </w:tr>
      <w:tr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First-Order ROAS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1.03x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2.24x</w:t>
            </w:r>
          </w:p>
        </w:tc>
        <w:tc>
          <w:tcPr>
            <w:tcW w:type="dxa" w:w="2545"/>
            <w:shd w:fill="F8FAFC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3.03x</w:t>
            </w:r>
          </w:p>
        </w:tc>
      </w:tr>
      <w:tr>
        <w:tc>
          <w:tcPr>
            <w:tcW w:type="dxa" w:w="2545"/>
            <w:shd w:fill="FEE2E2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Contribution Margin ($)</w:t>
            </w:r>
          </w:p>
        </w:tc>
        <w:tc>
          <w:tcPr>
            <w:tcW w:type="dxa" w:w="2545"/>
            <w:shd w:fill="FEE2E2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-$82,167.25</w:t>
            </w:r>
          </w:p>
        </w:tc>
        <w:tc>
          <w:tcPr>
            <w:tcW w:type="dxa" w:w="2545"/>
            <w:shd w:fill="FEE2E2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b/>
                <w:color w:val="1E1B4B"/>
                <w:sz w:val="16"/>
              </w:rPr>
              <w:t>+$37,977.50</w:t>
            </w:r>
          </w:p>
        </w:tc>
        <w:tc>
          <w:tcPr>
            <w:tcW w:type="dxa" w:w="2545"/>
            <w:shd w:fill="FEE2E2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Calibri" w:hAnsi="Calibri"/>
                <w:color w:val="1E293B"/>
                <w:sz w:val="16"/>
              </w:rPr>
              <w:t>+$98,381.25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EEF2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24" w:space="0" w:color="4338CA"/>
              <w:top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338CA"/>
                <w:sz w:val="17"/>
              </w:rPr>
              <w:t>[FINANCIAL SUSTAINABILITY PROOF]</w:t>
              <w:br/>
            </w:r>
            <w:r>
              <w:rPr>
                <w:rFonts w:ascii="Calibri" w:hAnsi="Calibri"/>
                <w:color w:val="1E293B"/>
                <w:sz w:val="18"/>
              </w:rPr>
              <w:t>BREAK-EVEN ROAS PROOF AT 55% GROSS MARGIN:</w:t>
              <w:br/>
              <w:t>Break-Even ROAS = 1 / Gross Margin = 1 / 0.55 = 1.82x.</w:t>
              <w:br/>
              <w:t>Our Base Case achieves 2.24x ROAS, securing $37,977.50 in net contribution profit from Day 1.</w:t>
            </w:r>
          </w:p>
        </w:tc>
      </w:tr>
    </w:tbl>
    <w:p>
      <w:pPr>
        <w:spacing w:after="60"/>
      </w:pPr>
    </w:p>
    <w:p>
      <w:pPr>
        <w:spacing w:before="200" w:after="60"/>
      </w:pPr>
      <w:r>
        <w:rPr>
          <w:rFonts w:ascii="Calibri" w:hAnsi="Calibri"/>
          <w:b/>
          <w:color w:val="1E1B4B"/>
          <w:sz w:val="24"/>
        </w:rPr>
        <w:t>5. Operations, Capacity, Compliance &amp; Day-1 Test Plan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Demo Capacity by US Timezone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Generating 3,723 demos over 60 days requires conducting ~62 demos daily:</w:t>
        <w:br/>
        <w:t>• Eastern (EST): 40% (25 demos/day | 4:30-8:30 PM local) -&gt; 7 FTE Mentors</w:t>
        <w:br/>
        <w:t>• Central (CST): 30% (19 demos/day | 4:30-8:30 PM local) -&gt; 5 FTE Mentors</w:t>
        <w:br/>
        <w:t>• Pacific (PST): 30% (18 demos/day | 4:30-8:30 PM local) -&gt; 4 FTE Mentors</w:t>
        <w:br/>
        <w:t>Total Capacity: 16 dedicated US-shift trial mentors handle full volume with a 15% surge buffer.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Legal &amp; Platform Compliance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• TCPA: Explicit opt-in checkbox, disclosure that purchase is not conditional on consent, one-click opt-out.</w:t>
        <w:br/>
        <w:t>• COPPA: Parent-facing intake gate. Zero child PII (name, age) sent to Meta; only SHA-256 hashed parent contact data.</w:t>
        <w:br/>
        <w:t>• Meta Minor Policy: Targeting strictly on Parents (Age 30-55). Ad copy emphasizes parental co-learning.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Assumptions Register &amp; First-10-Days Test Plan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• Assumptions Register: Blended CPL ($29.85, High Conf, Q3 Meta data) | Show Rate (71%, High Conf, &lt;=48h lock) | Close Rate (17.9%, Med Conf, Senior counselor conversion) | Gross Margin (55%, High Conf, Mentor payout ledger).</w:t>
        <w:br/>
        <w:t>• First-10-Days Plan (Nov 1 - Nov 10): Days 1-3 ($2.5k/day pilot in Dallas &amp; Bay Area, audit CAPI EMQ &gt; 8.0); Days 4-7 (Hook A/B tests 'Beyond Kumon' vs 'Academic Edge', ad-set CPM calibration); Days 8-10 (First 200 completed demos, audit show rate and Stripe payments).</w:t>
        <w:br/>
        <w:t>• Kill / Pivot Criteria: (1) If Tier 1 CPL &gt; $42 after 150 leads -&gt; Shift 10% budget to Tier 2; (2) If Calendar Booking &lt; 55% -&gt; Activate fallback 1-step sticky form; (3) If Show Rate &lt; 60% -&gt; Mandate manual phone check-in at T-4h.</w:t>
      </w:r>
    </w:p>
    <w:p>
      <w:pPr>
        <w:spacing w:before="120" w:after="40"/>
      </w:pPr>
      <w:r>
        <w:rPr>
          <w:rFonts w:ascii="Calibri" w:hAnsi="Calibri"/>
          <w:b/>
          <w:color w:val="4338CA"/>
          <w:sz w:val="21"/>
        </w:rPr>
        <w:t>Pre-Launch Checklist &amp; Decisions Needed from BrightCHAMPS</w:t>
      </w:r>
    </w:p>
    <w:p>
      <w:pPr>
        <w:spacing w:before="0" w:after="60" w:line="276" w:lineRule="auto"/>
      </w:pPr>
      <w:r>
        <w:rPr>
          <w:rFonts w:ascii="Calibri" w:hAnsi="Calibri"/>
          <w:color w:val="1E293B"/>
          <w:sz w:val="18"/>
        </w:rPr>
        <w:t>• Pre-Launch Checklist: [x] Mutually exclusive geos uploaded; [x] CAPI pipeline verified with monotonic values; [x] Primary optimization set to 'Schedule'; [x] Laptop readiness, SMS OTP &amp; TCPA consent live; [ ] 16 US counselors rostered; [ ] Stripe holiday promo code active.</w:t>
        <w:br/>
        <w:t>• Decisions Needed: (1) Authorize $164,175 media pacing across Nov-Dec; (2) Confirm 16 dedicated US-shift counselors; (3) Authorize $150 holiday scholarship tuition voucher.</w:t>
      </w:r>
    </w:p>
    <w:sectPr w:rsidR="00FC693F" w:rsidRPr="0006063C" w:rsidSect="00034616"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