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1B4B"/>
          <w:sz w:val="36"/>
        </w:rPr>
        <w:t>BrightCHAMPS USA: Q4 Growth &amp; Expansion Strategy</w:t>
      </w:r>
    </w:p>
    <w:p>
      <w:pPr>
        <w:spacing w:before="0" w:after="160"/>
      </w:pPr>
      <w:r>
        <w:rPr>
          <w:rFonts w:ascii="Calibri" w:hAnsi="Calibri"/>
          <w:b/>
          <w:color w:val="4338CA"/>
          <w:sz w:val="19"/>
        </w:rPr>
        <w:t>EXECUTIVE STRATEGY MEMO &amp; TECHNICAL RUNBOOK • FOUNDER'S OFFICE (NOV–DEC 2026)</w:t>
      </w:r>
    </w:p>
    <w:tbl>
      <w:tblPr>
        <w:tblW w:type="auto" w:w="0"/>
        <w:jc w:val="center"/>
        <w:tblLook w:firstColumn="1" w:firstRow="1" w:lastColumn="0" w:lastRow="0" w:noHBand="0" w:noVBand="1" w:val="04A0"/>
        <w:tblBorders>
          <w:top w:val="single" w:sz="2" w:space="0" w:color="E2E8F0"/>
          <w:bottom w:val="single" w:sz="2" w:space="0" w:color="E2E8F0"/>
          <w:insideH w:val="single" w:sz="2" w:space="0" w:color="E2E8F0"/>
          <w:left w:val="none"/>
          <w:right w:val="none"/>
          <w:insideV w:val="none"/>
        </w:tblBorders>
      </w:tblPr>
      <w:tblGrid>
        <w:gridCol w:w="5162"/>
        <w:gridCol w:w="5162"/>
      </w:tblGrid>
      <w:tr>
        <w:tc>
          <w:tcPr>
            <w:tcW w:type="dxa" w:w="1584"/>
            <w:shd w:fill="F8FAFC"/>
            <w:tcMar>
              <w:top w:w="25" w:type="dxa"/>
              <w:bottom w:w="25" w:type="dxa"/>
              <w:left w:w="50" w:type="dxa"/>
              <w:right w:w="50" w:type="dxa"/>
            </w:tcMar>
          </w:tcPr>
          <w:p>
            <w:r>
              <w:rPr>
                <w:rFonts w:ascii="Calibri" w:hAnsi="Calibri"/>
                <w:b/>
                <w:color w:val="1E1B4B"/>
                <w:sz w:val="16"/>
              </w:rPr>
              <w:t>TO:</w:t>
            </w:r>
          </w:p>
        </w:tc>
        <w:tc>
          <w:tcPr>
            <w:tcW w:type="dxa" w:w="8741"/>
            <w:shd w:fill="F8FAFC"/>
            <w:tcMar>
              <w:top w:w="25" w:type="dxa"/>
              <w:bottom w:w="25" w:type="dxa"/>
              <w:left w:w="50" w:type="dxa"/>
              <w:right w:w="50" w:type="dxa"/>
            </w:tcMar>
          </w:tcPr>
          <w:p>
            <w:r>
              <w:rPr>
                <w:rFonts w:ascii="Calibri" w:hAnsi="Calibri"/>
                <w:color w:val="1E293B"/>
                <w:sz w:val="16"/>
              </w:rPr>
              <w:t>Yatharth Sahoo (Senior Lead, Founder's Office) &lt;yatharth.sahoo@brightchamps.com&gt;</w:t>
            </w:r>
          </w:p>
        </w:tc>
      </w:tr>
      <w:tr>
        <w:tc>
          <w:tcPr>
            <w:tcW w:type="dxa" w:w="1584"/>
            <w:shd w:fill="F8FAFC"/>
            <w:tcMar>
              <w:top w:w="25" w:type="dxa"/>
              <w:bottom w:w="25" w:type="dxa"/>
              <w:left w:w="50" w:type="dxa"/>
              <w:right w:w="50" w:type="dxa"/>
            </w:tcMar>
          </w:tcPr>
          <w:p>
            <w:r>
              <w:rPr>
                <w:rFonts w:ascii="Calibri" w:hAnsi="Calibri"/>
                <w:b/>
                <w:color w:val="1E1B4B"/>
                <w:sz w:val="16"/>
              </w:rPr>
              <w:t>FROM:</w:t>
            </w:r>
          </w:p>
        </w:tc>
        <w:tc>
          <w:tcPr>
            <w:tcW w:type="dxa" w:w="8741"/>
            <w:shd w:fill="F8FAFC"/>
            <w:tcMar>
              <w:top w:w="25" w:type="dxa"/>
              <w:bottom w:w="25" w:type="dxa"/>
              <w:left w:w="50" w:type="dxa"/>
              <w:right w:w="50" w:type="dxa"/>
            </w:tcMar>
          </w:tcPr>
          <w:p>
            <w:r>
              <w:rPr>
                <w:rFonts w:ascii="Calibri" w:hAnsi="Calibri"/>
                <w:color w:val="1E293B"/>
                <w:sz w:val="16"/>
              </w:rPr>
              <w:t>Bharanee B (AI Associate, Founder's Office) &lt;+91 7708221675&gt;</w:t>
            </w:r>
          </w:p>
        </w:tc>
      </w:tr>
      <w:tr>
        <w:tc>
          <w:tcPr>
            <w:tcW w:type="dxa" w:w="1584"/>
            <w:shd w:fill="F8FAFC"/>
            <w:tcMar>
              <w:top w:w="25" w:type="dxa"/>
              <w:bottom w:w="25" w:type="dxa"/>
              <w:left w:w="50" w:type="dxa"/>
              <w:right w:w="50" w:type="dxa"/>
            </w:tcMar>
          </w:tcPr>
          <w:p>
            <w:r>
              <w:rPr>
                <w:rFonts w:ascii="Calibri" w:hAnsi="Calibri"/>
                <w:b/>
                <w:color w:val="1E1B4B"/>
                <w:sz w:val="16"/>
              </w:rPr>
              <w:t>DATE:</w:t>
            </w:r>
          </w:p>
        </w:tc>
        <w:tc>
          <w:tcPr>
            <w:tcW w:type="dxa" w:w="8741"/>
            <w:shd w:fill="F8FAFC"/>
            <w:tcMar>
              <w:top w:w="25" w:type="dxa"/>
              <w:bottom w:w="25" w:type="dxa"/>
              <w:left w:w="50" w:type="dxa"/>
              <w:right w:w="50" w:type="dxa"/>
            </w:tcMar>
          </w:tcPr>
          <w:p>
            <w:r>
              <w:rPr>
                <w:rFonts w:ascii="Calibri" w:hAnsi="Calibri"/>
                <w:color w:val="1E293B"/>
                <w:sz w:val="16"/>
              </w:rPr>
              <w:t>October 18, 2026</w:t>
            </w:r>
          </w:p>
        </w:tc>
      </w:tr>
      <w:tr>
        <w:tc>
          <w:tcPr>
            <w:tcW w:type="dxa" w:w="1584"/>
            <w:shd w:fill="F8FAFC"/>
            <w:tcMar>
              <w:top w:w="25" w:type="dxa"/>
              <w:bottom w:w="25" w:type="dxa"/>
              <w:left w:w="50" w:type="dxa"/>
              <w:right w:w="50" w:type="dxa"/>
            </w:tcMar>
          </w:tcPr>
          <w:p>
            <w:r>
              <w:rPr>
                <w:rFonts w:ascii="Calibri" w:hAnsi="Calibri"/>
                <w:b/>
                <w:color w:val="1E1B4B"/>
                <w:sz w:val="16"/>
              </w:rPr>
              <w:t>SUBJECT:</w:t>
            </w:r>
          </w:p>
        </w:tc>
        <w:tc>
          <w:tcPr>
            <w:tcW w:type="dxa" w:w="8741"/>
            <w:shd w:fill="F8FAFC"/>
            <w:tcMar>
              <w:top w:w="25" w:type="dxa"/>
              <w:bottom w:w="25" w:type="dxa"/>
              <w:left w:w="50" w:type="dxa"/>
              <w:right w:w="50" w:type="dxa"/>
            </w:tcMar>
          </w:tcPr>
          <w:p>
            <w:r>
              <w:rPr>
                <w:rFonts w:ascii="Calibri" w:hAnsi="Calibri"/>
                <w:b/>
                <w:color w:val="1E293B"/>
                <w:sz w:val="16"/>
              </w:rPr>
              <w:t>USA Expansion: Scaling to 5,500 Qualified Leads @ $29.85 CPL via Geo-Marketing &amp; Product-Tech</w:t>
            </w:r>
          </w:p>
        </w:tc>
      </w:tr>
    </w:tbl>
    <w:p>
      <w:pPr>
        <w:spacing w:after="60"/>
      </w:pPr>
    </w:p>
    <w:p>
      <w:pPr>
        <w:spacing w:before="180" w:after="60"/>
      </w:pPr>
      <w:r>
        <w:rPr>
          <w:rFonts w:ascii="Calibri" w:hAnsi="Calibri"/>
          <w:b/>
          <w:color w:val="1E1B4B"/>
          <w:sz w:val="23"/>
        </w:rPr>
        <w:t>1. Executive Summary &amp; Growth Strategy Canvas</w:t>
      </w:r>
    </w:p>
    <w:p>
      <w:pPr>
        <w:spacing w:before="0" w:after="50" w:line="276" w:lineRule="auto"/>
      </w:pPr>
      <w:r>
        <w:rPr>
          <w:rFonts w:ascii="Calibri" w:hAnsi="Calibri"/>
          <w:color w:val="1E293B"/>
          <w:sz w:val="17"/>
        </w:rPr>
        <w:t>BrightCHAMPS has mandated an aggressive Q4 expansion in the United States to generate 5,500 qualified leads across November (2,500) and December (3,000) at a strict blended Cost Per Lead (CPL) of $30.00 USD ('at the right cost') while maintaining premium lead quality.</w:t>
      </w:r>
    </w:p>
    <w:p>
      <w:pPr>
        <w:spacing w:before="0" w:after="50" w:line="276" w:lineRule="auto"/>
      </w:pPr>
      <w:r>
        <w:rPr>
          <w:rFonts w:ascii="Calibri" w:hAnsi="Calibri"/>
          <w:color w:val="1E293B"/>
          <w:sz w:val="17"/>
        </w:rPr>
        <w:t>We recommend deploying a Dual-Pillar Engine: (1) Geo-Segmented Marketing targeting high-propensity STEM families via compliant Meta proxies, paired with a 10-15% broad/Advantage+ control arm, and (2) Product-Tech Automation with server-side Meta CAPI v21.0 monotonic values (P(Paid | Stage) x ARPU) optimized on calendar bookings ('Schedule'), paired with dynamic intake that locks demos within &lt;=48 hours.</w:t>
      </w:r>
    </w:p>
    <w:tbl>
      <w:tblPr>
        <w:tblW w:type="auto" w:w="0"/>
        <w:jc w:val="center"/>
        <w:tblLook w:firstColumn="1" w:firstRow="1" w:lastColumn="0" w:lastRow="0" w:noHBand="0" w:noVBand="1" w:val="04A0"/>
      </w:tblPr>
      <w:tblGrid>
        <w:gridCol w:w="10325"/>
      </w:tblGrid>
      <w:tr>
        <w:tc>
          <w:tcPr>
            <w:tcW w:type="dxa" w:w="10325"/>
            <w:shd w:fill="EEF2FF"/>
            <w:tcMar>
              <w:top w:w="60" w:type="dxa"/>
              <w:bottom w:w="60" w:type="dxa"/>
              <w:left w:w="100" w:type="dxa"/>
              <w:right w:w="100" w:type="dxa"/>
            </w:tcMar>
            <w:tcBorders>
              <w:left w:val="single" w:sz="24" w:space="0" w:color="4338CA"/>
              <w:top w:val="none"/>
              <w:bottom w:val="none"/>
              <w:right w:val="none"/>
            </w:tcBorders>
          </w:tcPr>
          <w:p>
            <w:pPr>
              <w:spacing w:before="0" w:after="0"/>
            </w:pPr>
            <w:r>
              <w:rPr>
                <w:rFonts w:ascii="Calibri" w:hAnsi="Calibri"/>
                <w:b/>
                <w:color w:val="4338CA"/>
                <w:sz w:val="16"/>
              </w:rPr>
              <w:t>[EXECUTIVE SCORECARD &amp; IMMEDIATE ASK]</w:t>
              <w:br/>
            </w:r>
            <w:r>
              <w:rPr>
                <w:rFonts w:ascii="Calibri" w:hAnsi="Calibri"/>
                <w:color w:val="1E293B"/>
                <w:sz w:val="17"/>
              </w:rPr>
              <w:t>CORE SINGLE-SOURCE-OF-TRUTH SCORECARD:</w:t>
              <w:br/>
              <w:t>• Qualified Leads: 5,500 (Nov: 2,500 | Dec: 3,000) | Blended CPL: $29.85 USD (Spend: $164,175 vs $165k budget ceiling)</w:t>
              <w:br/>
              <w:t>• Funnel Throughput: 3,723 Demos Booked (67.7%) -&gt; 2,643 Attended (71.0% show rate) -&gt; 473 Paid Enrollments (17.9% close)</w:t>
              <w:br/>
              <w:t>• Cost Per Attended Demo (North Star KPI): $62.12 USD ($164,175 / 2,643 attended demos)</w:t>
              <w:br/>
              <w:t>• Lead-to-Paid Conversion: 8.60% (deliberately sitting ~10% below Round 1 US actual of 9.5%)</w:t>
              <w:br/>
              <w:t>• Net Booked Revenue: $367,550.00 USD | Revenue Less Media Spend: $203,375.00 USD | Blended CAC: $347.09</w:t>
              <w:br/>
              <w:t>• Contribution Margin (at assumed 55.0% GM): $37,977.50 USD (10.3% margin before closers, payment fees, refunds, creative)</w:t>
              <w:br/>
              <w:t>• First-Order Media ROAS: 2.24x (Break-Even ROAS: 1.82x) | First-Order GM LTV/CAC: 1.23x ($777.06 x 55% / $347.09)</w:t>
              <w:br/>
              <w:t>• Cash Timing (within 30d of lead): $275,662.50 USD (75% upfront liquidity; Dec paid leads trail into Jan)</w:t>
              <w:br/>
              <w:br/>
              <w:t>TOP 2 RISKS: (1) BFCM Ad Auction Inflation (mitigated by front-loaded Nov 1-18 pacing, 50% Thanksgiving spend pause &amp; $42 bid caps) and (2) Weekend/Peak Demo Capacity (mitigated by 16-mentor pod + weekend daytime blocks &amp; 6 on-call flex mentors).</w:t>
              <w:br/>
              <w:t>THE ASK: Leadership approval of $164,175 media plan, 16 dedicated US mentors + flex pool, and $150 holiday voucher A/B test.</w:t>
            </w:r>
          </w:p>
        </w:tc>
      </w:tr>
    </w:tbl>
    <w:p>
      <w:pPr>
        <w:spacing w:after="40"/>
      </w:pPr>
    </w:p>
    <w:p>
      <w:pPr>
        <w:spacing w:before="180" w:after="60"/>
      </w:pPr>
      <w:r>
        <w:rPr>
          <w:rFonts w:ascii="Calibri" w:hAnsi="Calibri"/>
          <w:b/>
          <w:color w:val="1E1B4B"/>
          <w:sz w:val="23"/>
        </w:rPr>
        <w:t>2. Qualified Lead Definition &amp; Raw-to-Qualified Bridge</w:t>
      </w:r>
    </w:p>
    <w:p>
      <w:pPr>
        <w:spacing w:before="0" w:after="50" w:line="276" w:lineRule="auto"/>
      </w:pPr>
      <w:r>
        <w:rPr>
          <w:rFonts w:ascii="Calibri" w:hAnsi="Calibri"/>
          <w:color w:val="1E293B"/>
          <w:sz w:val="17"/>
        </w:rPr>
        <w:t>Because SMS OTP phone verification and laptop hardware access gates filter out unqualified leads after media is paid for, CPL on qualified leads is naturally higher than CPL on raw form fills. A Qualified Lead is defined as: (1) OTP-verified US mobile number, (2) Valid deliverable parent email, and (3) Self-reported laptop/desktop computer access for the trial class.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065"/>
        <w:gridCol w:w="2065"/>
        <w:gridCol w:w="2065"/>
        <w:gridCol w:w="2065"/>
        <w:gridCol w:w="2065"/>
      </w:tblGrid>
      <w:tr>
        <w:tc>
          <w:tcPr>
            <w:tcW w:type="dxa" w:w="2065"/>
            <w:shd w:fill="1E1B4B"/>
            <w:tcMar>
              <w:top w:w="30" w:type="dxa"/>
              <w:bottom w:w="30" w:type="dxa"/>
              <w:left w:w="25" w:type="dxa"/>
              <w:right w:w="25" w:type="dxa"/>
            </w:tcMar>
          </w:tcPr>
          <w:p>
            <w:r>
              <w:rPr>
                <w:rFonts w:ascii="Calibri" w:hAnsi="Calibri"/>
                <w:b/>
                <w:color w:val="FFFFFF"/>
                <w:sz w:val="16"/>
              </w:rPr>
              <w:t>Qualification Pass Rate</w:t>
            </w:r>
          </w:p>
        </w:tc>
        <w:tc>
          <w:tcPr>
            <w:tcW w:type="dxa" w:w="2065"/>
            <w:shd w:fill="1E1B4B"/>
            <w:tcMar>
              <w:top w:w="30" w:type="dxa"/>
              <w:bottom w:w="30" w:type="dxa"/>
              <w:left w:w="25" w:type="dxa"/>
              <w:right w:w="25" w:type="dxa"/>
            </w:tcMar>
          </w:tcPr>
          <w:p>
            <w:r>
              <w:rPr>
                <w:rFonts w:ascii="Calibri" w:hAnsi="Calibri"/>
                <w:b/>
                <w:color w:val="FFFFFF"/>
                <w:sz w:val="16"/>
              </w:rPr>
              <w:t>Raw Leads Needed</w:t>
            </w:r>
          </w:p>
        </w:tc>
        <w:tc>
          <w:tcPr>
            <w:tcW w:type="dxa" w:w="2065"/>
            <w:shd w:fill="1E1B4B"/>
            <w:tcMar>
              <w:top w:w="30" w:type="dxa"/>
              <w:bottom w:w="30" w:type="dxa"/>
              <w:left w:w="25" w:type="dxa"/>
              <w:right w:w="25" w:type="dxa"/>
            </w:tcMar>
          </w:tcPr>
          <w:p>
            <w:r>
              <w:rPr>
                <w:rFonts w:ascii="Calibri" w:hAnsi="Calibri"/>
                <w:b/>
                <w:color w:val="FFFFFF"/>
                <w:sz w:val="16"/>
              </w:rPr>
              <w:t>Target Qualified Leads</w:t>
            </w:r>
          </w:p>
        </w:tc>
        <w:tc>
          <w:tcPr>
            <w:tcW w:type="dxa" w:w="2065"/>
            <w:shd w:fill="1E1B4B"/>
            <w:tcMar>
              <w:top w:w="30" w:type="dxa"/>
              <w:bottom w:w="30" w:type="dxa"/>
              <w:left w:w="25" w:type="dxa"/>
              <w:right w:w="25" w:type="dxa"/>
            </w:tcMar>
          </w:tcPr>
          <w:p>
            <w:r>
              <w:rPr>
                <w:rFonts w:ascii="Calibri" w:hAnsi="Calibri"/>
                <w:b/>
                <w:color w:val="FFFFFF"/>
                <w:sz w:val="16"/>
              </w:rPr>
              <w:t>Max Allowable Raw CPL</w:t>
            </w:r>
          </w:p>
        </w:tc>
        <w:tc>
          <w:tcPr>
            <w:tcW w:type="dxa" w:w="2065"/>
            <w:shd w:fill="1E1B4B"/>
            <w:tcMar>
              <w:top w:w="30" w:type="dxa"/>
              <w:bottom w:w="30" w:type="dxa"/>
              <w:left w:w="25" w:type="dxa"/>
              <w:right w:w="25" w:type="dxa"/>
            </w:tcMar>
          </w:tcPr>
          <w:p>
            <w:r>
              <w:rPr>
                <w:rFonts w:ascii="Calibri" w:hAnsi="Calibri"/>
                <w:b/>
                <w:color w:val="FFFFFF"/>
                <w:sz w:val="16"/>
              </w:rPr>
              <w:t>Qualified CPL Ceiling</w:t>
            </w:r>
          </w:p>
        </w:tc>
      </w:tr>
      <w:tr>
        <w:tc>
          <w:tcPr>
            <w:tcW w:type="dxa" w:w="2065"/>
            <w:shd w:fill="FFFFFF"/>
            <w:tcMar>
              <w:top w:w="25" w:type="dxa"/>
              <w:bottom w:w="25" w:type="dxa"/>
              <w:left w:w="25" w:type="dxa"/>
              <w:right w:w="25" w:type="dxa"/>
            </w:tcMar>
          </w:tcPr>
          <w:p>
            <w:r>
              <w:rPr>
                <w:rFonts w:ascii="Calibri" w:hAnsi="Calibri"/>
                <w:color w:val="1E293B"/>
                <w:sz w:val="16"/>
              </w:rPr>
              <w:t>90.0% Pass Rate</w:t>
            </w:r>
          </w:p>
        </w:tc>
        <w:tc>
          <w:tcPr>
            <w:tcW w:type="dxa" w:w="2065"/>
            <w:shd w:fill="FFFFFF"/>
            <w:tcMar>
              <w:top w:w="25" w:type="dxa"/>
              <w:bottom w:w="25" w:type="dxa"/>
              <w:left w:w="25" w:type="dxa"/>
              <w:right w:w="25" w:type="dxa"/>
            </w:tcMar>
          </w:tcPr>
          <w:p>
            <w:r>
              <w:rPr>
                <w:rFonts w:ascii="Calibri" w:hAnsi="Calibri"/>
                <w:color w:val="1E293B"/>
                <w:sz w:val="16"/>
              </w:rPr>
              <w:t>6,111 Raw Leads</w:t>
            </w:r>
          </w:p>
        </w:tc>
        <w:tc>
          <w:tcPr>
            <w:tcW w:type="dxa" w:w="2065"/>
            <w:shd w:fill="FFFFFF"/>
            <w:tcMar>
              <w:top w:w="25" w:type="dxa"/>
              <w:bottom w:w="25" w:type="dxa"/>
              <w:left w:w="25" w:type="dxa"/>
              <w:right w:w="25" w:type="dxa"/>
            </w:tcMar>
          </w:tcPr>
          <w:p>
            <w:r>
              <w:rPr>
                <w:rFonts w:ascii="Calibri" w:hAnsi="Calibri"/>
                <w:color w:val="1E293B"/>
                <w:sz w:val="16"/>
              </w:rPr>
              <w:t>5,500 Qualified Leads</w:t>
            </w:r>
          </w:p>
        </w:tc>
        <w:tc>
          <w:tcPr>
            <w:tcW w:type="dxa" w:w="2065"/>
            <w:shd w:fill="FFFFFF"/>
            <w:tcMar>
              <w:top w:w="25" w:type="dxa"/>
              <w:bottom w:w="25" w:type="dxa"/>
              <w:left w:w="25" w:type="dxa"/>
              <w:right w:w="25" w:type="dxa"/>
            </w:tcMar>
          </w:tcPr>
          <w:p>
            <w:r>
              <w:rPr>
                <w:rFonts w:ascii="Calibri" w:hAnsi="Calibri"/>
                <w:color w:val="1E293B"/>
                <w:sz w:val="16"/>
              </w:rPr>
              <w:t>$26.87 Raw CPL</w:t>
            </w:r>
          </w:p>
        </w:tc>
        <w:tc>
          <w:tcPr>
            <w:tcW w:type="dxa" w:w="2065"/>
            <w:shd w:fill="FFFFFF"/>
            <w:tcMar>
              <w:top w:w="25" w:type="dxa"/>
              <w:bottom w:w="25" w:type="dxa"/>
              <w:left w:w="25" w:type="dxa"/>
              <w:right w:w="25" w:type="dxa"/>
            </w:tcMar>
          </w:tcPr>
          <w:p>
            <w:r>
              <w:rPr>
                <w:rFonts w:ascii="Calibri" w:hAnsi="Calibri"/>
                <w:color w:val="1E293B"/>
                <w:sz w:val="16"/>
              </w:rPr>
              <w:t>$29.85 Qualified CPL</w:t>
            </w:r>
          </w:p>
        </w:tc>
      </w:tr>
      <w:tr>
        <w:tc>
          <w:tcPr>
            <w:tcW w:type="dxa" w:w="2065"/>
            <w:shd w:fill="EEF2FF"/>
            <w:tcMar>
              <w:top w:w="25" w:type="dxa"/>
              <w:bottom w:w="25" w:type="dxa"/>
              <w:left w:w="25" w:type="dxa"/>
              <w:right w:w="25" w:type="dxa"/>
            </w:tcMar>
          </w:tcPr>
          <w:p>
            <w:r>
              <w:rPr>
                <w:rFonts w:ascii="Calibri" w:hAnsi="Calibri"/>
                <w:b/>
                <w:color w:val="1E1B4B"/>
                <w:sz w:val="16"/>
              </w:rPr>
              <w:t>80.0% Pass Rate (Base Model)</w:t>
            </w:r>
          </w:p>
        </w:tc>
        <w:tc>
          <w:tcPr>
            <w:tcW w:type="dxa" w:w="2065"/>
            <w:shd w:fill="EEF2FF"/>
            <w:tcMar>
              <w:top w:w="25" w:type="dxa"/>
              <w:bottom w:w="25" w:type="dxa"/>
              <w:left w:w="25" w:type="dxa"/>
              <w:right w:w="25" w:type="dxa"/>
            </w:tcMar>
          </w:tcPr>
          <w:p>
            <w:r>
              <w:rPr>
                <w:rFonts w:ascii="Calibri" w:hAnsi="Calibri"/>
                <w:b/>
                <w:color w:val="1E1B4B"/>
                <w:sz w:val="16"/>
              </w:rPr>
              <w:t>6,875 Raw Leads</w:t>
            </w:r>
          </w:p>
        </w:tc>
        <w:tc>
          <w:tcPr>
            <w:tcW w:type="dxa" w:w="2065"/>
            <w:shd w:fill="EEF2FF"/>
            <w:tcMar>
              <w:top w:w="25" w:type="dxa"/>
              <w:bottom w:w="25" w:type="dxa"/>
              <w:left w:w="25" w:type="dxa"/>
              <w:right w:w="25" w:type="dxa"/>
            </w:tcMar>
          </w:tcPr>
          <w:p>
            <w:r>
              <w:rPr>
                <w:rFonts w:ascii="Calibri" w:hAnsi="Calibri"/>
                <w:b/>
                <w:color w:val="1E1B4B"/>
                <w:sz w:val="16"/>
              </w:rPr>
              <w:t>5,500 Qualified Leads</w:t>
            </w:r>
          </w:p>
        </w:tc>
        <w:tc>
          <w:tcPr>
            <w:tcW w:type="dxa" w:w="2065"/>
            <w:shd w:fill="EEF2FF"/>
            <w:tcMar>
              <w:top w:w="25" w:type="dxa"/>
              <w:bottom w:w="25" w:type="dxa"/>
              <w:left w:w="25" w:type="dxa"/>
              <w:right w:w="25" w:type="dxa"/>
            </w:tcMar>
          </w:tcPr>
          <w:p>
            <w:r>
              <w:rPr>
                <w:rFonts w:ascii="Calibri" w:hAnsi="Calibri"/>
                <w:b/>
                <w:color w:val="1E1B4B"/>
                <w:sz w:val="16"/>
              </w:rPr>
              <w:t>$23.88 Raw CPL</w:t>
            </w:r>
          </w:p>
        </w:tc>
        <w:tc>
          <w:tcPr>
            <w:tcW w:type="dxa" w:w="2065"/>
            <w:shd w:fill="EEF2FF"/>
            <w:tcMar>
              <w:top w:w="25" w:type="dxa"/>
              <w:bottom w:w="25" w:type="dxa"/>
              <w:left w:w="25" w:type="dxa"/>
              <w:right w:w="25" w:type="dxa"/>
            </w:tcMar>
          </w:tcPr>
          <w:p>
            <w:r>
              <w:rPr>
                <w:rFonts w:ascii="Calibri" w:hAnsi="Calibri"/>
                <w:b/>
                <w:color w:val="1E1B4B"/>
                <w:sz w:val="16"/>
              </w:rPr>
              <w:t>$29.85 Qualified CPL</w:t>
            </w:r>
          </w:p>
        </w:tc>
      </w:tr>
      <w:tr>
        <w:tc>
          <w:tcPr>
            <w:tcW w:type="dxa" w:w="2065"/>
            <w:shd w:fill="FFFFFF"/>
            <w:tcMar>
              <w:top w:w="25" w:type="dxa"/>
              <w:bottom w:w="25" w:type="dxa"/>
              <w:left w:w="25" w:type="dxa"/>
              <w:right w:w="25" w:type="dxa"/>
            </w:tcMar>
          </w:tcPr>
          <w:p>
            <w:r>
              <w:rPr>
                <w:rFonts w:ascii="Calibri" w:hAnsi="Calibri"/>
                <w:color w:val="1E293B"/>
                <w:sz w:val="16"/>
              </w:rPr>
              <w:t>70.0% Pass Rate</w:t>
            </w:r>
          </w:p>
        </w:tc>
        <w:tc>
          <w:tcPr>
            <w:tcW w:type="dxa" w:w="2065"/>
            <w:shd w:fill="FFFFFF"/>
            <w:tcMar>
              <w:top w:w="25" w:type="dxa"/>
              <w:bottom w:w="25" w:type="dxa"/>
              <w:left w:w="25" w:type="dxa"/>
              <w:right w:w="25" w:type="dxa"/>
            </w:tcMar>
          </w:tcPr>
          <w:p>
            <w:r>
              <w:rPr>
                <w:rFonts w:ascii="Calibri" w:hAnsi="Calibri"/>
                <w:color w:val="1E293B"/>
                <w:sz w:val="16"/>
              </w:rPr>
              <w:t>7,857 Raw Leads</w:t>
            </w:r>
          </w:p>
        </w:tc>
        <w:tc>
          <w:tcPr>
            <w:tcW w:type="dxa" w:w="2065"/>
            <w:shd w:fill="FFFFFF"/>
            <w:tcMar>
              <w:top w:w="25" w:type="dxa"/>
              <w:bottom w:w="25" w:type="dxa"/>
              <w:left w:w="25" w:type="dxa"/>
              <w:right w:w="25" w:type="dxa"/>
            </w:tcMar>
          </w:tcPr>
          <w:p>
            <w:r>
              <w:rPr>
                <w:rFonts w:ascii="Calibri" w:hAnsi="Calibri"/>
                <w:color w:val="1E293B"/>
                <w:sz w:val="16"/>
              </w:rPr>
              <w:t>5,500 Qualified Leads</w:t>
            </w:r>
          </w:p>
        </w:tc>
        <w:tc>
          <w:tcPr>
            <w:tcW w:type="dxa" w:w="2065"/>
            <w:shd w:fill="FFFFFF"/>
            <w:tcMar>
              <w:top w:w="25" w:type="dxa"/>
              <w:bottom w:w="25" w:type="dxa"/>
              <w:left w:w="25" w:type="dxa"/>
              <w:right w:w="25" w:type="dxa"/>
            </w:tcMar>
          </w:tcPr>
          <w:p>
            <w:r>
              <w:rPr>
                <w:rFonts w:ascii="Calibri" w:hAnsi="Calibri"/>
                <w:color w:val="1E293B"/>
                <w:sz w:val="16"/>
              </w:rPr>
              <w:t>$20.90 Raw CPL</w:t>
            </w:r>
          </w:p>
        </w:tc>
        <w:tc>
          <w:tcPr>
            <w:tcW w:type="dxa" w:w="2065"/>
            <w:shd w:fill="FFFFFF"/>
            <w:tcMar>
              <w:top w:w="25" w:type="dxa"/>
              <w:bottom w:w="25" w:type="dxa"/>
              <w:left w:w="25" w:type="dxa"/>
              <w:right w:w="25" w:type="dxa"/>
            </w:tcMar>
          </w:tcPr>
          <w:p>
            <w:r>
              <w:rPr>
                <w:rFonts w:ascii="Calibri" w:hAnsi="Calibri"/>
                <w:color w:val="1E293B"/>
                <w:sz w:val="16"/>
              </w:rPr>
              <w:t>$29.85 Qualified CPL</w:t>
            </w:r>
          </w:p>
        </w:tc>
      </w:tr>
    </w:tbl>
    <w:p>
      <w:pPr>
        <w:spacing w:before="0" w:after="50" w:line="276" w:lineRule="auto"/>
      </w:pPr>
      <w:r>
        <w:rPr>
          <w:rFonts w:ascii="Calibri" w:hAnsi="Calibri"/>
          <w:color w:val="1E293B"/>
          <w:sz w:val="17"/>
        </w:rPr>
        <w:t>Industry Benchmarks: Public US education lead CPL on Meta ranges from $22.83 (US average, Superads) to $34.85 (North America high, Focus Digital). Lead forms cost $34.10 vs Instant Experience $49.70. Our required raw CPL of $23.88 at an 80% pass rate aligns with benchmark averages and is the first metric validated during Days 1-3.</w:t>
      </w:r>
    </w:p>
    <w:p>
      <w:pPr>
        <w:spacing w:before="180" w:after="60"/>
      </w:pPr>
      <w:r>
        <w:rPr>
          <w:rFonts w:ascii="Calibri" w:hAnsi="Calibri"/>
          <w:b/>
          <w:color w:val="1E1B4B"/>
          <w:sz w:val="23"/>
        </w:rPr>
        <w:t>3. Pillar 1: Compliant Meta Targeting &amp; Mutually Exclusive Geos</w:t>
      </w:r>
    </w:p>
    <w:p>
      <w:pPr>
        <w:spacing w:before="100" w:after="40"/>
      </w:pPr>
      <w:r>
        <w:rPr>
          <w:rFonts w:ascii="Calibri" w:hAnsi="Calibri"/>
          <w:b/>
          <w:color w:val="4338CA"/>
          <w:sz w:val="20"/>
        </w:rPr>
        <w:t>Compliant Targeting Mechanisms &amp; Broad Control Arm</w:t>
      </w:r>
    </w:p>
    <w:p>
      <w:pPr>
        <w:spacing w:before="0" w:after="50" w:line="276" w:lineRule="auto"/>
      </w:pPr>
      <w:r>
        <w:rPr>
          <w:rFonts w:ascii="Calibri" w:hAnsi="Calibri"/>
          <w:color w:val="1E293B"/>
          <w:sz w:val="17"/>
        </w:rPr>
        <w:t>Meta has removed ethnicity and race detailed-targeting options, and ad delivery is increasingly algorithmic. Direct ethnic targeting is non-compliant and legally risky. We reach Indian-American and tech families through 6 compliant operational mechanisms:</w:t>
      </w:r>
    </w:p>
    <w:p>
      <w:pPr>
        <w:spacing w:before="0" w:after="50" w:line="276" w:lineRule="auto"/>
      </w:pPr>
      <w:r>
        <w:rPr>
          <w:rFonts w:ascii="Calibri" w:hAnsi="Calibri"/>
          <w:color w:val="1E293B"/>
          <w:sz w:val="17"/>
        </w:rPr>
        <w:t>1. Value-Based Lookalikes: Seeded from paying US customers, organically skewing toward the diaspora based on behavioral signals.</w:t>
        <w:br/>
        <w:t>2. Zip-Code Geo Clusters: Top school districts (Fremont 94539, Sunnyvale 94087, Frisco 75034, Edison 08820, Bellevue 98052, Alpharetta 30005, Cary 27519).</w:t>
        <w:br/>
        <w:t>3. Academic Program Proxies: Parents indexing on Kumon, Russian School of Math (RSM), Mathnasium, Singapore Math, USACO, and FIRST Lego League.</w:t>
        <w:br/>
        <w:t>4. Cultural &amp; Academic Creative Cues: Real Python, AI literacy, and college resume building vs passive Roblox gaming.</w:t>
        <w:br/>
        <w:t>5. Community Channels: Local temples, cultural associations, and weekend Indian cultural/language schools.</w:t>
        <w:br/>
        <w:t>6. Parent Referral Loop: In Round 1, US referral leads converted at 11.9% lead-to-paid vs 9.7% for Meta (directional signal from 101 referral leads).</w:t>
        <w:br/>
        <w:t>• Broad / Advantage+ Control Arm: 10-15% of budget allocated without geo/interest constraints to test whether geo tiers beat the algorithm on Cost Per Attended Demo ($62.12 baseline).</w:t>
      </w:r>
    </w:p>
    <w:p>
      <w:pPr>
        <w:spacing w:before="100" w:after="40"/>
      </w:pPr>
      <w:r>
        <w:rPr>
          <w:rFonts w:ascii="Calibri" w:hAnsi="Calibri"/>
          <w:b/>
          <w:color w:val="4338CA"/>
          <w:sz w:val="20"/>
        </w:rPr>
        <w:t>Mutually Exclusive 3-Tier Geographic Matrix &amp; Empirical Hypotheses</w:t>
      </w:r>
    </w:p>
    <w:p>
      <w:pPr>
        <w:spacing w:before="0" w:after="50" w:line="276" w:lineRule="auto"/>
      </w:pPr>
      <w:r>
        <w:rPr>
          <w:rFonts w:ascii="Calibri" w:hAnsi="Calibri"/>
          <w:color w:val="1E293B"/>
          <w:sz w:val="17"/>
        </w:rPr>
        <w:t>Note: Round 1 US data has no zip or income fields and all US rows share one timezone. Tier spreads (close 22/17/13%, ARPU $850/$750/$650) are testable hypotheses: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291"/>
        <w:gridCol w:w="1291"/>
        <w:gridCol w:w="1291"/>
        <w:gridCol w:w="1291"/>
        <w:gridCol w:w="1291"/>
        <w:gridCol w:w="1291"/>
        <w:gridCol w:w="1291"/>
        <w:gridCol w:w="1291"/>
      </w:tblGrid>
      <w:tr>
        <w:tc>
          <w:tcPr>
            <w:tcW w:type="dxa" w:w="1291"/>
            <w:shd w:fill="1E1B4B"/>
            <w:tcMar>
              <w:top w:w="30" w:type="dxa"/>
              <w:bottom w:w="30" w:type="dxa"/>
              <w:left w:w="20" w:type="dxa"/>
              <w:right w:w="20" w:type="dxa"/>
            </w:tcMar>
          </w:tcPr>
          <w:p>
            <w:r>
              <w:rPr>
                <w:rFonts w:ascii="Calibri" w:hAnsi="Calibri"/>
                <w:b/>
                <w:color w:val="FFFFFF"/>
                <w:sz w:val="16"/>
              </w:rPr>
              <w:t>Cohort / Parameter</w:t>
            </w:r>
          </w:p>
        </w:tc>
        <w:tc>
          <w:tcPr>
            <w:tcW w:type="dxa" w:w="1291"/>
            <w:shd w:fill="1E1B4B"/>
            <w:tcMar>
              <w:top w:w="30" w:type="dxa"/>
              <w:bottom w:w="30" w:type="dxa"/>
              <w:left w:w="20" w:type="dxa"/>
              <w:right w:w="20" w:type="dxa"/>
            </w:tcMar>
          </w:tcPr>
          <w:p>
            <w:r>
              <w:rPr>
                <w:rFonts w:ascii="Calibri" w:hAnsi="Calibri"/>
                <w:b/>
                <w:color w:val="FFFFFF"/>
                <w:sz w:val="16"/>
              </w:rPr>
              <w:t>Leads</w:t>
            </w:r>
          </w:p>
        </w:tc>
        <w:tc>
          <w:tcPr>
            <w:tcW w:type="dxa" w:w="1291"/>
            <w:shd w:fill="1E1B4B"/>
            <w:tcMar>
              <w:top w:w="30" w:type="dxa"/>
              <w:bottom w:w="30" w:type="dxa"/>
              <w:left w:w="20" w:type="dxa"/>
              <w:right w:w="20" w:type="dxa"/>
            </w:tcMar>
          </w:tcPr>
          <w:p>
            <w:r>
              <w:rPr>
                <w:rFonts w:ascii="Calibri" w:hAnsi="Calibri"/>
                <w:b/>
                <w:color w:val="FFFFFF"/>
                <w:sz w:val="16"/>
              </w:rPr>
              <w:t>CPL ($)</w:t>
            </w:r>
          </w:p>
        </w:tc>
        <w:tc>
          <w:tcPr>
            <w:tcW w:type="dxa" w:w="1291"/>
            <w:shd w:fill="1E1B4B"/>
            <w:tcMar>
              <w:top w:w="30" w:type="dxa"/>
              <w:bottom w:w="30" w:type="dxa"/>
              <w:left w:w="20" w:type="dxa"/>
              <w:right w:w="20" w:type="dxa"/>
            </w:tcMar>
          </w:tcPr>
          <w:p>
            <w:r>
              <w:rPr>
                <w:rFonts w:ascii="Calibri" w:hAnsi="Calibri"/>
                <w:b/>
                <w:color w:val="FFFFFF"/>
                <w:sz w:val="16"/>
              </w:rPr>
              <w:t>Spend ($)</w:t>
            </w:r>
          </w:p>
        </w:tc>
        <w:tc>
          <w:tcPr>
            <w:tcW w:type="dxa" w:w="1291"/>
            <w:shd w:fill="1E1B4B"/>
            <w:tcMar>
              <w:top w:w="30" w:type="dxa"/>
              <w:bottom w:w="30" w:type="dxa"/>
              <w:left w:w="20" w:type="dxa"/>
              <w:right w:w="20" w:type="dxa"/>
            </w:tcMar>
          </w:tcPr>
          <w:p>
            <w:r>
              <w:rPr>
                <w:rFonts w:ascii="Calibri" w:hAnsi="Calibri"/>
                <w:b/>
                <w:color w:val="FFFFFF"/>
                <w:sz w:val="16"/>
              </w:rPr>
              <w:t>Sched Rate</w:t>
            </w:r>
          </w:p>
        </w:tc>
        <w:tc>
          <w:tcPr>
            <w:tcW w:type="dxa" w:w="1291"/>
            <w:shd w:fill="1E1B4B"/>
            <w:tcMar>
              <w:top w:w="30" w:type="dxa"/>
              <w:bottom w:w="30" w:type="dxa"/>
              <w:left w:w="20" w:type="dxa"/>
              <w:right w:w="20" w:type="dxa"/>
            </w:tcMar>
          </w:tcPr>
          <w:p>
            <w:r>
              <w:rPr>
                <w:rFonts w:ascii="Calibri" w:hAnsi="Calibri"/>
                <w:b/>
                <w:color w:val="FFFFFF"/>
                <w:sz w:val="16"/>
              </w:rPr>
              <w:t>Show Rate</w:t>
            </w:r>
          </w:p>
        </w:tc>
        <w:tc>
          <w:tcPr>
            <w:tcW w:type="dxa" w:w="1291"/>
            <w:shd w:fill="1E1B4B"/>
            <w:tcMar>
              <w:top w:w="30" w:type="dxa"/>
              <w:bottom w:w="30" w:type="dxa"/>
              <w:left w:w="20" w:type="dxa"/>
              <w:right w:w="20" w:type="dxa"/>
            </w:tcMar>
          </w:tcPr>
          <w:p>
            <w:r>
              <w:rPr>
                <w:rFonts w:ascii="Calibri" w:hAnsi="Calibri"/>
                <w:b/>
                <w:color w:val="FFFFFF"/>
                <w:sz w:val="16"/>
              </w:rPr>
              <w:t>Close Rate</w:t>
            </w:r>
          </w:p>
        </w:tc>
        <w:tc>
          <w:tcPr>
            <w:tcW w:type="dxa" w:w="1291"/>
            <w:shd w:fill="1E1B4B"/>
            <w:tcMar>
              <w:top w:w="30" w:type="dxa"/>
              <w:bottom w:w="30" w:type="dxa"/>
              <w:left w:w="20" w:type="dxa"/>
              <w:right w:w="20" w:type="dxa"/>
            </w:tcMar>
          </w:tcPr>
          <w:p>
            <w:r>
              <w:rPr>
                <w:rFonts w:ascii="Calibri" w:hAnsi="Calibri"/>
                <w:b/>
                <w:color w:val="FFFFFF"/>
                <w:sz w:val="16"/>
              </w:rPr>
              <w:t>Net Revenue</w:t>
            </w:r>
          </w:p>
        </w:tc>
      </w:tr>
      <w:tr>
        <w:tc>
          <w:tcPr>
            <w:tcW w:type="dxa" w:w="1291"/>
            <w:shd w:fill="F8FAFC"/>
            <w:tcMar>
              <w:top w:w="25" w:type="dxa"/>
              <w:bottom w:w="25" w:type="dxa"/>
              <w:left w:w="20" w:type="dxa"/>
              <w:right w:w="20" w:type="dxa"/>
            </w:tcMar>
          </w:tcPr>
          <w:p>
            <w:r>
              <w:rPr>
                <w:rFonts w:ascii="Calibri" w:hAnsi="Calibri"/>
                <w:color w:val="1E293B"/>
                <w:sz w:val="16"/>
              </w:rPr>
              <w:t>Tier 1: Tech &amp; Diaspora Metros</w:t>
            </w:r>
          </w:p>
        </w:tc>
        <w:tc>
          <w:tcPr>
            <w:tcW w:type="dxa" w:w="1291"/>
            <w:shd w:fill="F8FAFC"/>
            <w:tcMar>
              <w:top w:w="25" w:type="dxa"/>
              <w:bottom w:w="25" w:type="dxa"/>
              <w:left w:w="20" w:type="dxa"/>
              <w:right w:w="20" w:type="dxa"/>
            </w:tcMar>
          </w:tcPr>
          <w:p>
            <w:r>
              <w:rPr>
                <w:rFonts w:ascii="Calibri" w:hAnsi="Calibri"/>
                <w:color w:val="1E293B"/>
                <w:sz w:val="16"/>
              </w:rPr>
              <w:t>1,650</w:t>
            </w:r>
          </w:p>
        </w:tc>
        <w:tc>
          <w:tcPr>
            <w:tcW w:type="dxa" w:w="1291"/>
            <w:shd w:fill="F8FAFC"/>
            <w:tcMar>
              <w:top w:w="25" w:type="dxa"/>
              <w:bottom w:w="25" w:type="dxa"/>
              <w:left w:w="20" w:type="dxa"/>
              <w:right w:w="20" w:type="dxa"/>
            </w:tcMar>
          </w:tcPr>
          <w:p>
            <w:r>
              <w:rPr>
                <w:rFonts w:ascii="Calibri" w:hAnsi="Calibri"/>
                <w:color w:val="1E293B"/>
                <w:sz w:val="16"/>
              </w:rPr>
              <w:t>$36.00</w:t>
            </w:r>
          </w:p>
        </w:tc>
        <w:tc>
          <w:tcPr>
            <w:tcW w:type="dxa" w:w="1291"/>
            <w:shd w:fill="F8FAFC"/>
            <w:tcMar>
              <w:top w:w="25" w:type="dxa"/>
              <w:bottom w:w="25" w:type="dxa"/>
              <w:left w:w="20" w:type="dxa"/>
              <w:right w:w="20" w:type="dxa"/>
            </w:tcMar>
          </w:tcPr>
          <w:p>
            <w:r>
              <w:rPr>
                <w:rFonts w:ascii="Calibri" w:hAnsi="Calibri"/>
                <w:color w:val="1E293B"/>
                <w:sz w:val="16"/>
              </w:rPr>
              <w:t>$59,400.00</w:t>
            </w:r>
          </w:p>
        </w:tc>
        <w:tc>
          <w:tcPr>
            <w:tcW w:type="dxa" w:w="1291"/>
            <w:shd w:fill="F8FAFC"/>
            <w:tcMar>
              <w:top w:w="25" w:type="dxa"/>
              <w:bottom w:w="25" w:type="dxa"/>
              <w:left w:w="20" w:type="dxa"/>
              <w:right w:w="20" w:type="dxa"/>
            </w:tcMar>
          </w:tcPr>
          <w:p>
            <w:r>
              <w:rPr>
                <w:rFonts w:ascii="Calibri" w:hAnsi="Calibri"/>
                <w:color w:val="1E293B"/>
                <w:sz w:val="16"/>
              </w:rPr>
              <w:t>72.0% (1,188)</w:t>
            </w:r>
          </w:p>
        </w:tc>
        <w:tc>
          <w:tcPr>
            <w:tcW w:type="dxa" w:w="1291"/>
            <w:shd w:fill="F8FAFC"/>
            <w:tcMar>
              <w:top w:w="25" w:type="dxa"/>
              <w:bottom w:w="25" w:type="dxa"/>
              <w:left w:w="20" w:type="dxa"/>
              <w:right w:w="20" w:type="dxa"/>
            </w:tcMar>
          </w:tcPr>
          <w:p>
            <w:r>
              <w:rPr>
                <w:rFonts w:ascii="Calibri" w:hAnsi="Calibri"/>
                <w:color w:val="1E293B"/>
                <w:sz w:val="16"/>
              </w:rPr>
              <w:t>76.0% (903)</w:t>
            </w:r>
          </w:p>
        </w:tc>
        <w:tc>
          <w:tcPr>
            <w:tcW w:type="dxa" w:w="1291"/>
            <w:shd w:fill="F8FAFC"/>
            <w:tcMar>
              <w:top w:w="25" w:type="dxa"/>
              <w:bottom w:w="25" w:type="dxa"/>
              <w:left w:w="20" w:type="dxa"/>
              <w:right w:w="20" w:type="dxa"/>
            </w:tcMar>
          </w:tcPr>
          <w:p>
            <w:r>
              <w:rPr>
                <w:rFonts w:ascii="Calibri" w:hAnsi="Calibri"/>
                <w:color w:val="1E293B"/>
                <w:sz w:val="16"/>
              </w:rPr>
              <w:t>22.0% (199)</w:t>
            </w:r>
          </w:p>
        </w:tc>
        <w:tc>
          <w:tcPr>
            <w:tcW w:type="dxa" w:w="1291"/>
            <w:shd w:fill="F8FAFC"/>
            <w:tcMar>
              <w:top w:w="25" w:type="dxa"/>
              <w:bottom w:w="25" w:type="dxa"/>
              <w:left w:w="20" w:type="dxa"/>
              <w:right w:w="20" w:type="dxa"/>
            </w:tcMar>
          </w:tcPr>
          <w:p>
            <w:r>
              <w:rPr>
                <w:rFonts w:ascii="Calibri" w:hAnsi="Calibri"/>
                <w:color w:val="1E293B"/>
                <w:sz w:val="16"/>
              </w:rPr>
              <w:t>$169,150.00</w:t>
            </w:r>
          </w:p>
        </w:tc>
      </w:tr>
      <w:tr>
        <w:tc>
          <w:tcPr>
            <w:tcW w:type="dxa" w:w="1291"/>
            <w:shd w:fill="FFFFFF"/>
            <w:tcMar>
              <w:top w:w="25" w:type="dxa"/>
              <w:bottom w:w="25" w:type="dxa"/>
              <w:left w:w="20" w:type="dxa"/>
              <w:right w:w="20" w:type="dxa"/>
            </w:tcMar>
          </w:tcPr>
          <w:p>
            <w:r>
              <w:rPr>
                <w:rFonts w:ascii="Calibri" w:hAnsi="Calibri"/>
                <w:color w:val="1E293B"/>
                <w:sz w:val="16"/>
              </w:rPr>
              <w:t>Tier 2: Affluent Suburban Corridors</w:t>
            </w:r>
          </w:p>
        </w:tc>
        <w:tc>
          <w:tcPr>
            <w:tcW w:type="dxa" w:w="1291"/>
            <w:shd w:fill="FFFFFF"/>
            <w:tcMar>
              <w:top w:w="25" w:type="dxa"/>
              <w:bottom w:w="25" w:type="dxa"/>
              <w:left w:w="20" w:type="dxa"/>
              <w:right w:w="20" w:type="dxa"/>
            </w:tcMar>
          </w:tcPr>
          <w:p>
            <w:r>
              <w:rPr>
                <w:rFonts w:ascii="Calibri" w:hAnsi="Calibri"/>
                <w:color w:val="1E293B"/>
                <w:sz w:val="16"/>
              </w:rPr>
              <w:t>2,475</w:t>
            </w:r>
          </w:p>
        </w:tc>
        <w:tc>
          <w:tcPr>
            <w:tcW w:type="dxa" w:w="1291"/>
            <w:shd w:fill="FFFFFF"/>
            <w:tcMar>
              <w:top w:w="25" w:type="dxa"/>
              <w:bottom w:w="25" w:type="dxa"/>
              <w:left w:w="20" w:type="dxa"/>
              <w:right w:w="20" w:type="dxa"/>
            </w:tcMar>
          </w:tcPr>
          <w:p>
            <w:r>
              <w:rPr>
                <w:rFonts w:ascii="Calibri" w:hAnsi="Calibri"/>
                <w:color w:val="1E293B"/>
                <w:sz w:val="16"/>
              </w:rPr>
              <w:t>$29.00</w:t>
            </w:r>
          </w:p>
        </w:tc>
        <w:tc>
          <w:tcPr>
            <w:tcW w:type="dxa" w:w="1291"/>
            <w:shd w:fill="FFFFFF"/>
            <w:tcMar>
              <w:top w:w="25" w:type="dxa"/>
              <w:bottom w:w="25" w:type="dxa"/>
              <w:left w:w="20" w:type="dxa"/>
              <w:right w:w="20" w:type="dxa"/>
            </w:tcMar>
          </w:tcPr>
          <w:p>
            <w:r>
              <w:rPr>
                <w:rFonts w:ascii="Calibri" w:hAnsi="Calibri"/>
                <w:color w:val="1E293B"/>
                <w:sz w:val="16"/>
              </w:rPr>
              <w:t>$71,775.00</w:t>
            </w:r>
          </w:p>
        </w:tc>
        <w:tc>
          <w:tcPr>
            <w:tcW w:type="dxa" w:w="1291"/>
            <w:shd w:fill="FFFFFF"/>
            <w:tcMar>
              <w:top w:w="25" w:type="dxa"/>
              <w:bottom w:w="25" w:type="dxa"/>
              <w:left w:w="20" w:type="dxa"/>
              <w:right w:w="20" w:type="dxa"/>
            </w:tcMar>
          </w:tcPr>
          <w:p>
            <w:r>
              <w:rPr>
                <w:rFonts w:ascii="Calibri" w:hAnsi="Calibri"/>
                <w:color w:val="1E293B"/>
                <w:sz w:val="16"/>
              </w:rPr>
              <w:t>68.0% (1,683)</w:t>
            </w:r>
          </w:p>
        </w:tc>
        <w:tc>
          <w:tcPr>
            <w:tcW w:type="dxa" w:w="1291"/>
            <w:shd w:fill="FFFFFF"/>
            <w:tcMar>
              <w:top w:w="25" w:type="dxa"/>
              <w:bottom w:w="25" w:type="dxa"/>
              <w:left w:w="20" w:type="dxa"/>
              <w:right w:w="20" w:type="dxa"/>
            </w:tcMar>
          </w:tcPr>
          <w:p>
            <w:r>
              <w:rPr>
                <w:rFonts w:ascii="Calibri" w:hAnsi="Calibri"/>
                <w:color w:val="1E293B"/>
                <w:sz w:val="16"/>
              </w:rPr>
              <w:t>71.0% (1,195)</w:t>
            </w:r>
          </w:p>
        </w:tc>
        <w:tc>
          <w:tcPr>
            <w:tcW w:type="dxa" w:w="1291"/>
            <w:shd w:fill="FFFFFF"/>
            <w:tcMar>
              <w:top w:w="25" w:type="dxa"/>
              <w:bottom w:w="25" w:type="dxa"/>
              <w:left w:w="20" w:type="dxa"/>
              <w:right w:w="20" w:type="dxa"/>
            </w:tcMar>
          </w:tcPr>
          <w:p>
            <w:r>
              <w:rPr>
                <w:rFonts w:ascii="Calibri" w:hAnsi="Calibri"/>
                <w:color w:val="1E293B"/>
                <w:sz w:val="16"/>
              </w:rPr>
              <w:t>17.0% (203)</w:t>
            </w:r>
          </w:p>
        </w:tc>
        <w:tc>
          <w:tcPr>
            <w:tcW w:type="dxa" w:w="1291"/>
            <w:shd w:fill="FFFFFF"/>
            <w:tcMar>
              <w:top w:w="25" w:type="dxa"/>
              <w:bottom w:w="25" w:type="dxa"/>
              <w:left w:w="20" w:type="dxa"/>
              <w:right w:w="20" w:type="dxa"/>
            </w:tcMar>
          </w:tcPr>
          <w:p>
            <w:r>
              <w:rPr>
                <w:rFonts w:ascii="Calibri" w:hAnsi="Calibri"/>
                <w:color w:val="1E293B"/>
                <w:sz w:val="16"/>
              </w:rPr>
              <w:t>$152,250.00</w:t>
            </w:r>
          </w:p>
        </w:tc>
      </w:tr>
      <w:tr>
        <w:tc>
          <w:tcPr>
            <w:tcW w:type="dxa" w:w="1291"/>
            <w:shd w:fill="F8FAFC"/>
            <w:tcMar>
              <w:top w:w="25" w:type="dxa"/>
              <w:bottom w:w="25" w:type="dxa"/>
              <w:left w:w="20" w:type="dxa"/>
              <w:right w:w="20" w:type="dxa"/>
            </w:tcMar>
          </w:tcPr>
          <w:p>
            <w:r>
              <w:rPr>
                <w:rFonts w:ascii="Calibri" w:hAnsi="Calibri"/>
                <w:color w:val="1E293B"/>
                <w:sz w:val="16"/>
              </w:rPr>
              <w:t>Tier 3: Inland &amp; Heartland America</w:t>
            </w:r>
          </w:p>
        </w:tc>
        <w:tc>
          <w:tcPr>
            <w:tcW w:type="dxa" w:w="1291"/>
            <w:shd w:fill="F8FAFC"/>
            <w:tcMar>
              <w:top w:w="25" w:type="dxa"/>
              <w:bottom w:w="25" w:type="dxa"/>
              <w:left w:w="20" w:type="dxa"/>
              <w:right w:w="20" w:type="dxa"/>
            </w:tcMar>
          </w:tcPr>
          <w:p>
            <w:r>
              <w:rPr>
                <w:rFonts w:ascii="Calibri" w:hAnsi="Calibri"/>
                <w:color w:val="1E293B"/>
                <w:sz w:val="16"/>
              </w:rPr>
              <w:t>1,375</w:t>
            </w:r>
          </w:p>
        </w:tc>
        <w:tc>
          <w:tcPr>
            <w:tcW w:type="dxa" w:w="1291"/>
            <w:shd w:fill="F8FAFC"/>
            <w:tcMar>
              <w:top w:w="25" w:type="dxa"/>
              <w:bottom w:w="25" w:type="dxa"/>
              <w:left w:w="20" w:type="dxa"/>
              <w:right w:w="20" w:type="dxa"/>
            </w:tcMar>
          </w:tcPr>
          <w:p>
            <w:r>
              <w:rPr>
                <w:rFonts w:ascii="Calibri" w:hAnsi="Calibri"/>
                <w:color w:val="1E293B"/>
                <w:sz w:val="16"/>
              </w:rPr>
              <w:t>$24.00</w:t>
            </w:r>
          </w:p>
        </w:tc>
        <w:tc>
          <w:tcPr>
            <w:tcW w:type="dxa" w:w="1291"/>
            <w:shd w:fill="F8FAFC"/>
            <w:tcMar>
              <w:top w:w="25" w:type="dxa"/>
              <w:bottom w:w="25" w:type="dxa"/>
              <w:left w:w="20" w:type="dxa"/>
              <w:right w:w="20" w:type="dxa"/>
            </w:tcMar>
          </w:tcPr>
          <w:p>
            <w:r>
              <w:rPr>
                <w:rFonts w:ascii="Calibri" w:hAnsi="Calibri"/>
                <w:color w:val="1E293B"/>
                <w:sz w:val="16"/>
              </w:rPr>
              <w:t>$33,000.00</w:t>
            </w:r>
          </w:p>
        </w:tc>
        <w:tc>
          <w:tcPr>
            <w:tcW w:type="dxa" w:w="1291"/>
            <w:shd w:fill="F8FAFC"/>
            <w:tcMar>
              <w:top w:w="25" w:type="dxa"/>
              <w:bottom w:w="25" w:type="dxa"/>
              <w:left w:w="20" w:type="dxa"/>
              <w:right w:w="20" w:type="dxa"/>
            </w:tcMar>
          </w:tcPr>
          <w:p>
            <w:r>
              <w:rPr>
                <w:rFonts w:ascii="Calibri" w:hAnsi="Calibri"/>
                <w:color w:val="1E293B"/>
                <w:sz w:val="16"/>
              </w:rPr>
              <w:t>62.0% (852)</w:t>
            </w:r>
          </w:p>
        </w:tc>
        <w:tc>
          <w:tcPr>
            <w:tcW w:type="dxa" w:w="1291"/>
            <w:shd w:fill="F8FAFC"/>
            <w:tcMar>
              <w:top w:w="25" w:type="dxa"/>
              <w:bottom w:w="25" w:type="dxa"/>
              <w:left w:w="20" w:type="dxa"/>
              <w:right w:w="20" w:type="dxa"/>
            </w:tcMar>
          </w:tcPr>
          <w:p>
            <w:r>
              <w:rPr>
                <w:rFonts w:ascii="Calibri" w:hAnsi="Calibri"/>
                <w:color w:val="1E293B"/>
                <w:sz w:val="16"/>
              </w:rPr>
              <w:t>64.0% (545)</w:t>
            </w:r>
          </w:p>
        </w:tc>
        <w:tc>
          <w:tcPr>
            <w:tcW w:type="dxa" w:w="1291"/>
            <w:shd w:fill="F8FAFC"/>
            <w:tcMar>
              <w:top w:w="25" w:type="dxa"/>
              <w:bottom w:w="25" w:type="dxa"/>
              <w:left w:w="20" w:type="dxa"/>
              <w:right w:w="20" w:type="dxa"/>
            </w:tcMar>
          </w:tcPr>
          <w:p>
            <w:r>
              <w:rPr>
                <w:rFonts w:ascii="Calibri" w:hAnsi="Calibri"/>
                <w:color w:val="1E293B"/>
                <w:sz w:val="16"/>
              </w:rPr>
              <w:t>13.0% (71)</w:t>
            </w:r>
          </w:p>
        </w:tc>
        <w:tc>
          <w:tcPr>
            <w:tcW w:type="dxa" w:w="1291"/>
            <w:shd w:fill="F8FAFC"/>
            <w:tcMar>
              <w:top w:w="25" w:type="dxa"/>
              <w:bottom w:w="25" w:type="dxa"/>
              <w:left w:w="20" w:type="dxa"/>
              <w:right w:w="20" w:type="dxa"/>
            </w:tcMar>
          </w:tcPr>
          <w:p>
            <w:r>
              <w:rPr>
                <w:rFonts w:ascii="Calibri" w:hAnsi="Calibri"/>
                <w:color w:val="1E293B"/>
                <w:sz w:val="16"/>
              </w:rPr>
              <w:t>$46,150.00</w:t>
            </w:r>
          </w:p>
        </w:tc>
      </w:tr>
      <w:tr>
        <w:tc>
          <w:tcPr>
            <w:tcW w:type="dxa" w:w="1291"/>
            <w:shd w:fill="EEF2FF"/>
            <w:tcMar>
              <w:top w:w="25" w:type="dxa"/>
              <w:bottom w:w="25" w:type="dxa"/>
              <w:left w:w="20" w:type="dxa"/>
              <w:right w:w="20" w:type="dxa"/>
            </w:tcMar>
          </w:tcPr>
          <w:p>
            <w:r>
              <w:rPr>
                <w:rFonts w:ascii="Calibri" w:hAnsi="Calibri"/>
                <w:b/>
                <w:color w:val="1E1B4B"/>
                <w:sz w:val="16"/>
              </w:rPr>
              <w:t>RECONCILED TOTAL / BLENDED</w:t>
            </w:r>
          </w:p>
        </w:tc>
        <w:tc>
          <w:tcPr>
            <w:tcW w:type="dxa" w:w="1291"/>
            <w:shd w:fill="EEF2FF"/>
            <w:tcMar>
              <w:top w:w="25" w:type="dxa"/>
              <w:bottom w:w="25" w:type="dxa"/>
              <w:left w:w="20" w:type="dxa"/>
              <w:right w:w="20" w:type="dxa"/>
            </w:tcMar>
          </w:tcPr>
          <w:p>
            <w:r>
              <w:rPr>
                <w:rFonts w:ascii="Calibri" w:hAnsi="Calibri"/>
                <w:b/>
                <w:color w:val="1E1B4B"/>
                <w:sz w:val="16"/>
              </w:rPr>
              <w:t>5,500</w:t>
            </w:r>
          </w:p>
        </w:tc>
        <w:tc>
          <w:tcPr>
            <w:tcW w:type="dxa" w:w="1291"/>
            <w:shd w:fill="EEF2FF"/>
            <w:tcMar>
              <w:top w:w="25" w:type="dxa"/>
              <w:bottom w:w="25" w:type="dxa"/>
              <w:left w:w="20" w:type="dxa"/>
              <w:right w:w="20" w:type="dxa"/>
            </w:tcMar>
          </w:tcPr>
          <w:p>
            <w:r>
              <w:rPr>
                <w:rFonts w:ascii="Calibri" w:hAnsi="Calibri"/>
                <w:b/>
                <w:color w:val="1E1B4B"/>
                <w:sz w:val="16"/>
              </w:rPr>
              <w:t>$29.85</w:t>
            </w:r>
          </w:p>
        </w:tc>
        <w:tc>
          <w:tcPr>
            <w:tcW w:type="dxa" w:w="1291"/>
            <w:shd w:fill="EEF2FF"/>
            <w:tcMar>
              <w:top w:w="25" w:type="dxa"/>
              <w:bottom w:w="25" w:type="dxa"/>
              <w:left w:w="20" w:type="dxa"/>
              <w:right w:w="20" w:type="dxa"/>
            </w:tcMar>
          </w:tcPr>
          <w:p>
            <w:r>
              <w:rPr>
                <w:rFonts w:ascii="Calibri" w:hAnsi="Calibri"/>
                <w:b/>
                <w:color w:val="1E1B4B"/>
                <w:sz w:val="16"/>
              </w:rPr>
              <w:t>$164,175.00</w:t>
            </w:r>
          </w:p>
        </w:tc>
        <w:tc>
          <w:tcPr>
            <w:tcW w:type="dxa" w:w="1291"/>
            <w:shd w:fill="EEF2FF"/>
            <w:tcMar>
              <w:top w:w="25" w:type="dxa"/>
              <w:bottom w:w="25" w:type="dxa"/>
              <w:left w:w="20" w:type="dxa"/>
              <w:right w:w="20" w:type="dxa"/>
            </w:tcMar>
          </w:tcPr>
          <w:p>
            <w:r>
              <w:rPr>
                <w:rFonts w:ascii="Calibri" w:hAnsi="Calibri"/>
                <w:b/>
                <w:color w:val="1E1B4B"/>
                <w:sz w:val="16"/>
              </w:rPr>
              <w:t>67.7% (3,723)</w:t>
            </w:r>
          </w:p>
        </w:tc>
        <w:tc>
          <w:tcPr>
            <w:tcW w:type="dxa" w:w="1291"/>
            <w:shd w:fill="EEF2FF"/>
            <w:tcMar>
              <w:top w:w="25" w:type="dxa"/>
              <w:bottom w:w="25" w:type="dxa"/>
              <w:left w:w="20" w:type="dxa"/>
              <w:right w:w="20" w:type="dxa"/>
            </w:tcMar>
          </w:tcPr>
          <w:p>
            <w:r>
              <w:rPr>
                <w:rFonts w:ascii="Calibri" w:hAnsi="Calibri"/>
                <w:b/>
                <w:color w:val="1E1B4B"/>
                <w:sz w:val="16"/>
              </w:rPr>
              <w:t>71.0% (2,643)</w:t>
            </w:r>
          </w:p>
        </w:tc>
        <w:tc>
          <w:tcPr>
            <w:tcW w:type="dxa" w:w="1291"/>
            <w:shd w:fill="EEF2FF"/>
            <w:tcMar>
              <w:top w:w="25" w:type="dxa"/>
              <w:bottom w:w="25" w:type="dxa"/>
              <w:left w:w="20" w:type="dxa"/>
              <w:right w:w="20" w:type="dxa"/>
            </w:tcMar>
          </w:tcPr>
          <w:p>
            <w:r>
              <w:rPr>
                <w:rFonts w:ascii="Calibri" w:hAnsi="Calibri"/>
                <w:b/>
                <w:color w:val="1E1B4B"/>
                <w:sz w:val="16"/>
              </w:rPr>
              <w:t>17.9% (473)</w:t>
            </w:r>
          </w:p>
        </w:tc>
        <w:tc>
          <w:tcPr>
            <w:tcW w:type="dxa" w:w="1291"/>
            <w:shd w:fill="EEF2FF"/>
            <w:tcMar>
              <w:top w:w="25" w:type="dxa"/>
              <w:bottom w:w="25" w:type="dxa"/>
              <w:left w:w="20" w:type="dxa"/>
              <w:right w:w="20" w:type="dxa"/>
            </w:tcMar>
          </w:tcPr>
          <w:p>
            <w:r>
              <w:rPr>
                <w:rFonts w:ascii="Calibri" w:hAnsi="Calibri"/>
                <w:b/>
                <w:color w:val="1E1B4B"/>
                <w:sz w:val="16"/>
              </w:rPr>
              <w:t>$367,550.00</w:t>
            </w:r>
          </w:p>
        </w:tc>
      </w:tr>
    </w:tbl>
    <w:p>
      <w:pPr>
        <w:spacing w:before="0" w:after="50" w:line="276" w:lineRule="auto"/>
      </w:pPr>
      <w:r>
        <w:rPr>
          <w:rFonts w:ascii="Calibri" w:hAnsi="Calibri"/>
          <w:color w:val="1E293B"/>
          <w:sz w:val="17"/>
        </w:rPr>
        <w:t>Q4 Seasonality &amp; Pacing: November (2,500 leads @ $30.80 CPL = $77k) incorporates higher CPMs and a 50% spend pause Nov 24-27 (Thanksgiving). December (3,000 leads @ $29.06 CPL = $87,175) captures STEM holiday gifting and New Year 2027 headstart intent. CPL contingency rule: if weekly blended CPL &gt; $33, shift budget to Tier 2/3 and referral loop before cutting volume.</w:t>
      </w:r>
    </w:p>
    <w:p>
      <w:pPr>
        <w:spacing w:before="0" w:after="50" w:line="276" w:lineRule="auto"/>
      </w:pPr>
      <w:r>
        <w:rPr>
          <w:rFonts w:ascii="Calibri" w:hAnsi="Calibri"/>
          <w:color w:val="1E293B"/>
          <w:sz w:val="17"/>
        </w:rPr>
        <w:t>Tier 3 Contribution Trade-Off &amp; Reallocation Lever: Tier 3 is contribution-negative on our model (1.40x ROAS vs 1.82x break-even, -$7.6k contribution loss at 55% GM); it is in the portfolio specifically to hold the $30 blended CPL ceiling ($29.85 blended). Dropping Tier 3 entirely lifts blended CPL across Tiers 1 and 2 to $31.80 ($131,175 spend / 4,125 leads), but immediately increases total contribution by +$7.6k (Tier 1 &amp; 2 blended ROAS is 2.45x). Trimming Tier 3 represents our primary operational reallocation lever if contribution profit takes precedence over the strict $30 CPL ceiling.</w:t>
      </w:r>
    </w:p>
    <w:p>
      <w:pPr>
        <w:spacing w:before="180" w:after="60"/>
      </w:pPr>
      <w:r>
        <w:rPr>
          <w:rFonts w:ascii="Calibri" w:hAnsi="Calibri"/>
          <w:b/>
          <w:color w:val="1E1B4B"/>
          <w:sz w:val="23"/>
        </w:rPr>
        <w:t>4. Pillar 2: Product-Tech Data Pipeline &amp; Intake Funnel</w:t>
      </w:r>
    </w:p>
    <w:p>
      <w:pPr>
        <w:spacing w:before="100" w:after="40"/>
      </w:pPr>
      <w:r>
        <w:rPr>
          <w:rFonts w:ascii="Calibri" w:hAnsi="Calibri"/>
          <w:b/>
          <w:color w:val="4338CA"/>
          <w:sz w:val="20"/>
        </w:rPr>
        <w:t>Server-Side Meta CAPI (Graph API v21.0) &amp; Monotonic Expected Values</w:t>
      </w:r>
    </w:p>
    <w:p>
      <w:pPr>
        <w:spacing w:before="0" w:after="50" w:line="276" w:lineRule="auto"/>
      </w:pPr>
      <w:r>
        <w:rPr>
          <w:rFonts w:ascii="Calibri" w:hAnsi="Calibri"/>
          <w:color w:val="1E293B"/>
          <w:sz w:val="17"/>
        </w:rPr>
        <w:t>Dispatched via real-time webhooks (Meta rejects requests if event_time &gt; 7 days old; no batch backlogs):</w:t>
      </w:r>
    </w:p>
    <w:p>
      <w:pPr>
        <w:spacing w:before="0" w:after="50" w:line="276" w:lineRule="auto"/>
      </w:pPr>
      <w:r>
        <w:rPr>
          <w:rFonts w:ascii="Calibri" w:hAnsi="Calibri"/>
          <w:color w:val="1E293B"/>
          <w:sz w:val="17"/>
        </w:rPr>
        <w:t>• Expected Value Formula: Value(Stage) = P(Paid | Stage) x Net ARPU (strictly monotonic: Lead $66.83 &lt; Schedule $98.72 &lt; DemoAttended $139.07 &lt; Purchase $777.06).</w:t>
        <w:br/>
        <w:t>• Campaign Optimization Config: Optimized strictly on 'Schedule' (~3,723 events or ~108/week/ad-set, stably exiting Meta's 50 conversions/week learning phase). 'Purchase' (473 events) and 'DemoAttended' stream as offline Value Signals for Target ROAS / Value-Based Bidding (VBB).</w:t>
        <w:br/>
        <w:t>• Signal Enrichment &amp; COPPA: Zero child PII sent to Meta. Only SHA-256 hashed parent contact data alongside fbclid/fbc, fbp, client IP, and User-Agent are transmitted for deterministic browser/server deduplication.</w:t>
      </w:r>
    </w:p>
    <w:p>
      <w:pPr>
        <w:spacing w:before="100" w:after="40"/>
      </w:pPr>
      <w:r>
        <w:rPr>
          <w:rFonts w:ascii="Calibri" w:hAnsi="Calibri"/>
          <w:b/>
          <w:color w:val="4338CA"/>
          <w:sz w:val="20"/>
        </w:rPr>
        <w:t>Dynamic Intake UI, Verification &amp; Attendance Assurance</w:t>
      </w:r>
    </w:p>
    <w:p>
      <w:pPr>
        <w:spacing w:before="0" w:after="50" w:line="276" w:lineRule="auto"/>
      </w:pPr>
      <w:r>
        <w:rPr>
          <w:rFonts w:ascii="Calibri" w:hAnsi="Calibri"/>
          <w:color w:val="1E293B"/>
          <w:sz w:val="17"/>
        </w:rPr>
        <w:t>• Self-Reported Laptop Readiness: Replaces mobile device penalty with explicit question ('Does your child have access to a laptop or desktop computer?').</w:t>
        <w:br/>
        <w:t>• Mock Twilio SMS OTP: 6-digit verification (sandbox code: 123456) for drop-in Twilio Verify API.</w:t>
        <w:br/>
        <w:t>• Guardian Attestation &amp; TCPA: Mandatory parent attestation and TCPA consent checkbox for call, SMS, WhatsApp alerts.</w:t>
        <w:br/>
        <w:t>• Voucher A/B Testing: Running Tier 1 with a voucher ON vs OFF (Control) toggle to test if discounting undercuts premium positioning.</w:t>
        <w:br/>
        <w:t>• Attendance Assurance: Recommends 3 slots within 48h (Round 1 lag vs show rate link is correlational) + weekend slot toggle, 1-click Google/Apple sync, 3-channel reminders (T-24h Email, T-2h SMS, T-15m WhatsApp) and self-serve reschedule link.</w:t>
      </w:r>
    </w:p>
    <w:p>
      <w:pPr>
        <w:spacing w:before="180" w:after="60"/>
      </w:pPr>
      <w:r>
        <w:rPr>
          <w:rFonts w:ascii="Calibri" w:hAnsi="Calibri"/>
          <w:b/>
          <w:color w:val="1E1B4B"/>
          <w:sz w:val="23"/>
        </w:rPr>
        <w:t>5. Break-Even Thresholds &amp; Contribution Sensitivity</w:t>
      </w:r>
    </w:p>
    <w:p>
      <w:pPr>
        <w:spacing w:before="0" w:after="50" w:line="276" w:lineRule="auto"/>
      </w:pPr>
      <w:r>
        <w:rPr>
          <w:rFonts w:ascii="Calibri" w:hAnsi="Calibri"/>
          <w:color w:val="1E293B"/>
          <w:sz w:val="17"/>
        </w:rPr>
        <w:t>Base contribution is $37,977.50 (10.3% margin on $367,550 revenue, before closers, payment fees, refunds, creative).</w:t>
      </w:r>
    </w:p>
    <w:tbl>
      <w:tblPr>
        <w:tblW w:type="auto" w:w="0"/>
        <w:jc w:val="center"/>
        <w:tblLook w:firstColumn="1" w:firstRow="1" w:lastColumn="0" w:lastRow="0" w:noHBand="0" w:noVBand="1" w:val="04A0"/>
      </w:tblPr>
      <w:tblGrid>
        <w:gridCol w:w="10325"/>
      </w:tblGrid>
      <w:tr>
        <w:tc>
          <w:tcPr>
            <w:tcW w:type="dxa" w:w="10325"/>
            <w:shd w:fill="EEF2FF"/>
            <w:tcMar>
              <w:top w:w="60" w:type="dxa"/>
              <w:bottom w:w="60" w:type="dxa"/>
              <w:left w:w="100" w:type="dxa"/>
              <w:right w:w="100" w:type="dxa"/>
            </w:tcMar>
            <w:tcBorders>
              <w:left w:val="single" w:sz="24" w:space="0" w:color="4338CA"/>
              <w:top w:val="none"/>
              <w:bottom w:val="none"/>
              <w:right w:val="none"/>
            </w:tcBorders>
          </w:tcPr>
          <w:p>
            <w:pPr>
              <w:spacing w:before="0" w:after="0"/>
            </w:pPr>
            <w:r>
              <w:rPr>
                <w:rFonts w:ascii="Calibri" w:hAnsi="Calibri"/>
                <w:b/>
                <w:color w:val="4338CA"/>
                <w:sz w:val="16"/>
              </w:rPr>
              <w:t>[BREAK-EVEN THRESHOLDS]</w:t>
              <w:br/>
            </w:r>
            <w:r>
              <w:rPr>
                <w:rFonts w:ascii="Calibri" w:hAnsi="Calibri"/>
                <w:color w:val="1E293B"/>
                <w:sz w:val="17"/>
              </w:rPr>
              <w:t>BREAK-EVEN THRESHOLDS (FINANCIAL GUARDRAILS):</w:t>
              <w:br/>
              <w:t>• Break-Even CPL: $36.76 (Maximum allowable blended CPL before contribution turns negative: $367,550 x 0.55 / 5,500).</w:t>
              <w:br/>
              <w:t>• Break-Even Gross Margin: 44.7% (Minimum delivery gross margin required to cover $164,175 media spend: $164,175 / $367,550).</w:t>
              <w:br/>
              <w:t>• Break-Even Close Rate: 14.5% (Minimum demo-to-paid close rate required at 2,643 attended demos).</w:t>
              <w:br/>
              <w:t>• Break-Even Media ROAS: 1.82x (1.00 / 0.55 GM) | Base Case ROAS: 2.24x (23% safety buffer above break-even).</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065"/>
        <w:gridCol w:w="2065"/>
        <w:gridCol w:w="2065"/>
        <w:gridCol w:w="2065"/>
        <w:gridCol w:w="2065"/>
      </w:tblGrid>
      <w:tr>
        <w:tc>
          <w:tcPr>
            <w:tcW w:type="dxa" w:w="2065"/>
            <w:shd w:fill="1E1B4B"/>
            <w:tcMar>
              <w:top w:w="25" w:type="dxa"/>
              <w:bottom w:w="25" w:type="dxa"/>
              <w:left w:w="20" w:type="dxa"/>
              <w:right w:w="20" w:type="dxa"/>
            </w:tcMar>
          </w:tcPr>
          <w:p>
            <w:r>
              <w:rPr>
                <w:rFonts w:ascii="Calibri" w:hAnsi="Calibri"/>
                <w:b/>
                <w:color w:val="FFFFFF"/>
                <w:sz w:val="16"/>
              </w:rPr>
              <w:t>Stress Scenario</w:t>
            </w:r>
          </w:p>
        </w:tc>
        <w:tc>
          <w:tcPr>
            <w:tcW w:type="dxa" w:w="2065"/>
            <w:shd w:fill="1E1B4B"/>
            <w:tcMar>
              <w:top w:w="25" w:type="dxa"/>
              <w:bottom w:w="25" w:type="dxa"/>
              <w:left w:w="20" w:type="dxa"/>
              <w:right w:w="20" w:type="dxa"/>
            </w:tcMar>
          </w:tcPr>
          <w:p>
            <w:r>
              <w:rPr>
                <w:rFonts w:ascii="Calibri" w:hAnsi="Calibri"/>
                <w:b/>
                <w:color w:val="FFFFFF"/>
                <w:sz w:val="16"/>
              </w:rPr>
              <w:t>Operating Condition</w:t>
            </w:r>
          </w:p>
        </w:tc>
        <w:tc>
          <w:tcPr>
            <w:tcW w:type="dxa" w:w="2065"/>
            <w:shd w:fill="1E1B4B"/>
            <w:tcMar>
              <w:top w:w="25" w:type="dxa"/>
              <w:bottom w:w="25" w:type="dxa"/>
              <w:left w:w="20" w:type="dxa"/>
              <w:right w:w="20" w:type="dxa"/>
            </w:tcMar>
          </w:tcPr>
          <w:p>
            <w:r>
              <w:rPr>
                <w:rFonts w:ascii="Calibri" w:hAnsi="Calibri"/>
                <w:b/>
                <w:color w:val="FFFFFF"/>
                <w:sz w:val="16"/>
              </w:rPr>
              <w:t>Media Spend</w:t>
            </w:r>
          </w:p>
        </w:tc>
        <w:tc>
          <w:tcPr>
            <w:tcW w:type="dxa" w:w="2065"/>
            <w:shd w:fill="1E1B4B"/>
            <w:tcMar>
              <w:top w:w="25" w:type="dxa"/>
              <w:bottom w:w="25" w:type="dxa"/>
              <w:left w:w="20" w:type="dxa"/>
              <w:right w:w="20" w:type="dxa"/>
            </w:tcMar>
          </w:tcPr>
          <w:p>
            <w:r>
              <w:rPr>
                <w:rFonts w:ascii="Calibri" w:hAnsi="Calibri"/>
                <w:b/>
                <w:color w:val="FFFFFF"/>
                <w:sz w:val="16"/>
              </w:rPr>
              <w:t>Contribution Margin</w:t>
            </w:r>
          </w:p>
        </w:tc>
        <w:tc>
          <w:tcPr>
            <w:tcW w:type="dxa" w:w="2065"/>
            <w:shd w:fill="1E1B4B"/>
            <w:tcMar>
              <w:top w:w="25" w:type="dxa"/>
              <w:bottom w:w="25" w:type="dxa"/>
              <w:left w:w="20" w:type="dxa"/>
              <w:right w:w="20" w:type="dxa"/>
            </w:tcMar>
          </w:tcPr>
          <w:p>
            <w:r>
              <w:rPr>
                <w:rFonts w:ascii="Calibri" w:hAnsi="Calibri"/>
                <w:b/>
                <w:color w:val="FFFFFF"/>
                <w:sz w:val="16"/>
              </w:rPr>
              <w:t>Strategic Impact / Action</w:t>
            </w:r>
          </w:p>
        </w:tc>
      </w:tr>
      <w:tr>
        <w:tc>
          <w:tcPr>
            <w:tcW w:type="dxa" w:w="2065"/>
            <w:shd w:fill="EEF2FF"/>
            <w:tcMar>
              <w:top w:w="20" w:type="dxa"/>
              <w:bottom w:w="20" w:type="dxa"/>
              <w:left w:w="20" w:type="dxa"/>
              <w:right w:w="20" w:type="dxa"/>
            </w:tcMar>
          </w:tcPr>
          <w:p>
            <w:r>
              <w:rPr>
                <w:rFonts w:ascii="Calibri" w:hAnsi="Calibri"/>
                <w:b/>
                <w:color w:val="1E1B4B"/>
                <w:sz w:val="15"/>
              </w:rPr>
              <w:t>Base Plan of Record</w:t>
            </w:r>
          </w:p>
        </w:tc>
        <w:tc>
          <w:tcPr>
            <w:tcW w:type="dxa" w:w="2065"/>
            <w:shd w:fill="EEF2FF"/>
            <w:tcMar>
              <w:top w:w="20" w:type="dxa"/>
              <w:bottom w:w="20" w:type="dxa"/>
              <w:left w:w="20" w:type="dxa"/>
              <w:right w:w="20" w:type="dxa"/>
            </w:tcMar>
          </w:tcPr>
          <w:p>
            <w:r>
              <w:rPr>
                <w:rFonts w:ascii="Calibri" w:hAnsi="Calibri"/>
                <w:b/>
                <w:color w:val="1E1B4B"/>
                <w:sz w:val="15"/>
              </w:rPr>
              <w:t>CPL $29.85 | Show 71.0% | Close 17.9%</w:t>
            </w:r>
          </w:p>
        </w:tc>
        <w:tc>
          <w:tcPr>
            <w:tcW w:type="dxa" w:w="2065"/>
            <w:shd w:fill="EEF2FF"/>
            <w:tcMar>
              <w:top w:w="20" w:type="dxa"/>
              <w:bottom w:w="20" w:type="dxa"/>
              <w:left w:w="20" w:type="dxa"/>
              <w:right w:w="20" w:type="dxa"/>
            </w:tcMar>
          </w:tcPr>
          <w:p>
            <w:r>
              <w:rPr>
                <w:rFonts w:ascii="Calibri" w:hAnsi="Calibri"/>
                <w:b/>
                <w:color w:val="1E1B4B"/>
                <w:sz w:val="15"/>
              </w:rPr>
              <w:t>$164,175</w:t>
            </w:r>
          </w:p>
        </w:tc>
        <w:tc>
          <w:tcPr>
            <w:tcW w:type="dxa" w:w="2065"/>
            <w:shd w:fill="EEF2FF"/>
            <w:tcMar>
              <w:top w:w="20" w:type="dxa"/>
              <w:bottom w:w="20" w:type="dxa"/>
              <w:left w:w="20" w:type="dxa"/>
              <w:right w:w="20" w:type="dxa"/>
            </w:tcMar>
          </w:tcPr>
          <w:p>
            <w:r>
              <w:rPr>
                <w:rFonts w:ascii="Calibri" w:hAnsi="Calibri"/>
                <w:b/>
                <w:color w:val="1E1B4B"/>
                <w:sz w:val="15"/>
              </w:rPr>
              <w:t>+$37,978</w:t>
            </w:r>
          </w:p>
        </w:tc>
        <w:tc>
          <w:tcPr>
            <w:tcW w:type="dxa" w:w="2065"/>
            <w:shd w:fill="EEF2FF"/>
            <w:tcMar>
              <w:top w:w="20" w:type="dxa"/>
              <w:bottom w:w="20" w:type="dxa"/>
              <w:left w:w="20" w:type="dxa"/>
              <w:right w:w="20" w:type="dxa"/>
            </w:tcMar>
          </w:tcPr>
          <w:p>
            <w:r>
              <w:rPr>
                <w:rFonts w:ascii="Calibri" w:hAnsi="Calibri"/>
                <w:b/>
                <w:color w:val="1E1B4B"/>
                <w:sz w:val="15"/>
              </w:rPr>
              <w:t>Baseline plan; 2.24x ROAS; $62.12 cost/att demo</w:t>
            </w:r>
          </w:p>
        </w:tc>
      </w:tr>
      <w:tr>
        <w:tc>
          <w:tcPr>
            <w:tcW w:type="dxa" w:w="2065"/>
            <w:shd w:fill="FFFFFF"/>
            <w:tcMar>
              <w:top w:w="20" w:type="dxa"/>
              <w:bottom w:w="20" w:type="dxa"/>
              <w:left w:w="20" w:type="dxa"/>
              <w:right w:w="20" w:type="dxa"/>
            </w:tcMar>
          </w:tcPr>
          <w:p>
            <w:r>
              <w:rPr>
                <w:rFonts w:ascii="Calibri" w:hAnsi="Calibri"/>
                <w:color w:val="1E293B"/>
                <w:sz w:val="15"/>
              </w:rPr>
              <w:t>CPL Inflation</w:t>
            </w:r>
          </w:p>
        </w:tc>
        <w:tc>
          <w:tcPr>
            <w:tcW w:type="dxa" w:w="2065"/>
            <w:shd w:fill="FFFFFF"/>
            <w:tcMar>
              <w:top w:w="20" w:type="dxa"/>
              <w:bottom w:w="20" w:type="dxa"/>
              <w:left w:w="20" w:type="dxa"/>
              <w:right w:w="20" w:type="dxa"/>
            </w:tcMar>
          </w:tcPr>
          <w:p>
            <w:r>
              <w:rPr>
                <w:rFonts w:ascii="Calibri" w:hAnsi="Calibri"/>
                <w:color w:val="1E293B"/>
                <w:sz w:val="15"/>
              </w:rPr>
              <w:t>Blended CPL rises to $34.00 (+14%)</w:t>
            </w:r>
          </w:p>
        </w:tc>
        <w:tc>
          <w:tcPr>
            <w:tcW w:type="dxa" w:w="2065"/>
            <w:shd w:fill="FFFFFF"/>
            <w:tcMar>
              <w:top w:w="20" w:type="dxa"/>
              <w:bottom w:w="20" w:type="dxa"/>
              <w:left w:w="20" w:type="dxa"/>
              <w:right w:w="20" w:type="dxa"/>
            </w:tcMar>
          </w:tcPr>
          <w:p>
            <w:r>
              <w:rPr>
                <w:rFonts w:ascii="Calibri" w:hAnsi="Calibri"/>
                <w:color w:val="1E293B"/>
                <w:sz w:val="15"/>
              </w:rPr>
              <w:t>$187,000</w:t>
            </w:r>
          </w:p>
        </w:tc>
        <w:tc>
          <w:tcPr>
            <w:tcW w:type="dxa" w:w="2065"/>
            <w:shd w:fill="FFFFFF"/>
            <w:tcMar>
              <w:top w:w="20" w:type="dxa"/>
              <w:bottom w:w="20" w:type="dxa"/>
              <w:left w:w="20" w:type="dxa"/>
              <w:right w:w="20" w:type="dxa"/>
            </w:tcMar>
          </w:tcPr>
          <w:p>
            <w:r>
              <w:rPr>
                <w:rFonts w:ascii="Calibri" w:hAnsi="Calibri"/>
                <w:b/>
                <w:color w:val="1E293B"/>
                <w:sz w:val="15"/>
              </w:rPr>
              <w:t>+$15,153</w:t>
            </w:r>
          </w:p>
        </w:tc>
        <w:tc>
          <w:tcPr>
            <w:tcW w:type="dxa" w:w="2065"/>
            <w:shd w:fill="FFFFFF"/>
            <w:tcMar>
              <w:top w:w="20" w:type="dxa"/>
              <w:bottom w:w="20" w:type="dxa"/>
              <w:left w:w="20" w:type="dxa"/>
              <w:right w:w="20" w:type="dxa"/>
            </w:tcMar>
          </w:tcPr>
          <w:p>
            <w:r>
              <w:rPr>
                <w:rFonts w:ascii="Calibri" w:hAnsi="Calibri"/>
                <w:color w:val="1E293B"/>
                <w:sz w:val="15"/>
              </w:rPr>
              <w:t>Absorbed by volume buffer; $15k positive margin preserved</w:t>
            </w:r>
          </w:p>
        </w:tc>
      </w:tr>
      <w:tr>
        <w:tc>
          <w:tcPr>
            <w:tcW w:type="dxa" w:w="2065"/>
            <w:shd w:fill="FFFFFF"/>
            <w:tcMar>
              <w:top w:w="20" w:type="dxa"/>
              <w:bottom w:w="20" w:type="dxa"/>
              <w:left w:w="20" w:type="dxa"/>
              <w:right w:w="20" w:type="dxa"/>
            </w:tcMar>
          </w:tcPr>
          <w:p>
            <w:r>
              <w:rPr>
                <w:rFonts w:ascii="Calibri" w:hAnsi="Calibri"/>
                <w:color w:val="1E293B"/>
                <w:sz w:val="15"/>
              </w:rPr>
              <w:t>CPL Stress</w:t>
            </w:r>
          </w:p>
        </w:tc>
        <w:tc>
          <w:tcPr>
            <w:tcW w:type="dxa" w:w="2065"/>
            <w:shd w:fill="FFFFFF"/>
            <w:tcMar>
              <w:top w:w="20" w:type="dxa"/>
              <w:bottom w:w="20" w:type="dxa"/>
              <w:left w:w="20" w:type="dxa"/>
              <w:right w:w="20" w:type="dxa"/>
            </w:tcMar>
          </w:tcPr>
          <w:p>
            <w:r>
              <w:rPr>
                <w:rFonts w:ascii="Calibri" w:hAnsi="Calibri"/>
                <w:color w:val="1E293B"/>
                <w:sz w:val="15"/>
              </w:rPr>
              <w:t>Blended CPL rises to $36.00 (+21%)</w:t>
            </w:r>
          </w:p>
        </w:tc>
        <w:tc>
          <w:tcPr>
            <w:tcW w:type="dxa" w:w="2065"/>
            <w:shd w:fill="FFFFFF"/>
            <w:tcMar>
              <w:top w:w="20" w:type="dxa"/>
              <w:bottom w:w="20" w:type="dxa"/>
              <w:left w:w="20" w:type="dxa"/>
              <w:right w:w="20" w:type="dxa"/>
            </w:tcMar>
          </w:tcPr>
          <w:p>
            <w:r>
              <w:rPr>
                <w:rFonts w:ascii="Calibri" w:hAnsi="Calibri"/>
                <w:color w:val="1E293B"/>
                <w:sz w:val="15"/>
              </w:rPr>
              <w:t>$198,000</w:t>
            </w:r>
          </w:p>
        </w:tc>
        <w:tc>
          <w:tcPr>
            <w:tcW w:type="dxa" w:w="2065"/>
            <w:shd w:fill="FFFFFF"/>
            <w:tcMar>
              <w:top w:w="20" w:type="dxa"/>
              <w:bottom w:w="20" w:type="dxa"/>
              <w:left w:w="20" w:type="dxa"/>
              <w:right w:w="20" w:type="dxa"/>
            </w:tcMar>
          </w:tcPr>
          <w:p>
            <w:r>
              <w:rPr>
                <w:rFonts w:ascii="Calibri" w:hAnsi="Calibri"/>
                <w:b/>
                <w:color w:val="1E293B"/>
                <w:sz w:val="15"/>
              </w:rPr>
              <w:t>+$4,153</w:t>
            </w:r>
          </w:p>
        </w:tc>
        <w:tc>
          <w:tcPr>
            <w:tcW w:type="dxa" w:w="2065"/>
            <w:shd w:fill="FFFFFF"/>
            <w:tcMar>
              <w:top w:w="20" w:type="dxa"/>
              <w:bottom w:w="20" w:type="dxa"/>
              <w:left w:w="20" w:type="dxa"/>
              <w:right w:w="20" w:type="dxa"/>
            </w:tcMar>
          </w:tcPr>
          <w:p>
            <w:r>
              <w:rPr>
                <w:rFonts w:ascii="Calibri" w:hAnsi="Calibri"/>
                <w:color w:val="1E293B"/>
                <w:sz w:val="15"/>
              </w:rPr>
              <w:t>Near break-even; reallocate 50% budget to Tier 2/3 &amp; referrals</w:t>
            </w:r>
          </w:p>
        </w:tc>
      </w:tr>
      <w:tr>
        <w:tc>
          <w:tcPr>
            <w:tcW w:type="dxa" w:w="2065"/>
            <w:shd w:fill="FFFFFF"/>
            <w:tcMar>
              <w:top w:w="20" w:type="dxa"/>
              <w:bottom w:w="20" w:type="dxa"/>
              <w:left w:w="20" w:type="dxa"/>
              <w:right w:w="20" w:type="dxa"/>
            </w:tcMar>
          </w:tcPr>
          <w:p>
            <w:r>
              <w:rPr>
                <w:rFonts w:ascii="Calibri" w:hAnsi="Calibri"/>
                <w:color w:val="1E293B"/>
                <w:sz w:val="15"/>
              </w:rPr>
              <w:t>Round 1 Show Rate</w:t>
            </w:r>
          </w:p>
        </w:tc>
        <w:tc>
          <w:tcPr>
            <w:tcW w:type="dxa" w:w="2065"/>
            <w:shd w:fill="FFFFFF"/>
            <w:tcMar>
              <w:top w:w="20" w:type="dxa"/>
              <w:bottom w:w="20" w:type="dxa"/>
              <w:left w:w="20" w:type="dxa"/>
              <w:right w:w="20" w:type="dxa"/>
            </w:tcMar>
          </w:tcPr>
          <w:p>
            <w:r>
              <w:rPr>
                <w:rFonts w:ascii="Calibri" w:hAnsi="Calibri"/>
                <w:color w:val="1E293B"/>
                <w:sz w:val="15"/>
              </w:rPr>
              <w:t>Show rate drops to R1 actual (64.8%)</w:t>
            </w:r>
          </w:p>
        </w:tc>
        <w:tc>
          <w:tcPr>
            <w:tcW w:type="dxa" w:w="2065"/>
            <w:shd w:fill="FFFFFF"/>
            <w:tcMar>
              <w:top w:w="20" w:type="dxa"/>
              <w:bottom w:w="20" w:type="dxa"/>
              <w:left w:w="20" w:type="dxa"/>
              <w:right w:w="20" w:type="dxa"/>
            </w:tcMar>
          </w:tcPr>
          <w:p>
            <w:r>
              <w:rPr>
                <w:rFonts w:ascii="Calibri" w:hAnsi="Calibri"/>
                <w:color w:val="1E293B"/>
                <w:sz w:val="15"/>
              </w:rPr>
              <w:t>$164,175</w:t>
            </w:r>
          </w:p>
        </w:tc>
        <w:tc>
          <w:tcPr>
            <w:tcW w:type="dxa" w:w="2065"/>
            <w:shd w:fill="FFFFFF"/>
            <w:tcMar>
              <w:top w:w="20" w:type="dxa"/>
              <w:bottom w:w="20" w:type="dxa"/>
              <w:left w:w="20" w:type="dxa"/>
              <w:right w:w="20" w:type="dxa"/>
            </w:tcMar>
          </w:tcPr>
          <w:p>
            <w:r>
              <w:rPr>
                <w:rFonts w:ascii="Calibri" w:hAnsi="Calibri"/>
                <w:b/>
                <w:color w:val="1E293B"/>
                <w:sz w:val="15"/>
              </w:rPr>
              <w:t>+$20,386</w:t>
            </w:r>
          </w:p>
        </w:tc>
        <w:tc>
          <w:tcPr>
            <w:tcW w:type="dxa" w:w="2065"/>
            <w:shd w:fill="FFFFFF"/>
            <w:tcMar>
              <w:top w:w="20" w:type="dxa"/>
              <w:bottom w:w="20" w:type="dxa"/>
              <w:left w:w="20" w:type="dxa"/>
              <w:right w:w="20" w:type="dxa"/>
            </w:tcMar>
          </w:tcPr>
          <w:p>
            <w:r>
              <w:rPr>
                <w:rFonts w:ascii="Calibri" w:hAnsi="Calibri"/>
                <w:color w:val="1E293B"/>
                <w:sz w:val="15"/>
              </w:rPr>
              <w:t>Volume absorbs decline; +$20k contribution maintained</w:t>
            </w:r>
          </w:p>
        </w:tc>
      </w:tr>
      <w:tr>
        <w:tc>
          <w:tcPr>
            <w:tcW w:type="dxa" w:w="2065"/>
            <w:shd w:fill="FEE2E2"/>
            <w:tcMar>
              <w:top w:w="20" w:type="dxa"/>
              <w:bottom w:w="20" w:type="dxa"/>
              <w:left w:w="20" w:type="dxa"/>
              <w:right w:w="20" w:type="dxa"/>
            </w:tcMar>
          </w:tcPr>
          <w:p>
            <w:r>
              <w:rPr>
                <w:rFonts w:ascii="Calibri" w:hAnsi="Calibri"/>
                <w:color w:val="DC2626"/>
                <w:sz w:val="15"/>
              </w:rPr>
              <w:t>Combined Headwind</w:t>
            </w:r>
          </w:p>
        </w:tc>
        <w:tc>
          <w:tcPr>
            <w:tcW w:type="dxa" w:w="2065"/>
            <w:shd w:fill="FEE2E2"/>
            <w:tcMar>
              <w:top w:w="20" w:type="dxa"/>
              <w:bottom w:w="20" w:type="dxa"/>
              <w:left w:w="20" w:type="dxa"/>
              <w:right w:w="20" w:type="dxa"/>
            </w:tcMar>
          </w:tcPr>
          <w:p>
            <w:r>
              <w:rPr>
                <w:rFonts w:ascii="Calibri" w:hAnsi="Calibri"/>
                <w:color w:val="DC2626"/>
                <w:sz w:val="15"/>
              </w:rPr>
              <w:t>CPL $34.00 + Show Rate 64.8%</w:t>
            </w:r>
          </w:p>
        </w:tc>
        <w:tc>
          <w:tcPr>
            <w:tcW w:type="dxa" w:w="2065"/>
            <w:shd w:fill="FEE2E2"/>
            <w:tcMar>
              <w:top w:w="20" w:type="dxa"/>
              <w:bottom w:w="20" w:type="dxa"/>
              <w:left w:w="20" w:type="dxa"/>
              <w:right w:w="20" w:type="dxa"/>
            </w:tcMar>
          </w:tcPr>
          <w:p>
            <w:r>
              <w:rPr>
                <w:rFonts w:ascii="Calibri" w:hAnsi="Calibri"/>
                <w:color w:val="DC2626"/>
                <w:sz w:val="15"/>
              </w:rPr>
              <w:t>$187,000</w:t>
            </w:r>
          </w:p>
        </w:tc>
        <w:tc>
          <w:tcPr>
            <w:tcW w:type="dxa" w:w="2065"/>
            <w:shd w:fill="FEE2E2"/>
            <w:tcMar>
              <w:top w:w="20" w:type="dxa"/>
              <w:bottom w:w="20" w:type="dxa"/>
              <w:left w:w="20" w:type="dxa"/>
              <w:right w:w="20" w:type="dxa"/>
            </w:tcMar>
          </w:tcPr>
          <w:p>
            <w:r>
              <w:rPr>
                <w:rFonts w:ascii="Calibri" w:hAnsi="Calibri"/>
                <w:b/>
                <w:color w:val="DC2626"/>
                <w:sz w:val="15"/>
              </w:rPr>
              <w:t>-$2,439</w:t>
            </w:r>
          </w:p>
        </w:tc>
        <w:tc>
          <w:tcPr>
            <w:tcW w:type="dxa" w:w="2065"/>
            <w:shd w:fill="FEE2E2"/>
            <w:tcMar>
              <w:top w:w="20" w:type="dxa"/>
              <w:bottom w:w="20" w:type="dxa"/>
              <w:left w:w="20" w:type="dxa"/>
              <w:right w:w="20" w:type="dxa"/>
            </w:tcMar>
          </w:tcPr>
          <w:p>
            <w:r>
              <w:rPr>
                <w:rFonts w:ascii="Calibri" w:hAnsi="Calibri"/>
                <w:color w:val="DC2626"/>
                <w:sz w:val="15"/>
              </w:rPr>
              <w:t>Triggers Day-10 kill criteria; enforce OTP &amp; phone confirmation</w:t>
            </w:r>
          </w:p>
        </w:tc>
      </w:tr>
    </w:tbl>
    <w:p>
      <w:pPr>
        <w:spacing w:before="180" w:after="60"/>
      </w:pPr>
      <w:r>
        <w:rPr>
          <w:rFonts w:ascii="Calibri" w:hAnsi="Calibri"/>
          <w:b/>
          <w:color w:val="1E1B4B"/>
          <w:sz w:val="23"/>
        </w:rPr>
        <w:t>6. Operations, Capacity, Compliance &amp; Day-10 Test Plan</w:t>
      </w:r>
    </w:p>
    <w:p>
      <w:pPr>
        <w:spacing w:before="100" w:after="40"/>
      </w:pPr>
      <w:r>
        <w:rPr>
          <w:rFonts w:ascii="Calibri" w:hAnsi="Calibri"/>
          <w:b/>
          <w:color w:val="4338CA"/>
          <w:sz w:val="20"/>
        </w:rPr>
        <w:t>Demo Capacity &amp; Peak Planning</w:t>
      </w:r>
    </w:p>
    <w:p>
      <w:pPr>
        <w:spacing w:before="0" w:after="50" w:line="276" w:lineRule="auto"/>
      </w:pPr>
      <w:r>
        <w:rPr>
          <w:rFonts w:ascii="Calibri" w:hAnsi="Calibri"/>
          <w:color w:val="1E293B"/>
          <w:sz w:val="17"/>
        </w:rPr>
        <w:t>• Base Capacity: 3,723 scheduled demos across 60 days = ~62 demos/day (Eastern 40% [25/day] | Central 30% [19/day] | Pacific 30% [18/day]). 16 full-time mentors working 4-hour evening shifts provide 64 mentor-hours vs 46.5 needed (73% utilization).</w:t>
        <w:br/>
        <w:t>• Peak Load (1.6x Surge): Weekend &amp; after-school peaks push demand to ~74.4 hours (&gt;100% capacity). Mitigated by opening Saturday/Sunday daytime blocks (10 AM - 3 PM) and maintaining an on-call pool of 6 flex mentors managed by the US Shift Lead.</w:t>
      </w:r>
    </w:p>
    <w:p>
      <w:pPr>
        <w:spacing w:before="100" w:after="40"/>
      </w:pPr>
      <w:r>
        <w:rPr>
          <w:rFonts w:ascii="Calibri" w:hAnsi="Calibri"/>
          <w:b/>
          <w:color w:val="4338CA"/>
          <w:sz w:val="20"/>
        </w:rPr>
        <w:t>First-10-Days Test Plan &amp; Kill Criteria (Nov 1 - Nov 10)</w:t>
      </w:r>
    </w:p>
    <w:p>
      <w:pPr>
        <w:spacing w:before="0" w:after="50" w:line="276" w:lineRule="auto"/>
      </w:pPr>
      <w:r>
        <w:rPr>
          <w:rFonts w:ascii="Calibri" w:hAnsi="Calibri"/>
          <w:color w:val="1E293B"/>
          <w:sz w:val="17"/>
        </w:rPr>
        <w:t>• Days 1-3 (Signal &amp; Qualification): Deploy $2,500/day in Dallas &amp; Bay Area. Verify CAPI EMQ &gt; 8.0, raw pass rate (target 80% @ raw CPL &lt;= $23.88), and calendar sync.</w:t>
        <w:br/>
        <w:t>• Days 4-7 (Creative &amp; Voucher A/B Testing): A/B test $150 voucher vs control in Tier 1. Test 'Beyond Kumon' vs 'Academic Edge' hooks ($4,000/day).</w:t>
        <w:br/>
        <w:t>• Days 8-10 (Throughput &amp; Close Audit): First 200+ completed demos. Audit cost per attended demo against $62.12 target.</w:t>
        <w:br/>
        <w:t>• Explicit Kill Criteria: (1) If Tier 1 CPL &gt; $42 after 150 leads -&gt; Shift 50% budget to Tier 2 suburban zips; (2) If Booking Rate &lt; 55% -&gt; Switch to 1-step intake form; (3) If Show Rate &lt; 62% -&gt; Mandate phone confirmation calls at T-2 hours.</w:t>
      </w:r>
    </w:p>
    <w:p>
      <w:pPr>
        <w:spacing w:before="180" w:after="60"/>
      </w:pPr>
      <w:r>
        <w:rPr>
          <w:rFonts w:ascii="Calibri" w:hAnsi="Calibri"/>
          <w:b/>
          <w:color w:val="1E1B4B"/>
          <w:sz w:val="23"/>
        </w:rPr>
        <w:t>7. Appendix: Likely Pushbacks &amp; Strategic Defenses</w:t>
      </w:r>
    </w:p>
    <w:p>
      <w:pPr>
        <w:spacing w:before="0" w:after="50" w:line="276" w:lineRule="auto"/>
      </w:pPr>
      <w:r>
        <w:rPr>
          <w:rFonts w:ascii="Calibri" w:hAnsi="Calibri"/>
          <w:color w:val="1E293B"/>
          <w:sz w:val="17"/>
        </w:rPr>
        <w:t>1. 'At $36 CPL in Tier 1, isn't margin wiped out?' Answer: Blended break-even is $36.76, while Tier 1 generates $850 Net ARPU and 2.85x ROAS due to 22% close rates. Tier 1 CPL is capped at $42 in the 10-day test plan, and performance is managed weekly via cost per attended demo ($62.12 target) with auto-reallocation to Tier 2.</w:t>
        <w:br/>
        <w:t>2. 'Why assume 71% show rate when Round 1 US was 64.8%?' Answer: In Round 1, demos scheduled within 24-48h showed 74-78% attendance, but that is correlational. Even if show rate remains at the Round 1 actual of 64.8%, contribution is positive at +$20,386, and our 62% floor triggers phone confirmation gates.</w:t>
        <w:br/>
        <w:t>3. 'What is your LTV and renewal rate assumption?' Answer: On a gross-margin basis, first-order LTV/CAC is 1.23x ($777.06 net ARPU x 55% GM / $347.09 CAC), while revenue ROAS is 2.24x. We deliberately exclude renewal upside for conservatism and request US cohort renewal data from BrightCHAMPS to model lifetime value.</w:t>
        <w:br/>
        <w:t>4. 'Meta removed ethnic targeting. Why not go broad Advantage+?' Answer: We agree direct ethnic targeting is impossible. That is why we established a 10-15% broad Advantage+ control arm to empirically test whether geo tiers beat the algorithm on cost per attended demo.</w:t>
      </w:r>
    </w:p>
    <w:sectPr w:rsidR="00FC693F" w:rsidRPr="0006063C" w:rsidSect="00034616">
      <w:pgSz w:w="11909" w:h="16834"/>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