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20"/>
      </w:pPr>
    </w:p>
    <w:p>
      <w:pPr>
        <w:spacing w:after="360"/>
        <w:jc w:val="center"/>
      </w:pPr>
      <w:r>
        <w:rPr>
          <w:rFonts w:ascii="Calibri" w:hAnsi="Calibri"/>
          <w:b/>
          <w:color w:val="FF6900"/>
          <w:sz w:val="19"/>
        </w:rPr>
        <w:t>CONTENT PRODUCTION GUIDE</w:t>
      </w:r>
    </w:p>
    <w:p>
      <w:pPr>
        <w:spacing w:after="160"/>
        <w:jc w:val="center"/>
      </w:pPr>
      <w:r>
        <w:rPr>
          <w:rFonts w:ascii="Calibri" w:hAnsi="Calibri"/>
          <w:b/>
          <w:color w:val="1A2B4C"/>
          <w:sz w:val="56"/>
        </w:rPr>
        <w:t>Insights Audio Deep Dive</w:t>
        <w:br/>
        <w:t>Prompt Guide</w:t>
      </w:r>
    </w:p>
    <w:p>
      <w:pPr>
        <w:spacing w:after="560"/>
        <w:jc w:val="center"/>
      </w:pPr>
      <w:r>
        <w:rPr>
          <w:rFonts w:ascii="Calibri" w:hAnsi="Calibri"/>
          <w:color w:val="1F4D78"/>
          <w:sz w:val="26"/>
        </w:rPr>
        <w:t>Ready-to-use LLM instructions for every published Touch Teqniques Engineering Insight</w:t>
      </w:r>
    </w:p>
    <w:p>
      <w:pPr>
        <w:spacing w:after="80"/>
        <w:jc w:val="center"/>
      </w:pPr>
      <w:r>
        <w:rPr>
          <w:rFonts w:ascii="Calibri" w:hAnsi="Calibri"/>
          <w:b/>
          <w:color w:val="1A2B4C"/>
          <w:sz w:val="22"/>
        </w:rPr>
        <w:t>Version 1.0  |  11 August 2026</w:t>
      </w:r>
    </w:p>
    <w:p>
      <w:pPr>
        <w:jc w:val="center"/>
      </w:pPr>
      <w:r>
        <w:rPr>
          <w:rFonts w:ascii="Calibri" w:hAnsi="Calibri"/>
          <w:i/>
          <w:color w:val="6B7280"/>
          <w:sz w:val="19"/>
        </w:rPr>
        <w:t>Prepared for the Touch Teqniques Engineering Insights production workflow</w:t>
      </w:r>
    </w:p>
    <w:p>
      <w:r>
        <w:br w:type="page"/>
      </w:r>
    </w:p>
    <w:p>
      <w:pPr>
        <w:spacing w:before="0" w:after="80"/>
      </w:pPr>
      <w:r>
        <w:rPr>
          <w:rFonts w:ascii="Calibri" w:hAnsi="Calibri"/>
          <w:b/>
          <w:caps/>
          <w:color w:val="FF6900"/>
          <w:sz w:val="18"/>
        </w:rPr>
        <w:t>HOW TO USE THIS GUIDE</w:t>
      </w:r>
    </w:p>
    <w:p>
      <w:pPr>
        <w:pStyle w:val="Heading1"/>
      </w:pPr>
      <w:r>
        <w:t>One consistent audio-deep-dive workflow</w:t>
      </w:r>
    </w:p>
    <w:p>
      <w:pPr>
        <w:spacing w:after="200"/>
      </w:pPr>
      <w:r>
        <w:t>This guide turns each source-led Insights article into a tightly scoped two-host discussion. The written article remains the technical record. The audio is an accessible companion that should make the listener curious enough to read the full guide.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NAMING RULE</w:t>
            </w:r>
          </w:p>
          <w:p>
            <w:pPr>
              <w:spacing w:after="0" w:line="288" w:lineRule="auto"/>
            </w:pPr>
            <w:r>
              <w:rPr>
                <w:rFonts w:ascii="Calibri" w:hAnsi="Calibri"/>
                <w:b/>
                <w:color w:val="1A2B4C"/>
                <w:sz w:val="21"/>
              </w:rPr>
              <w:t>Use 'Audio deep dive' on the website. Reserve 'podcast' for a future named, recurring series. In generation prompts, 'Touch Techniques Engineering' is a pronunciation aid only; it does not rename the company in website copy.</w:t>
            </w:r>
          </w:p>
        </w:tc>
      </w:tr>
    </w:tbl>
    <w:p>
      <w:pPr>
        <w:spacing w:after="0"/>
      </w:pPr>
    </w:p>
    <w:p>
      <w:pPr>
        <w:pStyle w:val="Heading2"/>
      </w:pPr>
      <w:r>
        <w:t>Recommended generator settings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1A2B4C"/>
          </w:tcPr>
          <w:p>
            <w:r>
              <w:rPr>
                <w:rFonts w:ascii="Calibri" w:hAnsi="Calibri"/>
                <w:b/>
                <w:color w:val="FFFFFF"/>
                <w:sz w:val="19"/>
              </w:rPr>
              <w:t>Setting</w:t>
            </w:r>
          </w:p>
        </w:tc>
        <w:tc>
          <w:tcPr>
            <w:tcW w:type="dxa" w:w="6660"/>
            <w:tcMar>
              <w:top w:w="80" w:type="dxa"/>
              <w:start w:w="120" w:type="dxa"/>
              <w:bottom w:w="80" w:type="dxa"/>
              <w:end w:w="120" w:type="dxa"/>
            </w:tcMar>
            <w:shd w:fill="1A2B4C"/>
          </w:tcPr>
          <w:p>
            <w:r>
              <w:rPr>
                <w:rFonts w:ascii="Calibri" w:hAnsi="Calibri"/>
                <w:b/>
                <w:color w:val="FFFFFF"/>
                <w:sz w:val="19"/>
              </w:rPr>
              <w:t>Instruction</w:t>
            </w:r>
          </w:p>
        </w:tc>
      </w:tr>
      <w:tr>
        <w:tc>
          <w:tcPr>
            <w:tcW w:type="dxa" w:w="2700"/>
            <w:shd w:fill="E8EEF5"/>
            <w:tcMar>
              <w:top w:w="80" w:type="dxa"/>
              <w:start w:w="120" w:type="dxa"/>
              <w:bottom w:w="80" w:type="dxa"/>
              <w:end w:w="120" w:type="dxa"/>
            </w:tcMar>
          </w:tcPr>
          <w:p>
            <w:r>
              <w:rPr>
                <w:rFonts w:ascii="Calibri" w:hAnsi="Calibri"/>
                <w:b/>
                <w:color w:val="1A2B4C"/>
                <w:sz w:val="19"/>
              </w:rPr>
              <w:t>Format</w:t>
            </w:r>
          </w:p>
        </w:tc>
        <w:tc>
          <w:tcPr>
            <w:tcW w:type="dxa" w:w="6660"/>
            <w:tcMar>
              <w:top w:w="80" w:type="dxa"/>
              <w:start w:w="120" w:type="dxa"/>
              <w:bottom w:w="80" w:type="dxa"/>
              <w:end w:w="120" w:type="dxa"/>
            </w:tcMar>
          </w:tcPr>
          <w:p>
            <w:r>
              <w:rPr>
                <w:rFonts w:ascii="Calibri" w:hAnsi="Calibri"/>
                <w:b w:val="0"/>
                <w:color w:val="111827"/>
                <w:sz w:val="19"/>
              </w:rPr>
              <w:t>Deep dive</w:t>
            </w:r>
          </w:p>
        </w:tc>
      </w:tr>
      <w:tr>
        <w:tc>
          <w:tcPr>
            <w:tcW w:type="dxa" w:w="2700"/>
            <w:shd w:fill="E8EEF5"/>
            <w:tcMar>
              <w:top w:w="80" w:type="dxa"/>
              <w:start w:w="120" w:type="dxa"/>
              <w:bottom w:w="80" w:type="dxa"/>
              <w:end w:w="120" w:type="dxa"/>
            </w:tcMar>
          </w:tcPr>
          <w:p>
            <w:r>
              <w:rPr>
                <w:rFonts w:ascii="Calibri" w:hAnsi="Calibri"/>
                <w:b/>
                <w:color w:val="1A2B4C"/>
                <w:sz w:val="19"/>
              </w:rPr>
              <w:t>Length</w:t>
            </w:r>
          </w:p>
        </w:tc>
        <w:tc>
          <w:tcPr>
            <w:tcW w:type="dxa" w:w="6660"/>
            <w:tcMar>
              <w:top w:w="80" w:type="dxa"/>
              <w:start w:w="120" w:type="dxa"/>
              <w:bottom w:w="80" w:type="dxa"/>
              <w:end w:w="120" w:type="dxa"/>
            </w:tcMar>
          </w:tcPr>
          <w:p>
            <w:r>
              <w:rPr>
                <w:rFonts w:ascii="Calibri" w:hAnsi="Calibri"/>
                <w:b w:val="0"/>
                <w:color w:val="111827"/>
                <w:sz w:val="19"/>
              </w:rPr>
              <w:t>Short</w:t>
            </w:r>
          </w:p>
        </w:tc>
      </w:tr>
      <w:tr>
        <w:tc>
          <w:tcPr>
            <w:tcW w:type="dxa" w:w="2700"/>
            <w:shd w:fill="E8EEF5"/>
            <w:tcMar>
              <w:top w:w="80" w:type="dxa"/>
              <w:start w:w="120" w:type="dxa"/>
              <w:bottom w:w="80" w:type="dxa"/>
              <w:end w:w="120" w:type="dxa"/>
            </w:tcMar>
          </w:tcPr>
          <w:p>
            <w:r>
              <w:rPr>
                <w:rFonts w:ascii="Calibri" w:hAnsi="Calibri"/>
                <w:b/>
                <w:color w:val="1A2B4C"/>
                <w:sz w:val="19"/>
              </w:rPr>
              <w:t>Language</w:t>
            </w:r>
          </w:p>
        </w:tc>
        <w:tc>
          <w:tcPr>
            <w:tcW w:type="dxa" w:w="6660"/>
            <w:tcMar>
              <w:top w:w="80" w:type="dxa"/>
              <w:start w:w="120" w:type="dxa"/>
              <w:bottom w:w="80" w:type="dxa"/>
              <w:end w:w="120" w:type="dxa"/>
            </w:tcMar>
          </w:tcPr>
          <w:p>
            <w:r>
              <w:rPr>
                <w:rFonts w:ascii="Calibri" w:hAnsi="Calibri"/>
                <w:b w:val="0"/>
                <w:color w:val="111827"/>
                <w:sz w:val="19"/>
              </w:rPr>
              <w:t>English</w:t>
            </w:r>
          </w:p>
        </w:tc>
      </w:tr>
      <w:tr>
        <w:tc>
          <w:tcPr>
            <w:tcW w:type="dxa" w:w="2700"/>
            <w:shd w:fill="E8EEF5"/>
            <w:tcMar>
              <w:top w:w="80" w:type="dxa"/>
              <w:start w:w="120" w:type="dxa"/>
              <w:bottom w:w="80" w:type="dxa"/>
              <w:end w:w="120" w:type="dxa"/>
            </w:tcMar>
          </w:tcPr>
          <w:p>
            <w:r>
              <w:rPr>
                <w:rFonts w:ascii="Calibri" w:hAnsi="Calibri"/>
                <w:b/>
                <w:color w:val="1A2B4C"/>
                <w:sz w:val="19"/>
              </w:rPr>
              <w:t>Sources</w:t>
            </w:r>
          </w:p>
        </w:tc>
        <w:tc>
          <w:tcPr>
            <w:tcW w:type="dxa" w:w="6660"/>
            <w:tcMar>
              <w:top w:w="80" w:type="dxa"/>
              <w:start w:w="120" w:type="dxa"/>
              <w:bottom w:w="80" w:type="dxa"/>
              <w:end w:w="120" w:type="dxa"/>
            </w:tcMar>
          </w:tcPr>
          <w:p>
            <w:r>
              <w:rPr>
                <w:rFonts w:ascii="Calibri" w:hAnsi="Calibri"/>
                <w:b w:val="0"/>
                <w:color w:val="111827"/>
                <w:sz w:val="19"/>
              </w:rPr>
              <w:t>Use the matching final source-led article as the primary source. Add another source only when it resolves a genuine technical or pronunciation need.</w:t>
            </w:r>
          </w:p>
        </w:tc>
      </w:tr>
      <w:tr>
        <w:tc>
          <w:tcPr>
            <w:tcW w:type="dxa" w:w="2700"/>
            <w:shd w:fill="E8EEF5"/>
            <w:tcMar>
              <w:top w:w="80" w:type="dxa"/>
              <w:start w:w="120" w:type="dxa"/>
              <w:bottom w:w="80" w:type="dxa"/>
              <w:end w:w="120" w:type="dxa"/>
            </w:tcMar>
          </w:tcPr>
          <w:p>
            <w:r>
              <w:rPr>
                <w:rFonts w:ascii="Calibri" w:hAnsi="Calibri"/>
                <w:b/>
                <w:color w:val="1A2B4C"/>
                <w:sz w:val="19"/>
              </w:rPr>
              <w:t>Focus chips</w:t>
            </w:r>
          </w:p>
        </w:tc>
        <w:tc>
          <w:tcPr>
            <w:tcW w:type="dxa" w:w="6660"/>
            <w:tcMar>
              <w:top w:w="80" w:type="dxa"/>
              <w:start w:w="120" w:type="dxa"/>
              <w:bottom w:w="80" w:type="dxa"/>
              <w:end w:w="120" w:type="dxa"/>
            </w:tcMar>
          </w:tcPr>
          <w:p>
            <w:r>
              <w:rPr>
                <w:rFonts w:ascii="Calibri" w:hAnsi="Calibri"/>
                <w:b w:val="0"/>
                <w:color w:val="111827"/>
                <w:sz w:val="19"/>
              </w:rPr>
              <w:t>Leave unselected unless one exactly matches the tailored brief.</w:t>
            </w:r>
          </w:p>
        </w:tc>
      </w:tr>
      <w:tr>
        <w:tc>
          <w:tcPr>
            <w:tcW w:type="dxa" w:w="2700"/>
            <w:shd w:fill="E8EEF5"/>
            <w:tcMar>
              <w:top w:w="80" w:type="dxa"/>
              <w:start w:w="120" w:type="dxa"/>
              <w:bottom w:w="80" w:type="dxa"/>
              <w:end w:w="120" w:type="dxa"/>
            </w:tcMar>
          </w:tcPr>
          <w:p>
            <w:r>
              <w:rPr>
                <w:rFonts w:ascii="Calibri" w:hAnsi="Calibri"/>
                <w:b/>
                <w:color w:val="1A2B4C"/>
                <w:sz w:val="19"/>
              </w:rPr>
              <w:t>Duration target</w:t>
            </w:r>
          </w:p>
        </w:tc>
        <w:tc>
          <w:tcPr>
            <w:tcW w:type="dxa" w:w="6660"/>
            <w:tcMar>
              <w:top w:w="80" w:type="dxa"/>
              <w:start w:w="120" w:type="dxa"/>
              <w:bottom w:w="80" w:type="dxa"/>
              <w:end w:w="120" w:type="dxa"/>
            </w:tcMar>
          </w:tcPr>
          <w:p>
            <w:r>
              <w:rPr>
                <w:rFonts w:ascii="Calibri" w:hAnsi="Calibri"/>
                <w:b w:val="0"/>
                <w:color w:val="111827"/>
                <w:sz w:val="19"/>
              </w:rPr>
              <w:t>Approximately 5-8 minutes. The generator controls the final runtime, so verify the real audio duration afterwards.</w:t>
            </w:r>
          </w:p>
        </w:tc>
      </w:tr>
    </w:tbl>
    <w:p>
      <w:pPr>
        <w:pStyle w:val="Heading2"/>
      </w:pPr>
      <w:r>
        <w:t>Production sequence</w:t>
      </w:r>
    </w:p>
    <w:p>
      <w:pPr>
        <w:pStyle w:val="ListNumber"/>
        <w:spacing w:after="80" w:line="300" w:lineRule="auto"/>
        <w:ind w:left="540" w:hanging="271"/>
      </w:pPr>
      <w:r>
        <w:rPr>
          <w:rFonts w:ascii="Calibri" w:hAnsi="Calibri"/>
          <w:color w:val="111827"/>
          <w:sz w:val="22"/>
        </w:rPr>
        <w:t>Open the matching final article and make it the primary source.</w:t>
      </w:r>
    </w:p>
    <w:p>
      <w:pPr>
        <w:pStyle w:val="ListNumber"/>
        <w:spacing w:after="80" w:line="300" w:lineRule="auto"/>
        <w:ind w:left="540" w:hanging="271"/>
      </w:pPr>
      <w:r>
        <w:rPr>
          <w:rFonts w:ascii="Calibri" w:hAnsi="Calibri"/>
          <w:color w:val="111827"/>
          <w:sz w:val="22"/>
        </w:rPr>
        <w:t>Select Deep dive, Short and English, then paste the complete article-specific prompt without removing its boundaries.</w:t>
      </w:r>
    </w:p>
    <w:p>
      <w:pPr>
        <w:pStyle w:val="ListNumber"/>
        <w:spacing w:after="80" w:line="300" w:lineRule="auto"/>
        <w:ind w:left="540" w:hanging="271"/>
      </w:pPr>
      <w:r>
        <w:rPr>
          <w:rFonts w:ascii="Calibri" w:hAnsi="Calibri"/>
          <w:color w:val="111827"/>
          <w:sz w:val="22"/>
        </w:rPr>
        <w:t>Generate the audio and obtain the actual media file plus a transcript when available.</w:t>
      </w:r>
    </w:p>
    <w:p>
      <w:pPr>
        <w:pStyle w:val="ListNumber"/>
        <w:spacing w:after="80" w:line="300" w:lineRule="auto"/>
        <w:ind w:left="540" w:hanging="271"/>
      </w:pPr>
      <w:r>
        <w:rPr>
          <w:rFonts w:ascii="Calibri" w:hAnsi="Calibri"/>
          <w:color w:val="111827"/>
          <w:sz w:val="22"/>
        </w:rPr>
        <w:t>Listen to the entire recording. A transcript-only assessment is provisional because automatic transcription can reverse words such as 'does' and 'does not'.</w:t>
      </w:r>
    </w:p>
    <w:p>
      <w:pPr>
        <w:pStyle w:val="ListNumber"/>
        <w:spacing w:after="80" w:line="300" w:lineRule="auto"/>
        <w:ind w:left="540" w:hanging="271"/>
      </w:pPr>
      <w:r>
        <w:rPr>
          <w:rFonts w:ascii="Calibri" w:hAnsi="Calibri"/>
          <w:color w:val="111827"/>
          <w:sz w:val="22"/>
        </w:rPr>
        <w:t>Check publisher name, standards, acronyms, numbers, legal wording, test boundaries and the exact closing question.</w:t>
      </w:r>
    </w:p>
    <w:p>
      <w:pPr>
        <w:pStyle w:val="ListNumber"/>
        <w:spacing w:after="80" w:line="300" w:lineRule="auto"/>
        <w:ind w:left="540" w:hanging="271"/>
      </w:pPr>
      <w:r>
        <w:rPr>
          <w:rFonts w:ascii="Calibri" w:hAnsi="Calibri"/>
          <w:color w:val="111827"/>
          <w:sz w:val="22"/>
        </w:rPr>
        <w:t>Regenerate any recording with an unsafe, materially false, universal or compliance claim. The editorial disclosure cannot cure a substantive error.</w:t>
      </w:r>
    </w:p>
    <w:p>
      <w:pPr>
        <w:pStyle w:val="ListNumber"/>
        <w:spacing w:after="80" w:line="300" w:lineRule="auto"/>
        <w:ind w:left="540" w:hanging="271"/>
      </w:pPr>
      <w:r>
        <w:rPr>
          <w:rFonts w:ascii="Calibri" w:hAnsi="Calibri"/>
          <w:color w:val="111827"/>
          <w:sz w:val="22"/>
        </w:rPr>
        <w:t>Prepare a lowercase hyphenated MP3, verify its real duration and add it to the article only after approval.</w:t>
      </w:r>
    </w:p>
    <w:p>
      <w:pPr>
        <w:pStyle w:val="Heading2"/>
      </w:pPr>
      <w:r>
        <w:t>Universal credibility boundaries</w:t>
      </w:r>
    </w:p>
    <w:p>
      <w:pPr>
        <w:pStyle w:val="ListBullet"/>
        <w:spacing w:after="80" w:line="300" w:lineRule="auto"/>
        <w:ind w:left="540" w:hanging="271"/>
      </w:pPr>
      <w:r>
        <w:rPr>
          <w:rFonts w:ascii="Calibri" w:hAnsi="Calibri"/>
          <w:color w:val="111827"/>
          <w:sz w:val="22"/>
        </w:rPr>
        <w:t>Never present the audio as engineering advice, a legal interpretation, an OEM procedure, a compliance certificate or proof that a system is safe.</w:t>
      </w:r>
    </w:p>
    <w:p>
      <w:pPr>
        <w:pStyle w:val="ListBullet"/>
        <w:spacing w:after="80" w:line="300" w:lineRule="auto"/>
        <w:ind w:left="540" w:hanging="271"/>
      </w:pPr>
      <w:r>
        <w:rPr>
          <w:rFonts w:ascii="Calibri" w:hAnsi="Calibri"/>
          <w:color w:val="111827"/>
          <w:sz w:val="22"/>
        </w:rPr>
        <w:t>Never invent accreditation, legal requirements, standards coverage, manufacturer instructions, equipment behaviour, site procedures, ranges, uncertainty, failure rates or acceptance outcomes.</w:t>
      </w:r>
    </w:p>
    <w:p>
      <w:pPr>
        <w:pStyle w:val="ListBullet"/>
        <w:spacing w:after="80" w:line="300" w:lineRule="auto"/>
        <w:ind w:left="540" w:hanging="271"/>
      </w:pPr>
      <w:r>
        <w:rPr>
          <w:rFonts w:ascii="Calibri" w:hAnsi="Calibri"/>
          <w:color w:val="111827"/>
          <w:sz w:val="22"/>
        </w:rPr>
        <w:t>Keep general South African legal duties, applicable standards, approved design documents, OEM instructions and project-specific procedures distinct.</w:t>
      </w:r>
    </w:p>
    <w:p>
      <w:pPr>
        <w:pStyle w:val="ListBullet"/>
        <w:spacing w:after="80" w:line="300" w:lineRule="auto"/>
        <w:ind w:left="540" w:hanging="271"/>
      </w:pPr>
      <w:r>
        <w:rPr>
          <w:rFonts w:ascii="Calibri" w:hAnsi="Calibri"/>
          <w:color w:val="111827"/>
          <w:sz w:val="22"/>
        </w:rPr>
        <w:t>Avoid filler, repeated agreement, sensational language, false certainty and unrelated speculation about AI.</w:t>
      </w:r>
    </w:p>
    <w:p>
      <w:pPr>
        <w:pStyle w:val="ListBullet"/>
        <w:spacing w:after="80" w:line="300" w:lineRule="auto"/>
        <w:ind w:left="540" w:hanging="271"/>
      </w:pPr>
      <w:r>
        <w:rPr>
          <w:rFonts w:ascii="Calibri" w:hAnsi="Calibri"/>
          <w:color w:val="111827"/>
          <w:sz w:val="22"/>
        </w:rPr>
        <w:t>Use one central question, a practical evidence chain and one exact closing question.</w:t>
      </w:r>
    </w:p>
    <w:p>
      <w:pPr>
        <w:pStyle w:val="Heading2"/>
      </w:pPr>
      <w:r>
        <w:t>Default website disclosure</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4F6F9"/>
          </w:tcPr>
          <w:p>
            <w:pPr>
              <w:spacing w:after="60"/>
            </w:pPr>
            <w:r>
              <w:rPr>
                <w:rFonts w:ascii="Calibri" w:hAnsi="Calibri"/>
                <w:b/>
                <w:color w:val="FF6900"/>
                <w:sz w:val="18"/>
              </w:rPr>
              <w:t>EDITORIAL NOTE</w:t>
            </w:r>
          </w:p>
          <w:p>
            <w:pPr>
              <w:spacing w:after="0" w:line="288" w:lineRule="auto"/>
            </w:pPr>
            <w:r>
              <w:rPr>
                <w:rFonts w:ascii="Calibri" w:hAnsi="Calibri"/>
                <w:b/>
                <w:color w:val="1A2B4C"/>
                <w:sz w:val="21"/>
              </w:rPr>
              <w:t>This AI-produced discussion is an accessible companion to the written guide and may simplify or paraphrase technical and regulatory points. For precise terminology, standards references and engineering boundaries, refer to the written article and its cited sources. Always follow the applicable OEM instructions, approved site procedures and project-specific engineering requirements.</w:t>
            </w:r>
          </w:p>
        </w:tc>
      </w:tr>
    </w:tbl>
    <w:p>
      <w:pPr>
        <w:spacing w:after="0"/>
      </w:pPr>
    </w:p>
    <w:p>
      <w:pPr>
        <w:pStyle w:val="Heading2"/>
      </w:pPr>
      <w:r>
        <w:t>File and player convention</w:t>
      </w:r>
    </w:p>
    <w:p>
      <w:pPr>
        <w:pStyle w:val="ListBullet"/>
        <w:spacing w:after="80" w:line="300" w:lineRule="auto"/>
        <w:ind w:left="540" w:hanging="271"/>
      </w:pPr>
      <w:r>
        <w:rPr>
          <w:rFonts w:ascii="Calibri" w:hAnsi="Calibri"/>
          <w:color w:val="111827"/>
          <w:sz w:val="22"/>
        </w:rPr>
        <w:t>Preferred web format: MP3 at approximately 128 kbps for spoken audio.</w:t>
      </w:r>
    </w:p>
    <w:p>
      <w:pPr>
        <w:pStyle w:val="ListBullet"/>
        <w:spacing w:after="80" w:line="300" w:lineRule="auto"/>
        <w:ind w:left="540" w:hanging="271"/>
      </w:pPr>
      <w:r>
        <w:rPr>
          <w:rFonts w:ascii="Calibri" w:hAnsi="Calibri"/>
          <w:color w:val="111827"/>
          <w:sz w:val="22"/>
        </w:rPr>
        <w:t>Disk path: public/content/audio/&lt;article-slug&gt;-deep-dive.mp3</w:t>
      </w:r>
    </w:p>
    <w:p>
      <w:pPr>
        <w:pStyle w:val="ListBullet"/>
        <w:spacing w:after="80" w:line="300" w:lineRule="auto"/>
        <w:ind w:left="540" w:hanging="271"/>
      </w:pPr>
      <w:r>
        <w:rPr>
          <w:rFonts w:ascii="Calibri" w:hAnsi="Calibri"/>
          <w:color w:val="111827"/>
          <w:sz w:val="22"/>
        </w:rPr>
        <w:t>Website URL: /content/audio/&lt;article-slug&gt;-deep-dive.mp3</w:t>
      </w:r>
    </w:p>
    <w:p>
      <w:pPr>
        <w:pStyle w:val="ListBullet"/>
        <w:spacing w:after="80" w:line="300" w:lineRule="auto"/>
        <w:ind w:left="540" w:hanging="271"/>
      </w:pPr>
      <w:r>
        <w:rPr>
          <w:rFonts w:ascii="Calibri" w:hAnsi="Calibri"/>
          <w:color w:val="111827"/>
          <w:sz w:val="22"/>
        </w:rPr>
        <w:t>Player label: Audio deep dive</w:t>
      </w:r>
    </w:p>
    <w:p>
      <w:pPr>
        <w:pStyle w:val="ListBullet"/>
        <w:spacing w:after="80" w:line="300" w:lineRule="auto"/>
        <w:ind w:left="540" w:hanging="271"/>
      </w:pPr>
      <w:r>
        <w:rPr>
          <w:rFonts w:ascii="Calibri" w:hAnsi="Calibri"/>
          <w:color w:val="111827"/>
          <w:sz w:val="22"/>
        </w:rPr>
        <w:t>Player duration: use the verified media duration, not a transcript estimate.</w:t>
      </w:r>
    </w:p>
    <w:p>
      <w:pPr>
        <w:pStyle w:val="Heading2"/>
      </w:pPr>
      <w:r>
        <w:t>Prompt index</w:t>
      </w:r>
    </w:p>
    <w:tbl>
      <w:tblPr>
        <w:tblStyle w:val="TableGrid"/>
        <w:tblW w:type="dxa" w:w="9360"/>
        <w:tblLayout w:type="fixed"/>
        <w:tblLook w:firstColumn="1" w:firstRow="1" w:lastColumn="0" w:lastRow="0" w:noHBand="0" w:noVBand="1" w:val="04A0"/>
        <w:tblInd w:w="120" w:type="dxa"/>
      </w:tblPr>
      <w:tblGrid>
        <w:gridCol w:w="720"/>
        <w:gridCol w:w="4920"/>
        <w:gridCol w:w="3720"/>
      </w:tblGrid>
      <w:tr>
        <w:trPr>
          <w:tblHeader w:val="true"/>
        </w:trPr>
        <w:tc>
          <w:tcPr>
            <w:tcW w:type="dxa" w:w="720"/>
            <w:tcMar>
              <w:top w:w="80" w:type="dxa"/>
              <w:start w:w="120" w:type="dxa"/>
              <w:bottom w:w="80" w:type="dxa"/>
              <w:end w:w="120" w:type="dxa"/>
            </w:tcMar>
            <w:shd w:fill="1A2B4C"/>
          </w:tcPr>
          <w:p>
            <w:r>
              <w:rPr>
                <w:rFonts w:ascii="Calibri" w:hAnsi="Calibri"/>
                <w:b/>
                <w:color w:val="FFFFFF"/>
                <w:sz w:val="18"/>
              </w:rPr>
              <w:t>No.</w:t>
            </w:r>
          </w:p>
        </w:tc>
        <w:tc>
          <w:tcPr>
            <w:tcW w:type="dxa" w:w="4920"/>
            <w:tcMar>
              <w:top w:w="80" w:type="dxa"/>
              <w:start w:w="120" w:type="dxa"/>
              <w:bottom w:w="80" w:type="dxa"/>
              <w:end w:w="120" w:type="dxa"/>
            </w:tcMar>
            <w:shd w:fill="1A2B4C"/>
          </w:tcPr>
          <w:p>
            <w:r>
              <w:rPr>
                <w:rFonts w:ascii="Calibri" w:hAnsi="Calibri"/>
                <w:b/>
                <w:color w:val="FFFFFF"/>
                <w:sz w:val="18"/>
              </w:rPr>
              <w:t>Insight</w:t>
            </w:r>
          </w:p>
        </w:tc>
        <w:tc>
          <w:tcPr>
            <w:tcW w:type="dxa" w:w="3720"/>
            <w:tcMar>
              <w:top w:w="80" w:type="dxa"/>
              <w:start w:w="120" w:type="dxa"/>
              <w:bottom w:w="80" w:type="dxa"/>
              <w:end w:w="120" w:type="dxa"/>
            </w:tcMar>
            <w:shd w:fill="1A2B4C"/>
          </w:tcPr>
          <w:p>
            <w:r>
              <w:rPr>
                <w:rFonts w:ascii="Calibri" w:hAnsi="Calibri"/>
                <w:b/>
                <w:color w:val="FFFFFF"/>
                <w:sz w:val="18"/>
              </w:rPr>
              <w:t>Suggested audio title</w:t>
            </w:r>
          </w:p>
        </w:tc>
      </w:tr>
      <w:tr>
        <w:tc>
          <w:tcPr>
            <w:tcW w:type="dxa" w:w="720"/>
            <w:tcMar>
              <w:top w:w="80" w:type="dxa"/>
              <w:start w:w="120" w:type="dxa"/>
              <w:bottom w:w="80" w:type="dxa"/>
              <w:end w:w="120" w:type="dxa"/>
            </w:tcMar>
          </w:tcPr>
          <w:p>
            <w:r>
              <w:rPr>
                <w:rFonts w:ascii="Calibri" w:hAnsi="Calibri"/>
                <w:b/>
                <w:color w:val="1A2B4C"/>
                <w:sz w:val="18"/>
              </w:rPr>
              <w:t>01</w:t>
            </w:r>
          </w:p>
        </w:tc>
        <w:tc>
          <w:tcPr>
            <w:tcW w:type="dxa" w:w="4920"/>
            <w:tcMar>
              <w:top w:w="80" w:type="dxa"/>
              <w:start w:w="120" w:type="dxa"/>
              <w:bottom w:w="80" w:type="dxa"/>
              <w:end w:w="120" w:type="dxa"/>
            </w:tcMar>
          </w:tcPr>
          <w:p>
            <w:r>
              <w:rPr>
                <w:rFonts w:ascii="Calibri" w:hAnsi="Calibri"/>
                <w:b/>
                <w:color w:val="1A2B4C"/>
                <w:sz w:val="18"/>
              </w:rPr>
              <w:t>Fire and Gas System Commissioning</w:t>
            </w:r>
          </w:p>
        </w:tc>
        <w:tc>
          <w:tcPr>
            <w:tcW w:type="dxa" w:w="3720"/>
            <w:tcMar>
              <w:top w:w="80" w:type="dxa"/>
              <w:start w:w="120" w:type="dxa"/>
              <w:bottom w:w="80" w:type="dxa"/>
              <w:end w:w="120" w:type="dxa"/>
            </w:tcMar>
          </w:tcPr>
          <w:p>
            <w:r>
              <w:rPr>
                <w:rFonts w:ascii="Calibri" w:hAnsi="Calibri"/>
                <w:b w:val="0"/>
                <w:color w:val="111827"/>
                <w:sz w:val="18"/>
              </w:rPr>
              <w:t>What a green status light does - and does not - prove</w:t>
            </w:r>
          </w:p>
        </w:tc>
      </w:tr>
      <w:tr>
        <w:tc>
          <w:tcPr>
            <w:tcW w:type="dxa" w:w="720"/>
            <w:tcMar>
              <w:top w:w="80" w:type="dxa"/>
              <w:start w:w="120" w:type="dxa"/>
              <w:bottom w:w="80" w:type="dxa"/>
              <w:end w:w="120" w:type="dxa"/>
            </w:tcMar>
          </w:tcPr>
          <w:p>
            <w:r>
              <w:rPr>
                <w:rFonts w:ascii="Calibri" w:hAnsi="Calibri"/>
                <w:b/>
                <w:color w:val="1A2B4C"/>
                <w:sz w:val="18"/>
              </w:rPr>
              <w:t>02</w:t>
            </w:r>
          </w:p>
        </w:tc>
        <w:tc>
          <w:tcPr>
            <w:tcW w:type="dxa" w:w="4920"/>
            <w:tcMar>
              <w:top w:w="80" w:type="dxa"/>
              <w:start w:w="120" w:type="dxa"/>
              <w:bottom w:w="80" w:type="dxa"/>
              <w:end w:w="120" w:type="dxa"/>
            </w:tcMar>
          </w:tcPr>
          <w:p>
            <w:r>
              <w:rPr>
                <w:rFonts w:ascii="Calibri" w:hAnsi="Calibri"/>
                <w:b/>
                <w:color w:val="1A2B4C"/>
                <w:sz w:val="18"/>
              </w:rPr>
              <w:t>IEC 61511 for Plant Managers</w:t>
            </w:r>
          </w:p>
        </w:tc>
        <w:tc>
          <w:tcPr>
            <w:tcW w:type="dxa" w:w="3720"/>
            <w:tcMar>
              <w:top w:w="80" w:type="dxa"/>
              <w:start w:w="120" w:type="dxa"/>
              <w:bottom w:w="80" w:type="dxa"/>
              <w:end w:w="120" w:type="dxa"/>
            </w:tcMar>
          </w:tcPr>
          <w:p>
            <w:r>
              <w:rPr>
                <w:rFonts w:ascii="Calibri" w:hAnsi="Calibri"/>
                <w:b w:val="0"/>
                <w:color w:val="111827"/>
                <w:sz w:val="18"/>
              </w:rPr>
              <w:t>What a credible SIL claim needs after design approval</w:t>
            </w:r>
          </w:p>
        </w:tc>
      </w:tr>
      <w:tr>
        <w:tc>
          <w:tcPr>
            <w:tcW w:type="dxa" w:w="720"/>
            <w:tcMar>
              <w:top w:w="80" w:type="dxa"/>
              <w:start w:w="120" w:type="dxa"/>
              <w:bottom w:w="80" w:type="dxa"/>
              <w:end w:w="120" w:type="dxa"/>
            </w:tcMar>
          </w:tcPr>
          <w:p>
            <w:r>
              <w:rPr>
                <w:rFonts w:ascii="Calibri" w:hAnsi="Calibri"/>
                <w:b/>
                <w:color w:val="1A2B4C"/>
                <w:sz w:val="18"/>
              </w:rPr>
              <w:t>03</w:t>
            </w:r>
          </w:p>
        </w:tc>
        <w:tc>
          <w:tcPr>
            <w:tcW w:type="dxa" w:w="4920"/>
            <w:tcMar>
              <w:top w:w="80" w:type="dxa"/>
              <w:start w:w="120" w:type="dxa"/>
              <w:bottom w:w="80" w:type="dxa"/>
              <w:end w:w="120" w:type="dxa"/>
            </w:tcMar>
          </w:tcPr>
          <w:p>
            <w:r>
              <w:rPr>
                <w:rFonts w:ascii="Calibri" w:hAnsi="Calibri"/>
                <w:b/>
                <w:color w:val="1A2B4C"/>
                <w:sz w:val="18"/>
              </w:rPr>
              <w:t>Hazardous Area Classification in Southern Africa</w:t>
            </w:r>
          </w:p>
        </w:tc>
        <w:tc>
          <w:tcPr>
            <w:tcW w:type="dxa" w:w="3720"/>
            <w:tcMar>
              <w:top w:w="80" w:type="dxa"/>
              <w:start w:w="120" w:type="dxa"/>
              <w:bottom w:w="80" w:type="dxa"/>
              <w:end w:w="120" w:type="dxa"/>
            </w:tcMar>
          </w:tcPr>
          <w:p>
            <w:r>
              <w:rPr>
                <w:rFonts w:ascii="Calibri" w:hAnsi="Calibri"/>
                <w:b w:val="0"/>
                <w:color w:val="111827"/>
                <w:sz w:val="18"/>
              </w:rPr>
              <w:t>What a hazardous-area drawing proves - and what it does not</w:t>
            </w:r>
          </w:p>
        </w:tc>
      </w:tr>
      <w:tr>
        <w:tc>
          <w:tcPr>
            <w:tcW w:type="dxa" w:w="720"/>
            <w:tcMar>
              <w:top w:w="80" w:type="dxa"/>
              <w:start w:w="120" w:type="dxa"/>
              <w:bottom w:w="80" w:type="dxa"/>
              <w:end w:w="120" w:type="dxa"/>
            </w:tcMar>
          </w:tcPr>
          <w:p>
            <w:r>
              <w:rPr>
                <w:rFonts w:ascii="Calibri" w:hAnsi="Calibri"/>
                <w:b/>
                <w:color w:val="1A2B4C"/>
                <w:sz w:val="18"/>
              </w:rPr>
              <w:t>04</w:t>
            </w:r>
          </w:p>
        </w:tc>
        <w:tc>
          <w:tcPr>
            <w:tcW w:type="dxa" w:w="4920"/>
            <w:tcMar>
              <w:top w:w="80" w:type="dxa"/>
              <w:start w:w="120" w:type="dxa"/>
              <w:bottom w:w="80" w:type="dxa"/>
              <w:end w:w="120" w:type="dxa"/>
            </w:tcMar>
          </w:tcPr>
          <w:p>
            <w:r>
              <w:rPr>
                <w:rFonts w:ascii="Calibri" w:hAnsi="Calibri"/>
                <w:b/>
                <w:color w:val="1A2B4C"/>
                <w:sz w:val="18"/>
              </w:rPr>
              <w:t>HAZOP vs SIL Assessment</w:t>
            </w:r>
          </w:p>
        </w:tc>
        <w:tc>
          <w:tcPr>
            <w:tcW w:type="dxa" w:w="3720"/>
            <w:tcMar>
              <w:top w:w="80" w:type="dxa"/>
              <w:start w:w="120" w:type="dxa"/>
              <w:bottom w:w="80" w:type="dxa"/>
              <w:end w:w="120" w:type="dxa"/>
            </w:tcMar>
          </w:tcPr>
          <w:p>
            <w:r>
              <w:rPr>
                <w:rFonts w:ascii="Calibri" w:hAnsi="Calibri"/>
                <w:b w:val="0"/>
                <w:color w:val="111827"/>
                <w:sz w:val="18"/>
              </w:rPr>
              <w:t>Where HAZOP ends and SIL determination begins</w:t>
            </w:r>
          </w:p>
        </w:tc>
      </w:tr>
      <w:tr>
        <w:tc>
          <w:tcPr>
            <w:tcW w:type="dxa" w:w="720"/>
            <w:tcMar>
              <w:top w:w="80" w:type="dxa"/>
              <w:start w:w="120" w:type="dxa"/>
              <w:bottom w:w="80" w:type="dxa"/>
              <w:end w:w="120" w:type="dxa"/>
            </w:tcMar>
          </w:tcPr>
          <w:p>
            <w:r>
              <w:rPr>
                <w:rFonts w:ascii="Calibri" w:hAnsi="Calibri"/>
                <w:b/>
                <w:color w:val="1A2B4C"/>
                <w:sz w:val="18"/>
              </w:rPr>
              <w:t>05</w:t>
            </w:r>
          </w:p>
        </w:tc>
        <w:tc>
          <w:tcPr>
            <w:tcW w:type="dxa" w:w="4920"/>
            <w:tcMar>
              <w:top w:w="80" w:type="dxa"/>
              <w:start w:w="120" w:type="dxa"/>
              <w:bottom w:w="80" w:type="dxa"/>
              <w:end w:w="120" w:type="dxa"/>
            </w:tcMar>
          </w:tcPr>
          <w:p>
            <w:r>
              <w:rPr>
                <w:rFonts w:ascii="Calibri" w:hAnsi="Calibri"/>
                <w:b/>
                <w:color w:val="1A2B4C"/>
                <w:sz w:val="18"/>
              </w:rPr>
              <w:t>Five Common Causes of False Alarms in Optical Flame Detectors</w:t>
            </w:r>
          </w:p>
        </w:tc>
        <w:tc>
          <w:tcPr>
            <w:tcW w:type="dxa" w:w="3720"/>
            <w:tcMar>
              <w:top w:w="80" w:type="dxa"/>
              <w:start w:w="120" w:type="dxa"/>
              <w:bottom w:w="80" w:type="dxa"/>
              <w:end w:w="120" w:type="dxa"/>
            </w:tcMar>
          </w:tcPr>
          <w:p>
            <w:r>
              <w:rPr>
                <w:rFonts w:ascii="Calibri" w:hAnsi="Calibri"/>
                <w:b w:val="0"/>
                <w:color w:val="111827"/>
                <w:sz w:val="18"/>
              </w:rPr>
              <w:t>Before you change the flame-detector settings</w:t>
            </w:r>
          </w:p>
        </w:tc>
      </w:tr>
      <w:tr>
        <w:tc>
          <w:tcPr>
            <w:tcW w:type="dxa" w:w="720"/>
            <w:tcMar>
              <w:top w:w="80" w:type="dxa"/>
              <w:start w:w="120" w:type="dxa"/>
              <w:bottom w:w="80" w:type="dxa"/>
              <w:end w:w="120" w:type="dxa"/>
            </w:tcMar>
          </w:tcPr>
          <w:p>
            <w:r>
              <w:rPr>
                <w:rFonts w:ascii="Calibri" w:hAnsi="Calibri"/>
                <w:b/>
                <w:color w:val="1A2B4C"/>
                <w:sz w:val="18"/>
              </w:rPr>
              <w:t>06</w:t>
            </w:r>
          </w:p>
        </w:tc>
        <w:tc>
          <w:tcPr>
            <w:tcW w:type="dxa" w:w="4920"/>
            <w:tcMar>
              <w:top w:w="80" w:type="dxa"/>
              <w:start w:w="120" w:type="dxa"/>
              <w:bottom w:w="80" w:type="dxa"/>
              <w:end w:w="120" w:type="dxa"/>
            </w:tcMar>
          </w:tcPr>
          <w:p>
            <w:r>
              <w:rPr>
                <w:rFonts w:ascii="Calibri" w:hAnsi="Calibri"/>
                <w:b/>
                <w:color w:val="1A2B4C"/>
                <w:sz w:val="18"/>
              </w:rPr>
              <w:t>Industrial Instrument Calibration</w:t>
            </w:r>
          </w:p>
        </w:tc>
        <w:tc>
          <w:tcPr>
            <w:tcW w:type="dxa" w:w="3720"/>
            <w:tcMar>
              <w:top w:w="80" w:type="dxa"/>
              <w:start w:w="120" w:type="dxa"/>
              <w:bottom w:w="80" w:type="dxa"/>
              <w:end w:w="120" w:type="dxa"/>
            </w:tcMar>
          </w:tcPr>
          <w:p>
            <w:r>
              <w:rPr>
                <w:rFonts w:ascii="Calibri" w:hAnsi="Calibri"/>
                <w:b w:val="0"/>
                <w:color w:val="111827"/>
                <w:sz w:val="18"/>
              </w:rPr>
              <w:t>What a calibration result actually proves</w:t>
            </w:r>
          </w:p>
        </w:tc>
      </w:tr>
    </w:tbl>
    <w:p>
      <w:r>
        <w:br w:type="page"/>
      </w:r>
    </w:p>
    <w:p>
      <w:pPr>
        <w:spacing w:before="0" w:after="80"/>
      </w:pPr>
      <w:r>
        <w:rPr>
          <w:rFonts w:ascii="Calibri" w:hAnsi="Calibri"/>
          <w:b/>
          <w:caps/>
          <w:color w:val="FF6900"/>
          <w:sz w:val="18"/>
        </w:rPr>
        <w:t>PROMPT 01  |  COMPLETED REFERENCE</w:t>
      </w:r>
    </w:p>
    <w:p>
      <w:pPr>
        <w:pStyle w:val="Heading1"/>
      </w:pPr>
      <w:r>
        <w:t>Fire and Gas System Commissioning</w:t>
      </w:r>
    </w:p>
    <w:p>
      <w:pPr>
        <w:spacing w:after="80"/>
      </w:pPr>
      <w:r>
        <w:rPr>
          <w:rFonts w:ascii="Calibri" w:hAnsi="Calibri"/>
          <w:b/>
          <w:color w:val="1A2B4C"/>
        </w:rPr>
        <w:t xml:space="preserve">Article: </w:t>
      </w:r>
      <w:r>
        <w:rPr>
          <w:rFonts w:ascii="Calibri" w:hAnsi="Calibri"/>
          <w:color w:val="111827"/>
        </w:rPr>
        <w:t>https://www.touchteq.co.za/insights/fire-and-gas-system-commissioning</w:t>
      </w:r>
    </w:p>
    <w:p>
      <w:pPr>
        <w:spacing w:after="80"/>
      </w:pPr>
      <w:r>
        <w:rPr>
          <w:rFonts w:ascii="Calibri" w:hAnsi="Calibri"/>
          <w:b/>
          <w:color w:val="1A2B4C"/>
        </w:rPr>
        <w:t xml:space="preserve">Suggested player title: </w:t>
      </w:r>
      <w:r>
        <w:rPr>
          <w:rFonts w:ascii="Calibri" w:hAnsi="Calibri"/>
          <w:color w:val="111827"/>
        </w:rPr>
        <w:t>What a green status light does - and does not - prove</w:t>
      </w:r>
    </w:p>
    <w:p>
      <w:pPr>
        <w:spacing w:after="80"/>
      </w:pPr>
      <w:r>
        <w:rPr>
          <w:rFonts w:ascii="Calibri" w:hAnsi="Calibri"/>
          <w:b/>
          <w:color w:val="1A2B4C"/>
        </w:rPr>
        <w:t xml:space="preserve">Suggested MP3 filename: </w:t>
      </w:r>
      <w:r>
        <w:rPr>
          <w:rFonts w:ascii="Calibri" w:hAnsi="Calibri"/>
          <w:color w:val="111827"/>
        </w:rPr>
        <w:t>fire-and-gas-system-commissioning-deep-dive.mp3</w:t>
      </w:r>
    </w:p>
    <w:p>
      <w:pPr>
        <w:spacing w:after="80"/>
      </w:pPr>
      <w:r>
        <w:rPr>
          <w:rFonts w:ascii="Calibri" w:hAnsi="Calibri"/>
          <w:b/>
          <w:color w:val="1A2B4C"/>
        </w:rPr>
        <w:t xml:space="preserve">Suggested player description: </w:t>
      </w:r>
      <w:r>
        <w:rPr>
          <w:rFonts w:ascii="Calibri" w:hAnsi="Calibri"/>
          <w:color w:val="111827"/>
        </w:rPr>
        <w:t>A two-host discussion about what status indications, loop checks, detector tests and commissioning records prove - and what they leave unproven.</w:t>
      </w:r>
    </w:p>
    <w:p>
      <w:pPr>
        <w:pStyle w:val="Heading2"/>
      </w:pPr>
      <w:r>
        <w:t>Central question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EPISODE ANCHOR</w:t>
            </w:r>
          </w:p>
          <w:p>
            <w:pPr>
              <w:spacing w:after="0" w:line="288" w:lineRule="auto"/>
            </w:pPr>
            <w:r>
              <w:rPr>
                <w:rFonts w:ascii="Calibri" w:hAnsi="Calibri"/>
                <w:b/>
                <w:color w:val="1A2B4C"/>
                <w:sz w:val="21"/>
              </w:rPr>
              <w:t>What does a healthy green status light actually prove - and what must fire and gas commissioning still demonstrate?</w:t>
            </w:r>
          </w:p>
        </w:tc>
      </w:tr>
    </w:tbl>
    <w:p>
      <w:pPr>
        <w:spacing w:after="0"/>
      </w:pPr>
    </w:p>
    <w:p>
      <w:pPr>
        <w:pStyle w:val="Heading2"/>
      </w:pPr>
      <w:r>
        <w:t>Pronunciation guidance</w:t>
      </w:r>
    </w:p>
    <w:p>
      <w:pPr>
        <w:spacing w:after="160"/>
      </w:pPr>
      <w:r>
        <w:t>Use 'Touch Techniques Engineering' as the publisher pronunciation aid. Say I/O as 'I O', OEM as 'O E M', and cause and effect as 'C and E'.</w:t>
      </w:r>
    </w:p>
    <w:p>
      <w:pPr>
        <w:pStyle w:val="Heading2"/>
      </w:pPr>
      <w:r>
        <w:t>Hard boundaries for this episode</w:t>
      </w:r>
    </w:p>
    <w:p>
      <w:pPr>
        <w:pStyle w:val="ListBullet"/>
        <w:spacing w:after="80" w:line="300" w:lineRule="auto"/>
        <w:ind w:left="540" w:hanging="271"/>
      </w:pPr>
      <w:r>
        <w:rPr>
          <w:rFonts w:ascii="Calibri" w:hAnsi="Calibri"/>
          <w:color w:val="111827"/>
          <w:sz w:val="22"/>
        </w:rPr>
        <w:t>Do not say a green status light proves the detector or full protective function works.</w:t>
      </w:r>
    </w:p>
    <w:p>
      <w:pPr>
        <w:pStyle w:val="ListBullet"/>
        <w:spacing w:after="80" w:line="300" w:lineRule="auto"/>
        <w:ind w:left="540" w:hanging="271"/>
      </w:pPr>
      <w:r>
        <w:rPr>
          <w:rFonts w:ascii="Calibri" w:hAnsi="Calibri"/>
          <w:color w:val="111827"/>
          <w:sz w:val="22"/>
        </w:rPr>
        <w:t>Do not say commissioning guarantees safety or absolute safety.</w:t>
      </w:r>
    </w:p>
    <w:p>
      <w:pPr>
        <w:pStyle w:val="ListBullet"/>
        <w:spacing w:after="80" w:line="300" w:lineRule="auto"/>
        <w:ind w:left="540" w:hanging="271"/>
      </w:pPr>
      <w:r>
        <w:rPr>
          <w:rFonts w:ascii="Calibri" w:hAnsi="Calibri"/>
          <w:color w:val="111827"/>
          <w:sz w:val="22"/>
        </w:rPr>
        <w:t>Do not claim a self-test checks only a microchip or that a loop check always uses one universal injection method.</w:t>
      </w:r>
    </w:p>
    <w:p>
      <w:pPr>
        <w:pStyle w:val="ListBullet"/>
        <w:spacing w:after="80" w:line="300" w:lineRule="auto"/>
        <w:ind w:left="540" w:hanging="271"/>
      </w:pPr>
      <w:r>
        <w:rPr>
          <w:rFonts w:ascii="Calibri" w:hAnsi="Calibri"/>
          <w:color w:val="111827"/>
          <w:sz w:val="22"/>
        </w:rPr>
        <w:t>Do not assume every detector needs external gas or a generic test lamp.</w:t>
      </w:r>
    </w:p>
    <w:p>
      <w:pPr>
        <w:pStyle w:val="ListBullet"/>
        <w:spacing w:after="80" w:line="300" w:lineRule="auto"/>
        <w:ind w:left="540" w:hanging="271"/>
      </w:pPr>
      <w:r>
        <w:rPr>
          <w:rFonts w:ascii="Calibri" w:hAnsi="Calibri"/>
          <w:color w:val="111827"/>
          <w:sz w:val="22"/>
        </w:rPr>
        <w:t>Do not say every test requires a bypass or that a dossier automatically proves legal compliance.</w:t>
      </w:r>
    </w:p>
    <w:p>
      <w:pPr>
        <w:pStyle w:val="Heading2"/>
      </w:pPr>
      <w:r>
        <w:t>Ready-to-paste LLM prompt</w:t>
      </w:r>
    </w:p>
    <w:p>
      <w:pPr>
        <w:spacing w:after="160"/>
      </w:pPr>
      <w:r>
        <w:t>Paste this entire block into the audio customisation field. Do not remove the 'do not say' section or the exact closing question.</w:t>
      </w:r>
    </w:p>
    <w:p>
      <w:pPr>
        <w:pStyle w:val="PromptText"/>
        <w:keepNext w:val="0"/>
        <w:spacing w:before="0" w:after="40"/>
        <w:shd w:fill="F4F6F9"/>
        <w:pBdr>
          <w:left w:val="single" w:sz="18" w:space="8" w:color="FF6900"/>
        </w:pBdr>
      </w:pPr>
      <w:r>
        <w:rPr>
          <w:rFonts w:ascii="Consolas" w:hAnsi="Consolas"/>
          <w:color w:val="111827"/>
          <w:sz w:val="18"/>
        </w:rPr>
        <w:t>Create a short, focused two-host audio deep dive for industrial plant, maintenance, engineering and safety teams.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Use "Touch Techniques Engineering" as the publisher. Refer to cause and effect as "C and E." Keep the discussion to approximately 5-8 minutes, if the format allows.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Focus on one central question: What does a healthy green status light actually prove - and what must fire and gas commissioning still demonstrate?</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Structure the discussion around:</w:t>
      </w:r>
    </w:p>
    <w:p>
      <w:pPr>
        <w:pStyle w:val="PromptText"/>
        <w:keepNext w:val="0"/>
        <w:spacing w:before="0" w:after="40"/>
        <w:shd w:fill="F4F6F9"/>
        <w:pBdr>
          <w:left w:val="single" w:sz="18" w:space="8" w:color="FF6900"/>
        </w:pBdr>
      </w:pPr>
      <w:r>
        <w:rPr>
          <w:rFonts w:ascii="Consolas" w:hAnsi="Consolas"/>
          <w:color w:val="111827"/>
          <w:sz w:val="18"/>
        </w:rPr>
        <w:t>1. The five-link evidence chain: stimulus or test condition, installed detector, I/O signal path, logic solver and required action.</w:t>
      </w:r>
    </w:p>
    <w:p>
      <w:pPr>
        <w:pStyle w:val="PromptText"/>
        <w:keepNext w:val="0"/>
        <w:spacing w:before="0" w:after="40"/>
        <w:shd w:fill="F4F6F9"/>
        <w:pBdr>
          <w:left w:val="single" w:sz="18" w:space="8" w:color="FF6900"/>
        </w:pBdr>
      </w:pPr>
      <w:r>
        <w:rPr>
          <w:rFonts w:ascii="Consolas" w:hAnsi="Consolas"/>
          <w:color w:val="111827"/>
          <w:sz w:val="18"/>
        </w:rPr>
        <w:t>2. The exact boundary of each test:</w:t>
      </w:r>
    </w:p>
    <w:p>
      <w:pPr>
        <w:pStyle w:val="PromptText"/>
        <w:keepNext w:val="0"/>
        <w:spacing w:before="0" w:after="40"/>
        <w:shd w:fill="F4F6F9"/>
        <w:pBdr>
          <w:left w:val="single" w:sz="18" w:space="8" w:color="FF6900"/>
        </w:pBdr>
      </w:pPr>
      <w:r>
        <w:rPr>
          <w:rFonts w:ascii="Consolas" w:hAnsi="Consolas"/>
          <w:color w:val="111827"/>
          <w:sz w:val="18"/>
        </w:rPr>
        <w:t xml:space="preserve">   - Self-tests and internal diagnostics are model-specific and prove only the diagnostic coverage described by the manufacturer.</w:t>
      </w:r>
    </w:p>
    <w:p>
      <w:pPr>
        <w:pStyle w:val="PromptText"/>
        <w:keepNext w:val="0"/>
        <w:spacing w:before="0" w:after="40"/>
        <w:shd w:fill="F4F6F9"/>
        <w:pBdr>
          <w:left w:val="single" w:sz="18" w:space="8" w:color="FF6900"/>
        </w:pBdr>
      </w:pPr>
      <w:r>
        <w:rPr>
          <w:rFonts w:ascii="Consolas" w:hAnsi="Consolas"/>
          <w:color w:val="111827"/>
          <w:sz w:val="18"/>
        </w:rPr>
        <w:t xml:space="preserve">   - Loop checks prove the approved signal-path and configuration boundary; they do not by themselves prove physical detection or every final plant action.</w:t>
      </w:r>
    </w:p>
    <w:p>
      <w:pPr>
        <w:pStyle w:val="PromptText"/>
        <w:keepNext w:val="0"/>
        <w:spacing w:before="0" w:after="40"/>
        <w:shd w:fill="F4F6F9"/>
        <w:pBdr>
          <w:left w:val="single" w:sz="18" w:space="8" w:color="FF6900"/>
        </w:pBdr>
      </w:pPr>
      <w:r>
        <w:rPr>
          <w:rFonts w:ascii="Consolas" w:hAnsi="Consolas"/>
          <w:color w:val="111827"/>
          <w:sz w:val="18"/>
        </w:rPr>
        <w:t xml:space="preserve">   - Detector functional tests use the approved method for the installed model and prove response only within that defined test method and acceptance criterion.</w:t>
      </w:r>
    </w:p>
    <w:p>
      <w:pPr>
        <w:pStyle w:val="PromptText"/>
        <w:keepNext w:val="0"/>
        <w:spacing w:before="0" w:after="40"/>
        <w:shd w:fill="F4F6F9"/>
        <w:pBdr>
          <w:left w:val="single" w:sz="18" w:space="8" w:color="FF6900"/>
        </w:pBdr>
      </w:pPr>
      <w:r>
        <w:rPr>
          <w:rFonts w:ascii="Consolas" w:hAnsi="Consolas"/>
          <w:color w:val="111827"/>
          <w:sz w:val="18"/>
        </w:rPr>
        <w:t xml:space="preserve">   - C and E tests verify alarms, voting, delays, logic and outputs against the approved cause-and-effect matrix within a controlled test boundary.</w:t>
      </w:r>
    </w:p>
    <w:p>
      <w:pPr>
        <w:pStyle w:val="PromptText"/>
        <w:keepNext w:val="0"/>
        <w:spacing w:before="0" w:after="40"/>
        <w:shd w:fill="F4F6F9"/>
        <w:pBdr>
          <w:left w:val="single" w:sz="18" w:space="8" w:color="FF6900"/>
        </w:pBdr>
      </w:pPr>
      <w:r>
        <w:rPr>
          <w:rFonts w:ascii="Consolas" w:hAnsi="Consolas"/>
          <w:color w:val="111827"/>
          <w:sz w:val="18"/>
        </w:rPr>
        <w:t xml:space="preserve">   - Integrated tests demonstrate the agreed end-to-end installed chain, subject to the defined test boundary and any controlled isolation.</w:t>
      </w:r>
    </w:p>
    <w:p>
      <w:pPr>
        <w:pStyle w:val="PromptText"/>
        <w:keepNext w:val="0"/>
        <w:spacing w:before="0" w:after="40"/>
        <w:shd w:fill="F4F6F9"/>
        <w:pBdr>
          <w:left w:val="single" w:sz="18" w:space="8" w:color="FF6900"/>
        </w:pBdr>
      </w:pPr>
      <w:r>
        <w:rPr>
          <w:rFonts w:ascii="Consolas" w:hAnsi="Consolas"/>
          <w:color w:val="111827"/>
          <w:sz w:val="18"/>
        </w:rPr>
        <w:t>3. Why detector testing must follow the installed model's OEM instructions. Do not assume every detector requires external gas or a generic test lamp.</w:t>
      </w:r>
    </w:p>
    <w:p>
      <w:pPr>
        <w:pStyle w:val="PromptText"/>
        <w:keepNext w:val="0"/>
        <w:spacing w:before="0" w:after="40"/>
        <w:shd w:fill="F4F6F9"/>
        <w:pBdr>
          <w:left w:val="single" w:sz="18" w:space="8" w:color="FF6900"/>
        </w:pBdr>
      </w:pPr>
      <w:r>
        <w:rPr>
          <w:rFonts w:ascii="Consolas" w:hAnsi="Consolas"/>
          <w:color w:val="111827"/>
          <w:sz w:val="18"/>
        </w:rPr>
        <w:t>4. How temporary inhibits, bypasses, overrides, alarm suppression and final-element isolation must be authorised, recorded, minimised, time-bounded, restored and reconciled. Clarify that not every test requires a bypass.</w:t>
      </w:r>
    </w:p>
    <w:p>
      <w:pPr>
        <w:pStyle w:val="PromptText"/>
        <w:keepNext w:val="0"/>
        <w:spacing w:before="0" w:after="40"/>
        <w:shd w:fill="F4F6F9"/>
        <w:pBdr>
          <w:left w:val="single" w:sz="18" w:space="8" w:color="FF6900"/>
        </w:pBdr>
      </w:pPr>
      <w:r>
        <w:rPr>
          <w:rFonts w:ascii="Consolas" w:hAnsi="Consolas"/>
          <w:color w:val="111827"/>
          <w:sz w:val="18"/>
        </w:rPr>
        <w:t>5. What evidence belongs in a credible handover dossier: approved scope and procedures, loop records, detector-test results, C and E results, configuration records, inhibit/bypass history, restoration evidence, deviations, approvals and current drawings.</w:t>
      </w:r>
    </w:p>
    <w:p>
      <w:pPr>
        <w:pStyle w:val="PromptText"/>
        <w:keepNext w:val="0"/>
        <w:spacing w:before="0" w:after="40"/>
        <w:shd w:fill="F4F6F9"/>
        <w:pBdr>
          <w:left w:val="single" w:sz="18" w:space="8" w:color="FF6900"/>
        </w:pBdr>
      </w:pPr>
      <w:r>
        <w:rPr>
          <w:rFonts w:ascii="Consolas" w:hAnsi="Consolas"/>
          <w:color w:val="111827"/>
          <w:sz w:val="18"/>
        </w:rPr>
        <w:t>6. The South African distinction between general legal duties, applicable standards, the approved design basis, OEM instructions and project-specific commissioning procedures. Do not imply that one standard supplies a universal detector-by-detector procedure.</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Keep the conversation technically careful, practical and natural. Avoid filler, repeated agreement between the hosts, sensational language and unrelated speculation about AI.</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say or imply that:</w:t>
      </w:r>
    </w:p>
    <w:p>
      <w:pPr>
        <w:pStyle w:val="PromptText"/>
        <w:keepNext w:val="0"/>
        <w:spacing w:before="0" w:after="40"/>
        <w:shd w:fill="F4F6F9"/>
        <w:pBdr>
          <w:left w:val="single" w:sz="18" w:space="8" w:color="FF6900"/>
        </w:pBdr>
      </w:pPr>
      <w:r>
        <w:rPr>
          <w:rFonts w:ascii="Consolas" w:hAnsi="Consolas"/>
          <w:color w:val="111827"/>
          <w:sz w:val="18"/>
        </w:rPr>
        <w:t>- a green status light proves the detector or full protective function works;</w:t>
      </w:r>
    </w:p>
    <w:p>
      <w:pPr>
        <w:pStyle w:val="PromptText"/>
        <w:keepNext w:val="0"/>
        <w:spacing w:before="0" w:after="40"/>
        <w:shd w:fill="F4F6F9"/>
        <w:pBdr>
          <w:left w:val="single" w:sz="18" w:space="8" w:color="FF6900"/>
        </w:pBdr>
      </w:pPr>
      <w:r>
        <w:rPr>
          <w:rFonts w:ascii="Consolas" w:hAnsi="Consolas"/>
          <w:color w:val="111827"/>
          <w:sz w:val="18"/>
        </w:rPr>
        <w:t>- commissioning guarantees safety or "absolute safety";</w:t>
      </w:r>
    </w:p>
    <w:p>
      <w:pPr>
        <w:pStyle w:val="PromptText"/>
        <w:keepNext w:val="0"/>
        <w:spacing w:before="0" w:after="40"/>
        <w:shd w:fill="F4F6F9"/>
        <w:pBdr>
          <w:left w:val="single" w:sz="18" w:space="8" w:color="FF6900"/>
        </w:pBdr>
      </w:pPr>
      <w:r>
        <w:rPr>
          <w:rFonts w:ascii="Consolas" w:hAnsi="Consolas"/>
          <w:color w:val="111827"/>
          <w:sz w:val="18"/>
        </w:rPr>
        <w:t>- a failed link always means the hazard will definitely go unmitigated;</w:t>
      </w:r>
    </w:p>
    <w:p>
      <w:pPr>
        <w:pStyle w:val="PromptText"/>
        <w:keepNext w:val="0"/>
        <w:spacing w:before="0" w:after="40"/>
        <w:shd w:fill="F4F6F9"/>
        <w:pBdr>
          <w:left w:val="single" w:sz="18" w:space="8" w:color="FF6900"/>
        </w:pBdr>
      </w:pPr>
      <w:r>
        <w:rPr>
          <w:rFonts w:ascii="Consolas" w:hAnsi="Consolas"/>
          <w:color w:val="111827"/>
          <w:sz w:val="18"/>
        </w:rPr>
        <w:t>- a self-test checks only a microchip;</w:t>
      </w:r>
    </w:p>
    <w:p>
      <w:pPr>
        <w:pStyle w:val="PromptText"/>
        <w:keepNext w:val="0"/>
        <w:spacing w:before="0" w:after="40"/>
        <w:shd w:fill="F4F6F9"/>
        <w:pBdr>
          <w:left w:val="single" w:sz="18" w:space="8" w:color="FF6900"/>
        </w:pBdr>
      </w:pPr>
      <w:r>
        <w:rPr>
          <w:rFonts w:ascii="Consolas" w:hAnsi="Consolas"/>
          <w:color w:val="111827"/>
          <w:sz w:val="18"/>
        </w:rPr>
        <w:t>- a loop check always uses one universal signal-injection method;</w:t>
      </w:r>
    </w:p>
    <w:p>
      <w:pPr>
        <w:pStyle w:val="PromptText"/>
        <w:keepNext w:val="0"/>
        <w:spacing w:before="0" w:after="40"/>
        <w:shd w:fill="F4F6F9"/>
        <w:pBdr>
          <w:left w:val="single" w:sz="18" w:space="8" w:color="FF6900"/>
        </w:pBdr>
      </w:pPr>
      <w:r>
        <w:rPr>
          <w:rFonts w:ascii="Consolas" w:hAnsi="Consolas"/>
          <w:color w:val="111827"/>
          <w:sz w:val="18"/>
        </w:rPr>
        <w:t>- a generic or external test lamp is harmless or appropriate for every detector;</w:t>
      </w:r>
    </w:p>
    <w:p>
      <w:pPr>
        <w:pStyle w:val="PromptText"/>
        <w:keepNext w:val="0"/>
        <w:spacing w:before="0" w:after="40"/>
        <w:shd w:fill="F4F6F9"/>
        <w:pBdr>
          <w:left w:val="single" w:sz="18" w:space="8" w:color="FF6900"/>
        </w:pBdr>
      </w:pPr>
      <w:r>
        <w:rPr>
          <w:rFonts w:ascii="Consolas" w:hAnsi="Consolas"/>
          <w:color w:val="111827"/>
          <w:sz w:val="18"/>
        </w:rPr>
        <w:t>- all tests require a bypass;</w:t>
      </w:r>
    </w:p>
    <w:p>
      <w:pPr>
        <w:pStyle w:val="PromptText"/>
        <w:keepNext w:val="0"/>
        <w:spacing w:before="0" w:after="40"/>
        <w:shd w:fill="F4F6F9"/>
        <w:pBdr>
          <w:left w:val="single" w:sz="18" w:space="8" w:color="FF6900"/>
        </w:pBdr>
      </w:pPr>
      <w:r>
        <w:rPr>
          <w:rFonts w:ascii="Consolas" w:hAnsi="Consolas"/>
          <w:color w:val="111827"/>
          <w:sz w:val="18"/>
        </w:rPr>
        <w:t>- the handover dossier is automatic proof of legal compliance;</w:t>
      </w:r>
    </w:p>
    <w:p>
      <w:pPr>
        <w:pStyle w:val="PromptText"/>
        <w:keepNext w:val="0"/>
        <w:spacing w:before="0" w:after="40"/>
        <w:shd w:fill="F4F6F9"/>
        <w:pBdr>
          <w:left w:val="single" w:sz="18" w:space="8" w:color="FF6900"/>
        </w:pBdr>
      </w:pPr>
      <w:r>
        <w:rPr>
          <w:rFonts w:ascii="Consolas" w:hAnsi="Consolas"/>
          <w:color w:val="111827"/>
          <w:sz w:val="18"/>
        </w:rPr>
        <w:t>- South African law provides one universal commissioning procedure.</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invent legal requirements, manufacturer instructions, equipment behaviour or site procedures.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End with this exact practical question:</w:t>
      </w:r>
    </w:p>
    <w:p>
      <w:pPr>
        <w:pStyle w:val="PromptText"/>
        <w:keepNext w:val="0"/>
        <w:spacing w:before="0" w:after="40"/>
        <w:shd w:fill="F4F6F9"/>
        <w:pBdr>
          <w:left w:val="single" w:sz="18" w:space="8" w:color="FF6900"/>
        </w:pBdr>
      </w:pPr>
      <w:r>
        <w:rPr>
          <w:rFonts w:ascii="Consolas" w:hAnsi="Consolas"/>
          <w:color w:val="111827"/>
          <w:sz w:val="18"/>
        </w:rPr>
        <w:t>Can your team trace the approved requirement through the installed detector, I/O, logic and required action - and prove that every temporary test condition was safely removed?</w:t>
      </w:r>
    </w:p>
    <w:p>
      <w:r>
        <w:br w:type="page"/>
      </w:r>
    </w:p>
    <w:p>
      <w:pPr>
        <w:spacing w:before="0" w:after="80"/>
      </w:pPr>
      <w:r>
        <w:rPr>
          <w:rFonts w:ascii="Calibri" w:hAnsi="Calibri"/>
          <w:b/>
          <w:caps/>
          <w:color w:val="FF6900"/>
          <w:sz w:val="18"/>
        </w:rPr>
        <w:t>PROMPT 02  |  NEXT PRODUCTION PROMPT</w:t>
      </w:r>
    </w:p>
    <w:p>
      <w:pPr>
        <w:pStyle w:val="Heading1"/>
      </w:pPr>
      <w:r>
        <w:t>IEC 61511 for Plant Managers</w:t>
      </w:r>
    </w:p>
    <w:p>
      <w:pPr>
        <w:spacing w:after="80"/>
      </w:pPr>
      <w:r>
        <w:rPr>
          <w:rFonts w:ascii="Calibri" w:hAnsi="Calibri"/>
          <w:b/>
          <w:color w:val="1A2B4C"/>
        </w:rPr>
        <w:t xml:space="preserve">Article: </w:t>
      </w:r>
      <w:r>
        <w:rPr>
          <w:rFonts w:ascii="Calibri" w:hAnsi="Calibri"/>
          <w:color w:val="111827"/>
        </w:rPr>
        <w:t>https://www.touchteq.co.za/insights/iec-61511-plant-managers</w:t>
      </w:r>
    </w:p>
    <w:p>
      <w:pPr>
        <w:spacing w:after="80"/>
      </w:pPr>
      <w:r>
        <w:rPr>
          <w:rFonts w:ascii="Calibri" w:hAnsi="Calibri"/>
          <w:b/>
          <w:color w:val="1A2B4C"/>
        </w:rPr>
        <w:t xml:space="preserve">Suggested player title: </w:t>
      </w:r>
      <w:r>
        <w:rPr>
          <w:rFonts w:ascii="Calibri" w:hAnsi="Calibri"/>
          <w:color w:val="111827"/>
        </w:rPr>
        <w:t>What a credible SIL claim needs after design approval</w:t>
      </w:r>
    </w:p>
    <w:p>
      <w:pPr>
        <w:spacing w:after="80"/>
      </w:pPr>
      <w:r>
        <w:rPr>
          <w:rFonts w:ascii="Calibri" w:hAnsi="Calibri"/>
          <w:b/>
          <w:color w:val="1A2B4C"/>
        </w:rPr>
        <w:t xml:space="preserve">Suggested MP3 filename: </w:t>
      </w:r>
      <w:r>
        <w:rPr>
          <w:rFonts w:ascii="Calibri" w:hAnsi="Calibri"/>
          <w:color w:val="111827"/>
        </w:rPr>
        <w:t>iec-61511-plant-managers-deep-dive.mp3</w:t>
      </w:r>
    </w:p>
    <w:p>
      <w:pPr>
        <w:spacing w:after="80"/>
      </w:pPr>
      <w:r>
        <w:rPr>
          <w:rFonts w:ascii="Calibri" w:hAnsi="Calibri"/>
          <w:b/>
          <w:color w:val="1A2B4C"/>
        </w:rPr>
        <w:t xml:space="preserve">Suggested player description: </w:t>
      </w:r>
      <w:r>
        <w:rPr>
          <w:rFonts w:ascii="Calibri" w:hAnsi="Calibri"/>
          <w:color w:val="111827"/>
        </w:rPr>
        <w:t>A practical discussion about the SIS lifecycle, SIL evidence, proof testing, bypass control and the distinction between engineering standards and South African legal duties.</w:t>
      </w:r>
    </w:p>
    <w:p>
      <w:pPr>
        <w:pStyle w:val="Heading2"/>
      </w:pPr>
      <w:r>
        <w:t>Central question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EPISODE ANCHOR</w:t>
            </w:r>
          </w:p>
          <w:p>
            <w:pPr>
              <w:spacing w:after="0" w:line="288" w:lineRule="auto"/>
            </w:pPr>
            <w:r>
              <w:rPr>
                <w:rFonts w:ascii="Calibri" w:hAnsi="Calibri"/>
                <w:b/>
                <w:color w:val="1A2B4C"/>
                <w:sz w:val="21"/>
              </w:rPr>
              <w:t>What evidence should a plant manager ask for before accepting that a safety instrumented function is still being managed as designed?</w:t>
            </w:r>
          </w:p>
        </w:tc>
      </w:tr>
    </w:tbl>
    <w:p>
      <w:pPr>
        <w:spacing w:after="0"/>
      </w:pPr>
    </w:p>
    <w:p>
      <w:pPr>
        <w:pStyle w:val="Heading2"/>
      </w:pPr>
      <w:r>
        <w:t>Pronunciation guidance</w:t>
      </w:r>
    </w:p>
    <w:p>
      <w:pPr>
        <w:spacing w:after="160"/>
      </w:pPr>
      <w:r>
        <w:t>Say IEC as 'I E C'. Say SIS, SIF, SIL, SRS, PFD average and PFH clearly. Use 'Touch Techniques Engineering' as the publisher pronunciation aid.</w:t>
      </w:r>
    </w:p>
    <w:p>
      <w:pPr>
        <w:pStyle w:val="Heading2"/>
      </w:pPr>
      <w:r>
        <w:t>Hard boundaries for this episode</w:t>
      </w:r>
    </w:p>
    <w:p>
      <w:pPr>
        <w:pStyle w:val="ListBullet"/>
        <w:spacing w:after="80" w:line="300" w:lineRule="auto"/>
        <w:ind w:left="540" w:hanging="271"/>
      </w:pPr>
      <w:r>
        <w:rPr>
          <w:rFonts w:ascii="Calibri" w:hAnsi="Calibri"/>
          <w:color w:val="111827"/>
          <w:sz w:val="22"/>
        </w:rPr>
        <w:t>Do not say IEC 61511 is South African law or that using it automatically proves statutory compliance.</w:t>
      </w:r>
    </w:p>
    <w:p>
      <w:pPr>
        <w:pStyle w:val="ListBullet"/>
        <w:spacing w:after="80" w:line="300" w:lineRule="auto"/>
        <w:ind w:left="540" w:hanging="271"/>
      </w:pPr>
      <w:r>
        <w:rPr>
          <w:rFonts w:ascii="Calibri" w:hAnsi="Calibri"/>
          <w:color w:val="111827"/>
          <w:sz w:val="22"/>
        </w:rPr>
        <w:t>Do not describe the IEC 61511:2026 series pack as a new technical edition of Parts 1, 2 or 3.</w:t>
      </w:r>
    </w:p>
    <w:p>
      <w:pPr>
        <w:pStyle w:val="ListBullet"/>
        <w:spacing w:after="80" w:line="300" w:lineRule="auto"/>
        <w:ind w:left="540" w:hanging="271"/>
      </w:pPr>
      <w:r>
        <w:rPr>
          <w:rFonts w:ascii="Calibri" w:hAnsi="Calibri"/>
          <w:color w:val="111827"/>
          <w:sz w:val="22"/>
        </w:rPr>
        <w:t>Do not say a SIL-capable device makes a complete loop SIL compliant.</w:t>
      </w:r>
    </w:p>
    <w:p>
      <w:pPr>
        <w:pStyle w:val="ListBullet"/>
        <w:spacing w:after="80" w:line="300" w:lineRule="auto"/>
        <w:ind w:left="540" w:hanging="271"/>
      </w:pPr>
      <w:r>
        <w:rPr>
          <w:rFonts w:ascii="Calibri" w:hAnsi="Calibri"/>
          <w:color w:val="111827"/>
          <w:sz w:val="22"/>
        </w:rPr>
        <w:t>Do not reduce SIL bands to a simple 'times safer' statement.</w:t>
      </w:r>
    </w:p>
    <w:p>
      <w:pPr>
        <w:pStyle w:val="ListBullet"/>
        <w:spacing w:after="80" w:line="300" w:lineRule="auto"/>
        <w:ind w:left="540" w:hanging="271"/>
      </w:pPr>
      <w:r>
        <w:rPr>
          <w:rFonts w:ascii="Calibri" w:hAnsi="Calibri"/>
          <w:color w:val="111827"/>
          <w:sz w:val="22"/>
        </w:rPr>
        <w:t>Do not equate calibration or routine maintenance with proof testing.</w:t>
      </w:r>
    </w:p>
    <w:p>
      <w:pPr>
        <w:pStyle w:val="ListBullet"/>
        <w:spacing w:after="80" w:line="300" w:lineRule="auto"/>
        <w:ind w:left="540" w:hanging="271"/>
      </w:pPr>
      <w:r>
        <w:rPr>
          <w:rFonts w:ascii="Calibri" w:hAnsi="Calibri"/>
          <w:color w:val="111827"/>
          <w:sz w:val="22"/>
        </w:rPr>
        <w:t>Do not guarantee a SIL outcome, audit pass, regulator acceptance or incident prevention.</w:t>
      </w:r>
    </w:p>
    <w:p>
      <w:pPr>
        <w:pStyle w:val="Heading2"/>
      </w:pPr>
      <w:r>
        <w:t>Ready-to-paste LLM prompt</w:t>
      </w:r>
    </w:p>
    <w:p>
      <w:pPr>
        <w:spacing w:after="160"/>
      </w:pPr>
      <w:r>
        <w:t>Paste this entire block into the audio customisation field. Do not remove the 'do not say' section or the exact closing question.</w:t>
      </w:r>
    </w:p>
    <w:p>
      <w:pPr>
        <w:pStyle w:val="PromptText"/>
        <w:keepNext w:val="0"/>
        <w:spacing w:before="0" w:after="40"/>
        <w:shd w:fill="F4F6F9"/>
        <w:pBdr>
          <w:left w:val="single" w:sz="18" w:space="8" w:color="FF6900"/>
        </w:pBdr>
      </w:pPr>
      <w:r>
        <w:rPr>
          <w:rFonts w:ascii="Consolas" w:hAnsi="Consolas"/>
          <w:color w:val="111827"/>
          <w:sz w:val="18"/>
        </w:rPr>
        <w:t>Create a short, focused two-host audio deep dive for South African plant managers, maintenance leaders, process-safety teams and engineers.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Use "Touch Techniques Engineering" as the publisher. Say IEC as "I E C" and keep SIS, SIF, SIL and SRS distinct. Keep the discussion to approximately 5-8 minutes, if the format allows.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Focus on one central question: What evidence should a plant manager ask for before accepting that a safety instrumented function is still being managed as designed?</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Structure the discussion around:</w:t>
      </w:r>
    </w:p>
    <w:p>
      <w:pPr>
        <w:pStyle w:val="PromptText"/>
        <w:keepNext w:val="0"/>
        <w:spacing w:before="0" w:after="40"/>
        <w:shd w:fill="F4F6F9"/>
        <w:pBdr>
          <w:left w:val="single" w:sz="18" w:space="8" w:color="FF6900"/>
        </w:pBdr>
      </w:pPr>
      <w:r>
        <w:rPr>
          <w:rFonts w:ascii="Consolas" w:hAnsi="Consolas"/>
          <w:color w:val="111827"/>
          <w:sz w:val="18"/>
        </w:rPr>
        <w:t>1. The difference between the SIS, an individual SIF and its target SIL. Explain that SIL belongs to a defined safety function, not to the whole plant or one device.</w:t>
      </w:r>
    </w:p>
    <w:p>
      <w:pPr>
        <w:pStyle w:val="PromptText"/>
        <w:keepNext w:val="0"/>
        <w:spacing w:before="0" w:after="40"/>
        <w:shd w:fill="F4F6F9"/>
        <w:pBdr>
          <w:left w:val="single" w:sz="18" w:space="8" w:color="FF6900"/>
        </w:pBdr>
      </w:pPr>
      <w:r>
        <w:rPr>
          <w:rFonts w:ascii="Consolas" w:hAnsi="Consolas"/>
          <w:color w:val="111827"/>
          <w:sz w:val="18"/>
        </w:rPr>
        <w:t>2. The three practical movements of the IEC 61511 lifecycle: analyse and specify; design and realise; operate and sustain. Emphasise that weak evidence in one phase moves uncertainty into the next.</w:t>
      </w:r>
    </w:p>
    <w:p>
      <w:pPr>
        <w:pStyle w:val="PromptText"/>
        <w:keepNext w:val="0"/>
        <w:spacing w:before="0" w:after="40"/>
        <w:shd w:fill="F4F6F9"/>
        <w:pBdr>
          <w:left w:val="single" w:sz="18" w:space="8" w:color="FF6900"/>
        </w:pBdr>
      </w:pPr>
      <w:r>
        <w:rPr>
          <w:rFonts w:ascii="Consolas" w:hAnsi="Consolas"/>
          <w:color w:val="111827"/>
          <w:sz w:val="18"/>
        </w:rPr>
        <w:t>3. The South African distinction between legal duties and engineering practice. Explain carefully that the Major Hazard Installation Regulations, 2022 do not name IEC 61511 and create separate duties, including the applicable AIA-led SANS 1461 route for establishments in scope. Applying IEC 61511 does not automatically prove legal compliance.</w:t>
      </w:r>
    </w:p>
    <w:p>
      <w:pPr>
        <w:pStyle w:val="PromptText"/>
        <w:keepNext w:val="0"/>
        <w:spacing w:before="0" w:after="40"/>
        <w:shd w:fill="F4F6F9"/>
        <w:pBdr>
          <w:left w:val="single" w:sz="18" w:space="8" w:color="FF6900"/>
        </w:pBdr>
      </w:pPr>
      <w:r>
        <w:rPr>
          <w:rFonts w:ascii="Consolas" w:hAnsi="Consolas"/>
          <w:color w:val="111827"/>
          <w:sz w:val="18"/>
        </w:rPr>
        <w:t>4. Why a SIL target depends on a defined function, operating mode, architecture, device data, proof-test interval, proof-test coverage and systematic controls. Distinguish PFD average for low-demand functions from PFH for high-demand or continuous functions without turning the numbers into a marketing slogan.</w:t>
      </w:r>
    </w:p>
    <w:p>
      <w:pPr>
        <w:pStyle w:val="PromptText"/>
        <w:keepNext w:val="0"/>
        <w:spacing w:before="0" w:after="40"/>
        <w:shd w:fill="F4F6F9"/>
        <w:pBdr>
          <w:left w:val="single" w:sz="18" w:space="8" w:color="FF6900"/>
        </w:pBdr>
      </w:pPr>
      <w:r>
        <w:rPr>
          <w:rFonts w:ascii="Consolas" w:hAnsi="Consolas"/>
          <w:color w:val="111827"/>
          <w:sz w:val="18"/>
        </w:rPr>
        <w:t>5. The operating controls that keep the design basis connected to the plant: complete proof tests, authorised and time-bounded bypasses, management of change, competence, failure and demand records, and controlled configurations.</w:t>
      </w:r>
    </w:p>
    <w:p>
      <w:pPr>
        <w:pStyle w:val="PromptText"/>
        <w:keepNext w:val="0"/>
        <w:spacing w:before="0" w:after="40"/>
        <w:shd w:fill="F4F6F9"/>
        <w:pBdr>
          <w:left w:val="single" w:sz="18" w:space="8" w:color="FF6900"/>
        </w:pBdr>
      </w:pPr>
      <w:r>
        <w:rPr>
          <w:rFonts w:ascii="Consolas" w:hAnsi="Consolas"/>
          <w:color w:val="111827"/>
          <w:sz w:val="18"/>
        </w:rPr>
        <w:t>6. The evidence a plant manager should request, starting with the SRS, SIL determination and verification, then comparing their assumptions with validation, proof-test, bypass, change, competence and operating records.</w:t>
      </w:r>
    </w:p>
    <w:p>
      <w:pPr>
        <w:pStyle w:val="PromptText"/>
        <w:keepNext w:val="0"/>
        <w:spacing w:before="0" w:after="40"/>
        <w:shd w:fill="F4F6F9"/>
        <w:pBdr>
          <w:left w:val="single" w:sz="18" w:space="8" w:color="FF6900"/>
        </w:pBdr>
      </w:pPr>
      <w:r>
        <w:rPr>
          <w:rFonts w:ascii="Consolas" w:hAnsi="Consolas"/>
          <w:color w:val="111827"/>
          <w:sz w:val="18"/>
        </w:rPr>
        <w:t>7. Warning signs of lifecycle drift: overdue or incomplete proof tests, proof-test intervals that no longer match the verification, unexplained bypasses, outdated SRS or loop documents, untraceable logic versions and open assessment findings.</w:t>
      </w:r>
    </w:p>
    <w:p>
      <w:pPr>
        <w:pStyle w:val="PromptText"/>
        <w:keepNext w:val="0"/>
        <w:spacing w:before="0" w:after="40"/>
        <w:shd w:fill="F4F6F9"/>
        <w:pBdr>
          <w:left w:val="single" w:sz="18" w:space="8" w:color="FF6900"/>
        </w:pBdr>
      </w:pPr>
      <w:r>
        <w:rPr>
          <w:rFonts w:ascii="Consolas" w:hAnsi="Consolas"/>
          <w:color w:val="111827"/>
          <w:sz w:val="18"/>
        </w:rPr>
        <w:t>8. The edition caution in the source article: do not describe an all-parts series pack as a new technical edition and do not infer the adopted SANS edition from a year label without checking the current catalogue and project basis.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Keep the discussion practical, technically careful and conversational. Use examples only to clarify the evidence chain; do not invent plant data, failure rates, proof-test coverage or legal conclusions.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say or imply that:</w:t>
      </w:r>
    </w:p>
    <w:p>
      <w:pPr>
        <w:pStyle w:val="PromptText"/>
        <w:keepNext w:val="0"/>
        <w:spacing w:before="0" w:after="40"/>
        <w:shd w:fill="F4F6F9"/>
        <w:pBdr>
          <w:left w:val="single" w:sz="18" w:space="8" w:color="FF6900"/>
        </w:pBdr>
      </w:pPr>
      <w:r>
        <w:rPr>
          <w:rFonts w:ascii="Consolas" w:hAnsi="Consolas"/>
          <w:color w:val="111827"/>
          <w:sz w:val="18"/>
        </w:rPr>
        <w:t>- IEC 61511 is South African law or automatically proves compliance;</w:t>
      </w:r>
    </w:p>
    <w:p>
      <w:pPr>
        <w:pStyle w:val="PromptText"/>
        <w:keepNext w:val="0"/>
        <w:spacing w:before="0" w:after="40"/>
        <w:shd w:fill="F4F6F9"/>
        <w:pBdr>
          <w:left w:val="single" w:sz="18" w:space="8" w:color="FF6900"/>
        </w:pBdr>
      </w:pPr>
      <w:r>
        <w:rPr>
          <w:rFonts w:ascii="Consolas" w:hAnsi="Consolas"/>
          <w:color w:val="111827"/>
          <w:sz w:val="18"/>
        </w:rPr>
        <w:t>- a SIL-capable sensor, logic solver or valve makes the complete SIF compliant;</w:t>
      </w:r>
    </w:p>
    <w:p>
      <w:pPr>
        <w:pStyle w:val="PromptText"/>
        <w:keepNext w:val="0"/>
        <w:spacing w:before="0" w:after="40"/>
        <w:shd w:fill="F4F6F9"/>
        <w:pBdr>
          <w:left w:val="single" w:sz="18" w:space="8" w:color="FF6900"/>
        </w:pBdr>
      </w:pPr>
      <w:r>
        <w:rPr>
          <w:rFonts w:ascii="Consolas" w:hAnsi="Consolas"/>
          <w:color w:val="111827"/>
          <w:sz w:val="18"/>
        </w:rPr>
        <w:t>- SIL 3 simply means ten times safer than SIL 2;</w:t>
      </w:r>
    </w:p>
    <w:p>
      <w:pPr>
        <w:pStyle w:val="PromptText"/>
        <w:keepNext w:val="0"/>
        <w:spacing w:before="0" w:after="40"/>
        <w:shd w:fill="F4F6F9"/>
        <w:pBdr>
          <w:left w:val="single" w:sz="18" w:space="8" w:color="FF6900"/>
        </w:pBdr>
      </w:pPr>
      <w:r>
        <w:rPr>
          <w:rFonts w:ascii="Consolas" w:hAnsi="Consolas"/>
          <w:color w:val="111827"/>
          <w:sz w:val="18"/>
        </w:rPr>
        <w:t>- calibration, routine maintenance and proof testing are interchangeable;</w:t>
      </w:r>
    </w:p>
    <w:p>
      <w:pPr>
        <w:pStyle w:val="PromptText"/>
        <w:keepNext w:val="0"/>
        <w:spacing w:before="0" w:after="40"/>
        <w:shd w:fill="F4F6F9"/>
        <w:pBdr>
          <w:left w:val="single" w:sz="18" w:space="8" w:color="FF6900"/>
        </w:pBdr>
      </w:pPr>
      <w:r>
        <w:rPr>
          <w:rFonts w:ascii="Consolas" w:hAnsi="Consolas"/>
          <w:color w:val="111827"/>
          <w:sz w:val="18"/>
        </w:rPr>
        <w:t>- validation ends the lifecycle obligation;</w:t>
      </w:r>
    </w:p>
    <w:p>
      <w:pPr>
        <w:pStyle w:val="PromptText"/>
        <w:keepNext w:val="0"/>
        <w:spacing w:before="0" w:after="40"/>
        <w:shd w:fill="F4F6F9"/>
        <w:pBdr>
          <w:left w:val="single" w:sz="18" w:space="8" w:color="FF6900"/>
        </w:pBdr>
      </w:pPr>
      <w:r>
        <w:rPr>
          <w:rFonts w:ascii="Consolas" w:hAnsi="Consolas"/>
          <w:color w:val="111827"/>
          <w:sz w:val="18"/>
        </w:rPr>
        <w:t>- a document pack guarantees the function will work;</w:t>
      </w:r>
    </w:p>
    <w:p>
      <w:pPr>
        <w:pStyle w:val="PromptText"/>
        <w:keepNext w:val="0"/>
        <w:spacing w:before="0" w:after="40"/>
        <w:shd w:fill="F4F6F9"/>
        <w:pBdr>
          <w:left w:val="single" w:sz="18" w:space="8" w:color="FF6900"/>
        </w:pBdr>
      </w:pPr>
      <w:r>
        <w:rPr>
          <w:rFonts w:ascii="Consolas" w:hAnsi="Consolas"/>
          <w:color w:val="111827"/>
          <w:sz w:val="18"/>
        </w:rPr>
        <w:t>- Touch Techniques Engineering is an approved inspection authority, SANAS-accredited inspection body, SIS certification body or legal-compliance authority.</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invent legal duties, standard clauses, failure-rate data, proof-test intervals or assessment independence.</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End with this exact practical question:</w:t>
      </w:r>
    </w:p>
    <w:p>
      <w:pPr>
        <w:pStyle w:val="PromptText"/>
        <w:keepNext w:val="0"/>
        <w:spacing w:before="0" w:after="40"/>
        <w:shd w:fill="F4F6F9"/>
        <w:pBdr>
          <w:left w:val="single" w:sz="18" w:space="8" w:color="FF6900"/>
        </w:pBdr>
      </w:pPr>
      <w:r>
        <w:rPr>
          <w:rFonts w:ascii="Consolas" w:hAnsi="Consolas"/>
          <w:color w:val="111827"/>
          <w:sz w:val="18"/>
        </w:rPr>
        <w:t>Can your team trace each SIF from the hazard and risk decision through the SRS, design, validation, proof testing, bypass control and management of change - and show that today's operating evidence still matches the assumptions behind the SIL claim?</w:t>
      </w:r>
    </w:p>
    <w:p>
      <w:r>
        <w:br w:type="page"/>
      </w:r>
    </w:p>
    <w:p>
      <w:pPr>
        <w:spacing w:before="0" w:after="80"/>
      </w:pPr>
      <w:r>
        <w:rPr>
          <w:rFonts w:ascii="Calibri" w:hAnsi="Calibri"/>
          <w:b/>
          <w:caps/>
          <w:color w:val="FF6900"/>
          <w:sz w:val="18"/>
        </w:rPr>
        <w:t>PROMPT 03  |  NEXT PRODUCTION PROMPT</w:t>
      </w:r>
    </w:p>
    <w:p>
      <w:pPr>
        <w:pStyle w:val="Heading1"/>
      </w:pPr>
      <w:r>
        <w:t>Hazardous Area Classification in Southern Africa</w:t>
      </w:r>
    </w:p>
    <w:p>
      <w:pPr>
        <w:spacing w:after="80"/>
      </w:pPr>
      <w:r>
        <w:rPr>
          <w:rFonts w:ascii="Calibri" w:hAnsi="Calibri"/>
          <w:b/>
          <w:color w:val="1A2B4C"/>
        </w:rPr>
        <w:t xml:space="preserve">Article: </w:t>
      </w:r>
      <w:r>
        <w:rPr>
          <w:rFonts w:ascii="Calibri" w:hAnsi="Calibri"/>
          <w:color w:val="111827"/>
        </w:rPr>
        <w:t>https://www.touchteq.co.za/insights/hazardous-area-classification-southern-africa</w:t>
      </w:r>
    </w:p>
    <w:p>
      <w:pPr>
        <w:spacing w:after="80"/>
      </w:pPr>
      <w:r>
        <w:rPr>
          <w:rFonts w:ascii="Calibri" w:hAnsi="Calibri"/>
          <w:b/>
          <w:color w:val="1A2B4C"/>
        </w:rPr>
        <w:t xml:space="preserve">Suggested player title: </w:t>
      </w:r>
      <w:r>
        <w:rPr>
          <w:rFonts w:ascii="Calibri" w:hAnsi="Calibri"/>
          <w:color w:val="111827"/>
        </w:rPr>
        <w:t>What a hazardous-area drawing proves - and what it does not</w:t>
      </w:r>
    </w:p>
    <w:p>
      <w:pPr>
        <w:spacing w:after="80"/>
      </w:pPr>
      <w:r>
        <w:rPr>
          <w:rFonts w:ascii="Calibri" w:hAnsi="Calibri"/>
          <w:b/>
          <w:color w:val="1A2B4C"/>
        </w:rPr>
        <w:t xml:space="preserve">Suggested MP3 filename: </w:t>
      </w:r>
      <w:r>
        <w:rPr>
          <w:rFonts w:ascii="Calibri" w:hAnsi="Calibri"/>
          <w:color w:val="111827"/>
        </w:rPr>
        <w:t>hazardous-area-classification-southern-africa-deep-dive.mp3</w:t>
      </w:r>
    </w:p>
    <w:p>
      <w:pPr>
        <w:spacing w:after="80"/>
      </w:pPr>
      <w:r>
        <w:rPr>
          <w:rFonts w:ascii="Calibri" w:hAnsi="Calibri"/>
          <w:b/>
          <w:color w:val="1A2B4C"/>
        </w:rPr>
        <w:t xml:space="preserve">Suggested player description: </w:t>
      </w:r>
      <w:r>
        <w:rPr>
          <w:rFonts w:ascii="Calibri" w:hAnsi="Calibri"/>
          <w:color w:val="111827"/>
        </w:rPr>
        <w:t>A two-host explanation of zones, study inputs, equipment evidence and why South African surface, mining and regional acceptance routes must remain distinct.</w:t>
      </w:r>
    </w:p>
    <w:p>
      <w:pPr>
        <w:pStyle w:val="Heading2"/>
      </w:pPr>
      <w:r>
        <w:t>Central question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EPISODE ANCHOR</w:t>
            </w:r>
          </w:p>
          <w:p>
            <w:pPr>
              <w:spacing w:after="0" w:line="288" w:lineRule="auto"/>
            </w:pPr>
            <w:r>
              <w:rPr>
                <w:rFonts w:ascii="Calibri" w:hAnsi="Calibri"/>
                <w:b/>
                <w:color w:val="1A2B4C"/>
                <w:sz w:val="21"/>
              </w:rPr>
              <w:t>What does hazardous area classification establish - and what separate evidence is still needed before equipment and an installation can be accepted?</w:t>
            </w:r>
          </w:p>
        </w:tc>
      </w:tr>
    </w:tbl>
    <w:p>
      <w:pPr>
        <w:spacing w:after="0"/>
      </w:pPr>
    </w:p>
    <w:p>
      <w:pPr>
        <w:pStyle w:val="Heading2"/>
      </w:pPr>
      <w:r>
        <w:t>Pronunciation guidance</w:t>
      </w:r>
    </w:p>
    <w:p>
      <w:pPr>
        <w:spacing w:after="160"/>
      </w:pPr>
      <w:r>
        <w:t>Say IEC as 'I E C', IECEx as 'I E C Ex', ATEX as 'A Tex', IA as 'I A', EPL as 'E P L', and Ex as 'E X' when clarity matters.</w:t>
      </w:r>
    </w:p>
    <w:p>
      <w:pPr>
        <w:pStyle w:val="Heading2"/>
      </w:pPr>
      <w:r>
        <w:t>Hard boundaries for this episode</w:t>
      </w:r>
    </w:p>
    <w:p>
      <w:pPr>
        <w:pStyle w:val="ListBullet"/>
        <w:spacing w:after="80" w:line="300" w:lineRule="auto"/>
        <w:ind w:left="540" w:hanging="271"/>
      </w:pPr>
      <w:r>
        <w:rPr>
          <w:rFonts w:ascii="Calibri" w:hAnsi="Calibri"/>
          <w:color w:val="111827"/>
          <w:sz w:val="22"/>
        </w:rPr>
        <w:t>Do not say Zone 2 is basically safe or that zones describe consequence.</w:t>
      </w:r>
    </w:p>
    <w:p>
      <w:pPr>
        <w:pStyle w:val="ListBullet"/>
        <w:spacing w:after="80" w:line="300" w:lineRule="auto"/>
        <w:ind w:left="540" w:hanging="271"/>
      </w:pPr>
      <w:r>
        <w:rPr>
          <w:rFonts w:ascii="Calibri" w:hAnsi="Calibri"/>
          <w:color w:val="111827"/>
          <w:sz w:val="22"/>
        </w:rPr>
        <w:t>Do not present the common hour bands as the normative zone definitions.</w:t>
      </w:r>
    </w:p>
    <w:p>
      <w:pPr>
        <w:pStyle w:val="ListBullet"/>
        <w:spacing w:after="80" w:line="300" w:lineRule="auto"/>
        <w:ind w:left="540" w:hanging="271"/>
      </w:pPr>
      <w:r>
        <w:rPr>
          <w:rFonts w:ascii="Calibri" w:hAnsi="Calibri"/>
          <w:color w:val="111827"/>
          <w:sz w:val="22"/>
        </w:rPr>
        <w:t>Do not say an IECEx or ATEX certificate alone completes the South African acceptance route.</w:t>
      </w:r>
    </w:p>
    <w:p>
      <w:pPr>
        <w:pStyle w:val="ListBullet"/>
        <w:spacing w:after="80" w:line="300" w:lineRule="auto"/>
        <w:ind w:left="540" w:hanging="271"/>
      </w:pPr>
      <w:r>
        <w:rPr>
          <w:rFonts w:ascii="Calibri" w:hAnsi="Calibri"/>
          <w:color w:val="111827"/>
          <w:sz w:val="22"/>
        </w:rPr>
        <w:t>Do not say a zone drawing certifies products or proves correct installation.</w:t>
      </w:r>
    </w:p>
    <w:p>
      <w:pPr>
        <w:pStyle w:val="ListBullet"/>
        <w:spacing w:after="80" w:line="300" w:lineRule="auto"/>
        <w:ind w:left="540" w:hanging="271"/>
      </w:pPr>
      <w:r>
        <w:rPr>
          <w:rFonts w:ascii="Calibri" w:hAnsi="Calibri"/>
          <w:color w:val="111827"/>
          <w:sz w:val="22"/>
        </w:rPr>
        <w:t>Do not silently substitute a newer IEC dust edition for the project-specified SANS edition.</w:t>
      </w:r>
    </w:p>
    <w:p>
      <w:pPr>
        <w:pStyle w:val="ListBullet"/>
        <w:spacing w:after="80" w:line="300" w:lineRule="auto"/>
        <w:ind w:left="540" w:hanging="271"/>
      </w:pPr>
      <w:r>
        <w:rPr>
          <w:rFonts w:ascii="Calibri" w:hAnsi="Calibri"/>
          <w:color w:val="111827"/>
          <w:sz w:val="22"/>
        </w:rPr>
        <w:t>Do not apply the South African surface-industry route universally to mines or neighbouring countries.</w:t>
      </w:r>
    </w:p>
    <w:p>
      <w:pPr>
        <w:pStyle w:val="Heading2"/>
      </w:pPr>
      <w:r>
        <w:t>Ready-to-paste LLM prompt</w:t>
      </w:r>
    </w:p>
    <w:p>
      <w:pPr>
        <w:spacing w:after="160"/>
      </w:pPr>
      <w:r>
        <w:t>Paste this entire block into the audio customisation field. Do not remove the 'do not say' section or the exact closing question.</w:t>
      </w:r>
    </w:p>
    <w:p>
      <w:pPr>
        <w:pStyle w:val="PromptText"/>
        <w:keepNext w:val="0"/>
        <w:spacing w:before="0" w:after="40"/>
        <w:shd w:fill="F4F6F9"/>
        <w:pBdr>
          <w:left w:val="single" w:sz="18" w:space="8" w:color="FF6900"/>
        </w:pBdr>
      </w:pPr>
      <w:r>
        <w:rPr>
          <w:rFonts w:ascii="Consolas" w:hAnsi="Consolas"/>
          <w:color w:val="111827"/>
          <w:sz w:val="18"/>
        </w:rPr>
        <w:t>Create a short, focused two-host audio deep dive for industrial plant, electrical, maintenance, project and safety teams working in Southern Africa.</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Use "Touch Techniques Engineering" as the publisher. Say IEC as "I E C", IECEx as "I E C Ex", IA as "I A", EPL as "E P L" and Ex as "E X" where needed for clarity. Keep the discussion to approximately 5-8 minutes, if the format allows.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Focus on one central question: What does hazardous area classification establish - and what separate evidence is still needed before equipment and an installation can be accepted?</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Structure the discussion around:</w:t>
      </w:r>
    </w:p>
    <w:p>
      <w:pPr>
        <w:pStyle w:val="PromptText"/>
        <w:keepNext w:val="0"/>
        <w:spacing w:before="0" w:after="40"/>
        <w:shd w:fill="F4F6F9"/>
        <w:pBdr>
          <w:left w:val="single" w:sz="18" w:space="8" w:color="FF6900"/>
        </w:pBdr>
      </w:pPr>
      <w:r>
        <w:rPr>
          <w:rFonts w:ascii="Consolas" w:hAnsi="Consolas"/>
          <w:color w:val="111827"/>
          <w:sz w:val="18"/>
        </w:rPr>
        <w:t>1. The exact decision made by classification: where an explosive atmosphere may occur, whether it involves gas, vapour, mist or combustible dust, and the three-dimensional zone extent under a documented operating basis.</w:t>
      </w:r>
    </w:p>
    <w:p>
      <w:pPr>
        <w:pStyle w:val="PromptText"/>
        <w:keepNext w:val="0"/>
        <w:spacing w:before="0" w:after="40"/>
        <w:shd w:fill="F4F6F9"/>
        <w:pBdr>
          <w:left w:val="single" w:sz="18" w:space="8" w:color="FF6900"/>
        </w:pBdr>
      </w:pPr>
      <w:r>
        <w:rPr>
          <w:rFonts w:ascii="Consolas" w:hAnsi="Consolas"/>
          <w:color w:val="111827"/>
          <w:sz w:val="18"/>
        </w:rPr>
        <w:t>2. The evidence chain that follows classification. Keep classification, equipment suitability and certification, installation design, inspection, maintenance and legal acceptance as separate but connected decisions.</w:t>
      </w:r>
    </w:p>
    <w:p>
      <w:pPr>
        <w:pStyle w:val="PromptText"/>
        <w:keepNext w:val="0"/>
        <w:spacing w:before="0" w:after="40"/>
        <w:shd w:fill="F4F6F9"/>
        <w:pBdr>
          <w:left w:val="single" w:sz="18" w:space="8" w:color="FF6900"/>
        </w:pBdr>
      </w:pPr>
      <w:r>
        <w:rPr>
          <w:rFonts w:ascii="Consolas" w:hAnsi="Consolas"/>
          <w:color w:val="111827"/>
          <w:sz w:val="18"/>
        </w:rPr>
        <w:t>3. Gas zones 0, 1 and 2 versus dust zones 20, 21 and 22. Explain that zones express likelihood and duration, not consequence, and that the common hour bands are explanatory shorthand rather than the normative definitions.</w:t>
      </w:r>
    </w:p>
    <w:p>
      <w:pPr>
        <w:pStyle w:val="PromptText"/>
        <w:keepNext w:val="0"/>
        <w:spacing w:before="0" w:after="40"/>
        <w:shd w:fill="F4F6F9"/>
        <w:pBdr>
          <w:left w:val="single" w:sz="18" w:space="8" w:color="FF6900"/>
        </w:pBdr>
      </w:pPr>
      <w:r>
        <w:rPr>
          <w:rFonts w:ascii="Consolas" w:hAnsi="Consolas"/>
          <w:color w:val="111827"/>
          <w:sz w:val="18"/>
        </w:rPr>
        <w:t>4. The study inputs needed for a credible result: substances, release sources and parameters, normal and abnormal operating modes, ventilation, pits and obstructions, drawings, equipment history and multidisciplinary plant knowledge.</w:t>
      </w:r>
    </w:p>
    <w:p>
      <w:pPr>
        <w:pStyle w:val="PromptText"/>
        <w:keepNext w:val="0"/>
        <w:spacing w:before="0" w:after="40"/>
        <w:shd w:fill="F4F6F9"/>
        <w:pBdr>
          <w:left w:val="single" w:sz="18" w:space="8" w:color="FF6900"/>
        </w:pBdr>
      </w:pPr>
      <w:r>
        <w:rPr>
          <w:rFonts w:ascii="Consolas" w:hAnsi="Consolas"/>
          <w:color w:val="111827"/>
          <w:sz w:val="18"/>
        </w:rPr>
        <w:t>5. How the zone requirement carries into equipment selection: zone and EPL, gas or dust group, temperature class or maximum surface temperature, protection concept, complete marking, certificate schedule and special conditions.</w:t>
      </w:r>
    </w:p>
    <w:p>
      <w:pPr>
        <w:pStyle w:val="PromptText"/>
        <w:keepNext w:val="0"/>
        <w:spacing w:before="0" w:after="40"/>
        <w:shd w:fill="F4F6F9"/>
        <w:pBdr>
          <w:left w:val="single" w:sz="18" w:space="8" w:color="FF6900"/>
        </w:pBdr>
      </w:pPr>
      <w:r>
        <w:rPr>
          <w:rFonts w:ascii="Consolas" w:hAnsi="Consolas"/>
          <w:color w:val="111827"/>
          <w:sz w:val="18"/>
        </w:rPr>
        <w:t>6. The South African surface-industry route described in the source article, including the need to confirm the applicable IA certificate path, installation evidence and recurring inspection obligations. Explain that IECEx or ATEX evidence can support a route but should not be presented as automatic local acceptance.</w:t>
      </w:r>
    </w:p>
    <w:p>
      <w:pPr>
        <w:pStyle w:val="PromptText"/>
        <w:keepNext w:val="0"/>
        <w:spacing w:before="0" w:after="40"/>
        <w:shd w:fill="F4F6F9"/>
        <w:pBdr>
          <w:left w:val="single" w:sz="18" w:space="8" w:color="FF6900"/>
        </w:pBdr>
      </w:pPr>
      <w:r>
        <w:rPr>
          <w:rFonts w:ascii="Consolas" w:hAnsi="Consolas"/>
          <w:color w:val="111827"/>
          <w:sz w:val="18"/>
        </w:rPr>
        <w:t>7. Why mining and neighbouring Southern African jurisdictions require separate checks. IEC terminology may travel, but legislation, sector rules, certification, accreditation and enforcement do not travel automatically.</w:t>
      </w:r>
    </w:p>
    <w:p>
      <w:pPr>
        <w:pStyle w:val="PromptText"/>
        <w:keepNext w:val="0"/>
        <w:spacing w:before="0" w:after="40"/>
        <w:shd w:fill="F4F6F9"/>
        <w:pBdr>
          <w:left w:val="single" w:sz="18" w:space="8" w:color="FF6900"/>
        </w:pBdr>
      </w:pPr>
      <w:r>
        <w:rPr>
          <w:rFonts w:ascii="Consolas" w:hAnsi="Consolas"/>
          <w:color w:val="111827"/>
          <w:sz w:val="18"/>
        </w:rPr>
        <w:t>8. Why management of change must reopen the classification when substances, operating envelopes, releases, ventilation, layout, dust conditions, equipment or governing requirements change.</w:t>
      </w:r>
    </w:p>
    <w:p>
      <w:pPr>
        <w:pStyle w:val="PromptText"/>
        <w:keepNext w:val="0"/>
        <w:spacing w:before="0" w:after="40"/>
        <w:shd w:fill="F4F6F9"/>
        <w:pBdr>
          <w:left w:val="single" w:sz="18" w:space="8" w:color="FF6900"/>
        </w:pBdr>
      </w:pPr>
      <w:r>
        <w:rPr>
          <w:rFonts w:ascii="Consolas" w:hAnsi="Consolas"/>
          <w:color w:val="111827"/>
          <w:sz w:val="18"/>
        </w:rPr>
        <w:t>9. Edition control: state the project and legal basis explicitly and do not silently substitute a newer IEC edition for a published or contractually specified SANS edition.</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Keep the conversation practical, precise and evidence-led. Use the installed site and current controlled documents as the decision basis. Do not turn illustrative equipment marking into a universal selection recipe.</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say or imply that:</w:t>
      </w:r>
    </w:p>
    <w:p>
      <w:pPr>
        <w:pStyle w:val="PromptText"/>
        <w:keepNext w:val="0"/>
        <w:spacing w:before="0" w:after="40"/>
        <w:shd w:fill="F4F6F9"/>
        <w:pBdr>
          <w:left w:val="single" w:sz="18" w:space="8" w:color="FF6900"/>
        </w:pBdr>
      </w:pPr>
      <w:r>
        <w:rPr>
          <w:rFonts w:ascii="Consolas" w:hAnsi="Consolas"/>
          <w:color w:val="111827"/>
          <w:sz w:val="18"/>
        </w:rPr>
        <w:t>- Zone 2 is unclassified or basically safe;</w:t>
      </w:r>
    </w:p>
    <w:p>
      <w:pPr>
        <w:pStyle w:val="PromptText"/>
        <w:keepNext w:val="0"/>
        <w:spacing w:before="0" w:after="40"/>
        <w:shd w:fill="F4F6F9"/>
        <w:pBdr>
          <w:left w:val="single" w:sz="18" w:space="8" w:color="FF6900"/>
        </w:pBdr>
      </w:pPr>
      <w:r>
        <w:rPr>
          <w:rFonts w:ascii="Consolas" w:hAnsi="Consolas"/>
          <w:color w:val="111827"/>
          <w:sz w:val="18"/>
        </w:rPr>
        <w:t>- the 1,000-hour or 10-hour shorthand determines a zone by itself;</w:t>
      </w:r>
    </w:p>
    <w:p>
      <w:pPr>
        <w:pStyle w:val="PromptText"/>
        <w:keepNext w:val="0"/>
        <w:spacing w:before="0" w:after="40"/>
        <w:shd w:fill="F4F6F9"/>
        <w:pBdr>
          <w:left w:val="single" w:sz="18" w:space="8" w:color="FF6900"/>
        </w:pBdr>
      </w:pPr>
      <w:r>
        <w:rPr>
          <w:rFonts w:ascii="Consolas" w:hAnsi="Consolas"/>
          <w:color w:val="111827"/>
          <w:sz w:val="18"/>
        </w:rPr>
        <w:t>- a hazardous-area drawing certifies equipment or proves the installation complies;</w:t>
      </w:r>
    </w:p>
    <w:p>
      <w:pPr>
        <w:pStyle w:val="PromptText"/>
        <w:keepNext w:val="0"/>
        <w:spacing w:before="0" w:after="40"/>
        <w:shd w:fill="F4F6F9"/>
        <w:pBdr>
          <w:left w:val="single" w:sz="18" w:space="8" w:color="FF6900"/>
        </w:pBdr>
      </w:pPr>
      <w:r>
        <w:rPr>
          <w:rFonts w:ascii="Consolas" w:hAnsi="Consolas"/>
          <w:color w:val="111827"/>
          <w:sz w:val="18"/>
        </w:rPr>
        <w:t>- IECEx or ATEX documentation alone completes the South African acceptance route;</w:t>
      </w:r>
    </w:p>
    <w:p>
      <w:pPr>
        <w:pStyle w:val="PromptText"/>
        <w:keepNext w:val="0"/>
        <w:spacing w:before="0" w:after="40"/>
        <w:shd w:fill="F4F6F9"/>
        <w:pBdr>
          <w:left w:val="single" w:sz="18" w:space="8" w:color="FF6900"/>
        </w:pBdr>
      </w:pPr>
      <w:r>
        <w:rPr>
          <w:rFonts w:ascii="Consolas" w:hAnsi="Consolas"/>
          <w:color w:val="111827"/>
          <w:sz w:val="18"/>
        </w:rPr>
        <w:t>- one classification report works forever, across all Southern African countries or for both surface plants and mines;</w:t>
      </w:r>
    </w:p>
    <w:p>
      <w:pPr>
        <w:pStyle w:val="PromptText"/>
        <w:keepNext w:val="0"/>
        <w:spacing w:before="0" w:after="40"/>
        <w:shd w:fill="F4F6F9"/>
        <w:pBdr>
          <w:left w:val="single" w:sz="18" w:space="8" w:color="FF6900"/>
        </w:pBdr>
      </w:pPr>
      <w:r>
        <w:rPr>
          <w:rFonts w:ascii="Consolas" w:hAnsi="Consolas"/>
          <w:color w:val="111827"/>
          <w:sz w:val="18"/>
        </w:rPr>
        <w:t>- Touch Techniques Engineering is SANAS-accredited, an approved inspection authority, approved test laboratory or product-certification body.</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invent certificate status, jurisdictional requirements, zone extents, substance data or competent-person conclusions.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End with this exact practical question:</w:t>
      </w:r>
    </w:p>
    <w:p>
      <w:pPr>
        <w:pStyle w:val="PromptText"/>
        <w:keepNext w:val="0"/>
        <w:spacing w:before="0" w:after="40"/>
        <w:shd w:fill="F4F6F9"/>
        <w:pBdr>
          <w:left w:val="single" w:sz="18" w:space="8" w:color="FF6900"/>
        </w:pBdr>
      </w:pPr>
      <w:r>
        <w:rPr>
          <w:rFonts w:ascii="Consolas" w:hAnsi="Consolas"/>
          <w:color w:val="111827"/>
          <w:sz w:val="18"/>
        </w:rPr>
        <w:t>Can your team trace every zone boundary to the substance, release source, ventilation assumption and operating case - and then trace each installed item through suitable marking, certificate conditions, installation evidence and change control?</w:t>
      </w:r>
    </w:p>
    <w:p>
      <w:r>
        <w:br w:type="page"/>
      </w:r>
    </w:p>
    <w:p>
      <w:pPr>
        <w:spacing w:before="0" w:after="80"/>
      </w:pPr>
      <w:r>
        <w:rPr>
          <w:rFonts w:ascii="Calibri" w:hAnsi="Calibri"/>
          <w:b/>
          <w:caps/>
          <w:color w:val="FF6900"/>
          <w:sz w:val="18"/>
        </w:rPr>
        <w:t>PROMPT 04  |  NEXT PRODUCTION PROMPT</w:t>
      </w:r>
    </w:p>
    <w:p>
      <w:pPr>
        <w:pStyle w:val="Heading1"/>
      </w:pPr>
      <w:r>
        <w:t>HAZOP vs SIL Assessment</w:t>
      </w:r>
    </w:p>
    <w:p>
      <w:pPr>
        <w:spacing w:after="80"/>
      </w:pPr>
      <w:r>
        <w:rPr>
          <w:rFonts w:ascii="Calibri" w:hAnsi="Calibri"/>
          <w:b/>
          <w:color w:val="1A2B4C"/>
        </w:rPr>
        <w:t xml:space="preserve">Article: </w:t>
      </w:r>
      <w:r>
        <w:rPr>
          <w:rFonts w:ascii="Calibri" w:hAnsi="Calibri"/>
          <w:color w:val="111827"/>
        </w:rPr>
        <w:t>https://www.touchteq.co.za/insights/sil-assessment-vs-hazop</w:t>
      </w:r>
    </w:p>
    <w:p>
      <w:pPr>
        <w:spacing w:after="80"/>
      </w:pPr>
      <w:r>
        <w:rPr>
          <w:rFonts w:ascii="Calibri" w:hAnsi="Calibri"/>
          <w:b/>
          <w:color w:val="1A2B4C"/>
        </w:rPr>
        <w:t xml:space="preserve">Suggested player title: </w:t>
      </w:r>
      <w:r>
        <w:rPr>
          <w:rFonts w:ascii="Calibri" w:hAnsi="Calibri"/>
          <w:color w:val="111827"/>
        </w:rPr>
        <w:t>Where HAZOP ends and SIL determination begins</w:t>
      </w:r>
    </w:p>
    <w:p>
      <w:pPr>
        <w:spacing w:after="80"/>
      </w:pPr>
      <w:r>
        <w:rPr>
          <w:rFonts w:ascii="Calibri" w:hAnsi="Calibri"/>
          <w:b/>
          <w:color w:val="1A2B4C"/>
        </w:rPr>
        <w:t xml:space="preserve">Suggested MP3 filename: </w:t>
      </w:r>
      <w:r>
        <w:rPr>
          <w:rFonts w:ascii="Calibri" w:hAnsi="Calibri"/>
          <w:color w:val="111827"/>
        </w:rPr>
        <w:t>sil-assessment-vs-hazop-deep-dive.mp3</w:t>
      </w:r>
    </w:p>
    <w:p>
      <w:pPr>
        <w:spacing w:after="80"/>
      </w:pPr>
      <w:r>
        <w:rPr>
          <w:rFonts w:ascii="Calibri" w:hAnsi="Calibri"/>
          <w:b/>
          <w:color w:val="1A2B4C"/>
        </w:rPr>
        <w:t xml:space="preserve">Suggested player description: </w:t>
      </w:r>
      <w:r>
        <w:rPr>
          <w:rFonts w:ascii="Calibri" w:hAnsi="Calibri"/>
          <w:color w:val="111827"/>
        </w:rPr>
        <w:t>A practical discussion about the different questions answered by HAZOP and SIL determination, and the evidence needed to connect them through the safety lifecycle.</w:t>
      </w:r>
    </w:p>
    <w:p>
      <w:pPr>
        <w:pStyle w:val="Heading2"/>
      </w:pPr>
      <w:r>
        <w:t>Central question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EPISODE ANCHOR</w:t>
            </w:r>
          </w:p>
          <w:p>
            <w:pPr>
              <w:spacing w:after="0" w:line="288" w:lineRule="auto"/>
            </w:pPr>
            <w:r>
              <w:rPr>
                <w:rFonts w:ascii="Calibri" w:hAnsi="Calibri"/>
                <w:b/>
                <w:color w:val="1A2B4C"/>
                <w:sz w:val="21"/>
              </w:rPr>
              <w:t>When a hazard is identified, which decision belongs to HAZOP, which belongs to SIL determination, and what evidence must connect the two?</w:t>
            </w:r>
          </w:p>
        </w:tc>
      </w:tr>
    </w:tbl>
    <w:p>
      <w:pPr>
        <w:spacing w:after="0"/>
      </w:pPr>
    </w:p>
    <w:p>
      <w:pPr>
        <w:pStyle w:val="Heading2"/>
      </w:pPr>
      <w:r>
        <w:t>Pronunciation guidance</w:t>
      </w:r>
    </w:p>
    <w:p>
      <w:pPr>
        <w:spacing w:after="160"/>
      </w:pPr>
      <w:r>
        <w:t>Say HAZOP naturally, LOPA as 'low-pa', SIF as 'sif', SIL as 'sil', SIS as 'sis', SRS as 'S R S', MHI as 'M H I' and AIA as 'A I A'.</w:t>
      </w:r>
    </w:p>
    <w:p>
      <w:pPr>
        <w:pStyle w:val="Heading2"/>
      </w:pPr>
      <w:r>
        <w:t>Hard boundaries for this episode</w:t>
      </w:r>
    </w:p>
    <w:p>
      <w:pPr>
        <w:pStyle w:val="ListBullet"/>
        <w:spacing w:after="80" w:line="300" w:lineRule="auto"/>
        <w:ind w:left="540" w:hanging="271"/>
      </w:pPr>
      <w:r>
        <w:rPr>
          <w:rFonts w:ascii="Calibri" w:hAnsi="Calibri"/>
          <w:color w:val="111827"/>
          <w:sz w:val="22"/>
        </w:rPr>
        <w:t>Do not say HAZOP and SIL determination are the same workshop or produce the same output.</w:t>
      </w:r>
    </w:p>
    <w:p>
      <w:pPr>
        <w:pStyle w:val="ListBullet"/>
        <w:spacing w:after="80" w:line="300" w:lineRule="auto"/>
        <w:ind w:left="540" w:hanging="271"/>
      </w:pPr>
      <w:r>
        <w:rPr>
          <w:rFonts w:ascii="Calibri" w:hAnsi="Calibri"/>
          <w:color w:val="111827"/>
          <w:sz w:val="22"/>
        </w:rPr>
        <w:t>Do not say every HAZOP recommendation becomes a SIF.</w:t>
      </w:r>
    </w:p>
    <w:p>
      <w:pPr>
        <w:pStyle w:val="ListBullet"/>
        <w:spacing w:after="80" w:line="300" w:lineRule="auto"/>
        <w:ind w:left="540" w:hanging="271"/>
      </w:pPr>
      <w:r>
        <w:rPr>
          <w:rFonts w:ascii="Calibri" w:hAnsi="Calibri"/>
          <w:color w:val="111827"/>
          <w:sz w:val="22"/>
        </w:rPr>
        <w:t>Do not credit every safeguard as an independent protection layer.</w:t>
      </w:r>
    </w:p>
    <w:p>
      <w:pPr>
        <w:pStyle w:val="ListBullet"/>
        <w:spacing w:after="80" w:line="300" w:lineRule="auto"/>
        <w:ind w:left="540" w:hanging="271"/>
      </w:pPr>
      <w:r>
        <w:rPr>
          <w:rFonts w:ascii="Calibri" w:hAnsi="Calibri"/>
          <w:color w:val="111827"/>
          <w:sz w:val="22"/>
        </w:rPr>
        <w:t>Do not say a SIL-capable device makes the complete function SIL 2 or SIL 3.</w:t>
      </w:r>
    </w:p>
    <w:p>
      <w:pPr>
        <w:pStyle w:val="ListBullet"/>
        <w:spacing w:after="80" w:line="300" w:lineRule="auto"/>
        <w:ind w:left="540" w:hanging="271"/>
      </w:pPr>
      <w:r>
        <w:rPr>
          <w:rFonts w:ascii="Calibri" w:hAnsi="Calibri"/>
          <w:color w:val="111827"/>
          <w:sz w:val="22"/>
        </w:rPr>
        <w:t>Do not treat target SIL as proof that design, verification, validation or compliance is complete.</w:t>
      </w:r>
    </w:p>
    <w:p>
      <w:pPr>
        <w:pStyle w:val="ListBullet"/>
        <w:spacing w:after="80" w:line="300" w:lineRule="auto"/>
        <w:ind w:left="540" w:hanging="271"/>
      </w:pPr>
      <w:r>
        <w:rPr>
          <w:rFonts w:ascii="Calibri" w:hAnsi="Calibri"/>
          <w:color w:val="111827"/>
          <w:sz w:val="22"/>
        </w:rPr>
        <w:t>Do not present HAZOP or IEC 61511 work as a substitute for the regulated SANS 1461/AIA route when it applies.</w:t>
      </w:r>
    </w:p>
    <w:p>
      <w:pPr>
        <w:pStyle w:val="Heading2"/>
      </w:pPr>
      <w:r>
        <w:t>Ready-to-paste LLM prompt</w:t>
      </w:r>
    </w:p>
    <w:p>
      <w:pPr>
        <w:spacing w:after="160"/>
      </w:pPr>
      <w:r>
        <w:t>Paste this entire block into the audio customisation field. Do not remove the 'do not say' section or the exact closing question.</w:t>
      </w:r>
    </w:p>
    <w:p>
      <w:pPr>
        <w:pStyle w:val="PromptText"/>
        <w:keepNext w:val="0"/>
        <w:spacing w:before="0" w:after="40"/>
        <w:shd w:fill="F4F6F9"/>
        <w:pBdr>
          <w:left w:val="single" w:sz="18" w:space="8" w:color="FF6900"/>
        </w:pBdr>
      </w:pPr>
      <w:r>
        <w:rPr>
          <w:rFonts w:ascii="Consolas" w:hAnsi="Consolas"/>
          <w:color w:val="111827"/>
          <w:sz w:val="18"/>
        </w:rPr>
        <w:t>Create a short, focused two-host audio deep dive for process, operations, engineering, maintenance and safety teams.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Use "Touch Techniques Engineering" as the publisher. Say HAZOP naturally, LOPA as "low-pa", SRS as "S R S", MHI as "M H I" and AIA as "A I A". Keep the discussion to approximately 5-8 minutes, if the format allows.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Focus on one central question: When a hazard is identified, which decision belongs to HAZOP, which belongs to SIL determination, and what evidence must connect the two?</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Structure the discussion around:</w:t>
      </w:r>
    </w:p>
    <w:p>
      <w:pPr>
        <w:pStyle w:val="PromptText"/>
        <w:keepNext w:val="0"/>
        <w:spacing w:before="0" w:after="40"/>
        <w:shd w:fill="F4F6F9"/>
        <w:pBdr>
          <w:left w:val="single" w:sz="18" w:space="8" w:color="FF6900"/>
        </w:pBdr>
      </w:pPr>
      <w:r>
        <w:rPr>
          <w:rFonts w:ascii="Consolas" w:hAnsi="Consolas"/>
          <w:color w:val="111827"/>
          <w:sz w:val="18"/>
        </w:rPr>
        <w:t>1. The different questions. HAZOP asks what can go wrong with the process or operation. SIL determination asks how much risk reduction a required safety instrumented function must provide for a defined scenario.</w:t>
      </w:r>
    </w:p>
    <w:p>
      <w:pPr>
        <w:pStyle w:val="PromptText"/>
        <w:keepNext w:val="0"/>
        <w:spacing w:before="0" w:after="40"/>
        <w:shd w:fill="F4F6F9"/>
        <w:pBdr>
          <w:left w:val="single" w:sz="18" w:space="8" w:color="FF6900"/>
        </w:pBdr>
      </w:pPr>
      <w:r>
        <w:rPr>
          <w:rFonts w:ascii="Consolas" w:hAnsi="Consolas"/>
          <w:color w:val="111827"/>
          <w:sz w:val="18"/>
        </w:rPr>
        <w:t>2. The different outputs. HAZOP produces a structured record of deviations, causes, consequences, safeguards, recommendations and actions. SIL determination produces a documented target for each required SIF using an agreed method and stated assumptions.</w:t>
      </w:r>
    </w:p>
    <w:p>
      <w:pPr>
        <w:pStyle w:val="PromptText"/>
        <w:keepNext w:val="0"/>
        <w:spacing w:before="0" w:after="40"/>
        <w:shd w:fill="F4F6F9"/>
        <w:pBdr>
          <w:left w:val="single" w:sz="18" w:space="8" w:color="FF6900"/>
        </w:pBdr>
      </w:pPr>
      <w:r>
        <w:rPr>
          <w:rFonts w:ascii="Consolas" w:hAnsi="Consolas"/>
          <w:color w:val="111827"/>
          <w:sz w:val="18"/>
        </w:rPr>
        <w:t>3. Why a HAZOP recommendation does not automatically become a SIF. The response may be inherently safer design, mechanical protection, a control change, an operating action or further analysis.</w:t>
      </w:r>
    </w:p>
    <w:p>
      <w:pPr>
        <w:pStyle w:val="PromptText"/>
        <w:keepNext w:val="0"/>
        <w:spacing w:before="0" w:after="40"/>
        <w:shd w:fill="F4F6F9"/>
        <w:pBdr>
          <w:left w:val="single" w:sz="18" w:space="8" w:color="FF6900"/>
        </w:pBdr>
      </w:pPr>
      <w:r>
        <w:rPr>
          <w:rFonts w:ascii="Consolas" w:hAnsi="Consolas"/>
          <w:color w:val="111827"/>
          <w:sz w:val="18"/>
        </w:rPr>
        <w:t>4. The lifecycle handoff: credible hazard scenario, selected cause-consequence case, SIL determination, SRS, complete SIF design, SIL verification, implementation, validation, proof testing, performance evidence and management of change.</w:t>
      </w:r>
    </w:p>
    <w:p>
      <w:pPr>
        <w:pStyle w:val="PromptText"/>
        <w:keepNext w:val="0"/>
        <w:spacing w:before="0" w:after="40"/>
        <w:shd w:fill="F4F6F9"/>
        <w:pBdr>
          <w:left w:val="single" w:sz="18" w:space="8" w:color="FF6900"/>
        </w:pBdr>
      </w:pPr>
      <w:r>
        <w:rPr>
          <w:rFonts w:ascii="Consolas" w:hAnsi="Consolas"/>
          <w:color w:val="111827"/>
          <w:sz w:val="18"/>
        </w:rPr>
        <w:t>5. The role of LOPA or another approved method. Explain that only a protection layer that is specific, independent, dependable and auditable should receive credit. Do not invent initiating frequencies, layer credits or tolerable-risk criteria.</w:t>
      </w:r>
    </w:p>
    <w:p>
      <w:pPr>
        <w:pStyle w:val="PromptText"/>
        <w:keepNext w:val="0"/>
        <w:spacing w:before="0" w:after="40"/>
        <w:shd w:fill="F4F6F9"/>
        <w:pBdr>
          <w:left w:val="single" w:sz="18" w:space="8" w:color="FF6900"/>
        </w:pBdr>
      </w:pPr>
      <w:r>
        <w:rPr>
          <w:rFonts w:ascii="Consolas" w:hAnsi="Consolas"/>
          <w:color w:val="111827"/>
          <w:sz w:val="18"/>
        </w:rPr>
        <w:t>6. The complete SIF: sensor subsystem, logic solver and final-element subsystem. Explain that target and achieved integrity belong to the full function and its lifecycle assumptions, not to one certified device.</w:t>
      </w:r>
    </w:p>
    <w:p>
      <w:pPr>
        <w:pStyle w:val="PromptText"/>
        <w:keepNext w:val="0"/>
        <w:spacing w:before="0" w:after="40"/>
        <w:shd w:fill="F4F6F9"/>
        <w:pBdr>
          <w:left w:val="single" w:sz="18" w:space="8" w:color="FF6900"/>
        </w:pBdr>
      </w:pPr>
      <w:r>
        <w:rPr>
          <w:rFonts w:ascii="Consolas" w:hAnsi="Consolas"/>
          <w:color w:val="111827"/>
          <w:sz w:val="18"/>
        </w:rPr>
        <w:t>7. The difference between SIL determination, the SRS, SIL verification, SIS validation and a functional safety assessment. One activity must not be presented as proof that all later activities are complete.</w:t>
      </w:r>
    </w:p>
    <w:p>
      <w:pPr>
        <w:pStyle w:val="PromptText"/>
        <w:keepNext w:val="0"/>
        <w:spacing w:before="0" w:after="40"/>
        <w:shd w:fill="F4F6F9"/>
        <w:pBdr>
          <w:left w:val="single" w:sz="18" w:space="8" w:color="FF6900"/>
        </w:pBdr>
      </w:pPr>
      <w:r>
        <w:rPr>
          <w:rFonts w:ascii="Consolas" w:hAnsi="Consolas"/>
          <w:color w:val="111827"/>
          <w:sz w:val="18"/>
        </w:rPr>
        <w:t>8. The South African context. General OHS duties do not prescribe HAZOP, LOPA or SIL determination by name. For establishments in scope, the MHI Regulations create a separate AIA-led SANS 1461 risk-assessment route. Engineering studies can support evidence but do not replace regulated duties or approved-authority work.</w:t>
      </w:r>
    </w:p>
    <w:p>
      <w:pPr>
        <w:pStyle w:val="PromptText"/>
        <w:keepNext w:val="0"/>
        <w:spacing w:before="0" w:after="40"/>
        <w:shd w:fill="F4F6F9"/>
        <w:pBdr>
          <w:left w:val="single" w:sz="18" w:space="8" w:color="FF6900"/>
        </w:pBdr>
      </w:pPr>
      <w:r>
        <w:rPr>
          <w:rFonts w:ascii="Consolas" w:hAnsi="Consolas"/>
          <w:color w:val="111827"/>
          <w:sz w:val="18"/>
        </w:rPr>
        <w:t>9. The triggers for revisiting the work: process or operating change, new credible causes or consequences, modified or bypassed safeguards, proof-test or incident evidence, audit findings and applicable legal or project review triggers.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Keep the discussion practical and non-numeric. Use one simple illustrative scenario only if it helps show the handoff, and make clear that it is not a project calculation.</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say or imply that:</w:t>
      </w:r>
    </w:p>
    <w:p>
      <w:pPr>
        <w:pStyle w:val="PromptText"/>
        <w:keepNext w:val="0"/>
        <w:spacing w:before="0" w:after="40"/>
        <w:shd w:fill="F4F6F9"/>
        <w:pBdr>
          <w:left w:val="single" w:sz="18" w:space="8" w:color="FF6900"/>
        </w:pBdr>
      </w:pPr>
      <w:r>
        <w:rPr>
          <w:rFonts w:ascii="Consolas" w:hAnsi="Consolas"/>
          <w:color w:val="111827"/>
          <w:sz w:val="18"/>
        </w:rPr>
        <w:t>- HAZOP and SIL determination are the same workshop;</w:t>
      </w:r>
    </w:p>
    <w:p>
      <w:pPr>
        <w:pStyle w:val="PromptText"/>
        <w:keepNext w:val="0"/>
        <w:spacing w:before="0" w:after="40"/>
        <w:shd w:fill="F4F6F9"/>
        <w:pBdr>
          <w:left w:val="single" w:sz="18" w:space="8" w:color="FF6900"/>
        </w:pBdr>
      </w:pPr>
      <w:r>
        <w:rPr>
          <w:rFonts w:ascii="Consolas" w:hAnsi="Consolas"/>
          <w:color w:val="111827"/>
          <w:sz w:val="18"/>
        </w:rPr>
        <w:t>- every HAZOP recommendation becomes a SIF;</w:t>
      </w:r>
    </w:p>
    <w:p>
      <w:pPr>
        <w:pStyle w:val="PromptText"/>
        <w:keepNext w:val="0"/>
        <w:spacing w:before="0" w:after="40"/>
        <w:shd w:fill="F4F6F9"/>
        <w:pBdr>
          <w:left w:val="single" w:sz="18" w:space="8" w:color="FF6900"/>
        </w:pBdr>
      </w:pPr>
      <w:r>
        <w:rPr>
          <w:rFonts w:ascii="Consolas" w:hAnsi="Consolas"/>
          <w:color w:val="111827"/>
          <w:sz w:val="18"/>
        </w:rPr>
        <w:t>- every listed safeguard can be credited in LOPA;</w:t>
      </w:r>
    </w:p>
    <w:p>
      <w:pPr>
        <w:pStyle w:val="PromptText"/>
        <w:keepNext w:val="0"/>
        <w:spacing w:before="0" w:after="40"/>
        <w:shd w:fill="F4F6F9"/>
        <w:pBdr>
          <w:left w:val="single" w:sz="18" w:space="8" w:color="FF6900"/>
        </w:pBdr>
      </w:pPr>
      <w:r>
        <w:rPr>
          <w:rFonts w:ascii="Consolas" w:hAnsi="Consolas"/>
          <w:color w:val="111827"/>
          <w:sz w:val="18"/>
        </w:rPr>
        <w:t>- a SIL-capable device makes the complete function SIL 2 or SIL 3;</w:t>
      </w:r>
    </w:p>
    <w:p>
      <w:pPr>
        <w:pStyle w:val="PromptText"/>
        <w:keepNext w:val="0"/>
        <w:spacing w:before="0" w:after="40"/>
        <w:shd w:fill="F4F6F9"/>
        <w:pBdr>
          <w:left w:val="single" w:sz="18" w:space="8" w:color="FF6900"/>
        </w:pBdr>
      </w:pPr>
      <w:r>
        <w:rPr>
          <w:rFonts w:ascii="Consolas" w:hAnsi="Consolas"/>
          <w:color w:val="111827"/>
          <w:sz w:val="18"/>
        </w:rPr>
        <w:t>- assigning a target SIL completes the design or proves compliance;</w:t>
      </w:r>
    </w:p>
    <w:p>
      <w:pPr>
        <w:pStyle w:val="PromptText"/>
        <w:keepNext w:val="0"/>
        <w:spacing w:before="0" w:after="40"/>
        <w:shd w:fill="F4F6F9"/>
        <w:pBdr>
          <w:left w:val="single" w:sz="18" w:space="8" w:color="FF6900"/>
        </w:pBdr>
      </w:pPr>
      <w:r>
        <w:rPr>
          <w:rFonts w:ascii="Consolas" w:hAnsi="Consolas"/>
          <w:color w:val="111827"/>
          <w:sz w:val="18"/>
        </w:rPr>
        <w:t>- HAZOP or IEC 61511 work replaces a required SANS 1461 risk assessment or AIA role;</w:t>
      </w:r>
    </w:p>
    <w:p>
      <w:pPr>
        <w:pStyle w:val="PromptText"/>
        <w:keepNext w:val="0"/>
        <w:spacing w:before="0" w:after="40"/>
        <w:shd w:fill="F4F6F9"/>
        <w:pBdr>
          <w:left w:val="single" w:sz="18" w:space="8" w:color="FF6900"/>
        </w:pBdr>
      </w:pPr>
      <w:r>
        <w:rPr>
          <w:rFonts w:ascii="Consolas" w:hAnsi="Consolas"/>
          <w:color w:val="111827"/>
          <w:sz w:val="18"/>
        </w:rPr>
        <w:t>- Touch Techniques Engineering is an AIA, accredited certification body or independently certified functional-safety assessor.</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invent risk criteria, protection-layer credits, failure rates, proof-test intervals, legal requirements or project outcomes.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End with this exact practical question:</w:t>
      </w:r>
    </w:p>
    <w:p>
      <w:pPr>
        <w:pStyle w:val="PromptText"/>
        <w:keepNext w:val="0"/>
        <w:spacing w:before="0" w:after="40"/>
        <w:shd w:fill="F4F6F9"/>
        <w:pBdr>
          <w:left w:val="single" w:sz="18" w:space="8" w:color="FF6900"/>
        </w:pBdr>
      </w:pPr>
      <w:r>
        <w:rPr>
          <w:rFonts w:ascii="Consolas" w:hAnsi="Consolas"/>
          <w:color w:val="111827"/>
          <w:sz w:val="18"/>
        </w:rPr>
        <w:t>Can your team trace a credible hazard scenario through the risk decision, target SIL, SRS, complete SIF design, verification, validation and operating evidence - without crediting a protection layer that is not truly independent?</w:t>
      </w:r>
    </w:p>
    <w:p>
      <w:r>
        <w:br w:type="page"/>
      </w:r>
    </w:p>
    <w:p>
      <w:pPr>
        <w:spacing w:before="0" w:after="80"/>
      </w:pPr>
      <w:r>
        <w:rPr>
          <w:rFonts w:ascii="Calibri" w:hAnsi="Calibri"/>
          <w:b/>
          <w:caps/>
          <w:color w:val="FF6900"/>
          <w:sz w:val="18"/>
        </w:rPr>
        <w:t>PROMPT 05  |  NEXT PRODUCTION PROMPT</w:t>
      </w:r>
    </w:p>
    <w:p>
      <w:pPr>
        <w:pStyle w:val="Heading1"/>
      </w:pPr>
      <w:r>
        <w:t>Five Common Causes of False Alarms in Optical Flame Detectors</w:t>
      </w:r>
    </w:p>
    <w:p>
      <w:pPr>
        <w:spacing w:after="80"/>
      </w:pPr>
      <w:r>
        <w:rPr>
          <w:rFonts w:ascii="Calibri" w:hAnsi="Calibri"/>
          <w:b/>
          <w:color w:val="1A2B4C"/>
        </w:rPr>
        <w:t xml:space="preserve">Article: </w:t>
      </w:r>
      <w:r>
        <w:rPr>
          <w:rFonts w:ascii="Calibri" w:hAnsi="Calibri"/>
          <w:color w:val="111827"/>
        </w:rPr>
        <w:t>https://www.touchteq.co.za/insights/flame-detector-false-alarms</w:t>
      </w:r>
    </w:p>
    <w:p>
      <w:pPr>
        <w:spacing w:after="80"/>
      </w:pPr>
      <w:r>
        <w:rPr>
          <w:rFonts w:ascii="Calibri" w:hAnsi="Calibri"/>
          <w:b/>
          <w:color w:val="1A2B4C"/>
        </w:rPr>
        <w:t xml:space="preserve">Suggested player title: </w:t>
      </w:r>
      <w:r>
        <w:rPr>
          <w:rFonts w:ascii="Calibri" w:hAnsi="Calibri"/>
          <w:color w:val="111827"/>
        </w:rPr>
        <w:t>Before you change the flame-detector settings</w:t>
      </w:r>
    </w:p>
    <w:p>
      <w:pPr>
        <w:spacing w:after="80"/>
      </w:pPr>
      <w:r>
        <w:rPr>
          <w:rFonts w:ascii="Calibri" w:hAnsi="Calibri"/>
          <w:b/>
          <w:color w:val="1A2B4C"/>
        </w:rPr>
        <w:t xml:space="preserve">Suggested MP3 filename: </w:t>
      </w:r>
      <w:r>
        <w:rPr>
          <w:rFonts w:ascii="Calibri" w:hAnsi="Calibri"/>
          <w:color w:val="111827"/>
        </w:rPr>
        <w:t>flame-detector-false-alarms-deep-dive.mp3</w:t>
      </w:r>
    </w:p>
    <w:p>
      <w:pPr>
        <w:spacing w:after="80"/>
      </w:pPr>
      <w:r>
        <w:rPr>
          <w:rFonts w:ascii="Calibri" w:hAnsi="Calibri"/>
          <w:b/>
          <w:color w:val="1A2B4C"/>
        </w:rPr>
        <w:t xml:space="preserve">Suggested player description: </w:t>
      </w:r>
      <w:r>
        <w:rPr>
          <w:rFonts w:ascii="Calibri" w:hAnsi="Calibri"/>
          <w:color w:val="111827"/>
        </w:rPr>
        <w:t>A two-host troubleshooting discussion about optical interferents, field of view, detector technology, configuration and system-chain evidence.</w:t>
      </w:r>
    </w:p>
    <w:p>
      <w:pPr>
        <w:pStyle w:val="Heading2"/>
      </w:pPr>
      <w:r>
        <w:t>Central question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EPISODE ANCHOR</w:t>
            </w:r>
          </w:p>
          <w:p>
            <w:pPr>
              <w:spacing w:after="0" w:line="288" w:lineRule="auto"/>
            </w:pPr>
            <w:r>
              <w:rPr>
                <w:rFonts w:ascii="Calibri" w:hAnsi="Calibri"/>
                <w:b/>
                <w:color w:val="1A2B4C"/>
                <w:sz w:val="21"/>
              </w:rPr>
              <w:t>Before changing sensitivity or logic, what evidence distinguishes a real fire, an optical interferent and a fault elsewhere in the detection chain?</w:t>
            </w:r>
          </w:p>
        </w:tc>
      </w:tr>
    </w:tbl>
    <w:p>
      <w:pPr>
        <w:spacing w:after="0"/>
      </w:pPr>
    </w:p>
    <w:p>
      <w:pPr>
        <w:pStyle w:val="Heading2"/>
      </w:pPr>
      <w:r>
        <w:t>Pronunciation guidance</w:t>
      </w:r>
    </w:p>
    <w:p>
      <w:pPr>
        <w:spacing w:after="160"/>
      </w:pPr>
      <w:r>
        <w:t>Say UV as 'U V', IR as 'I R', UV/IR as 'U V I R', IR3 as 'I R three', MSIR as 'multi-spectrum I R', OEM as 'O E M', and F&amp;G as 'fire and gas'.</w:t>
      </w:r>
    </w:p>
    <w:p>
      <w:pPr>
        <w:pStyle w:val="Heading2"/>
      </w:pPr>
      <w:r>
        <w:t>Hard boundaries for this episode</w:t>
      </w:r>
    </w:p>
    <w:p>
      <w:pPr>
        <w:pStyle w:val="ListBullet"/>
        <w:spacing w:after="80" w:line="300" w:lineRule="auto"/>
        <w:ind w:left="540" w:hanging="271"/>
      </w:pPr>
      <w:r>
        <w:rPr>
          <w:rFonts w:ascii="Calibri" w:hAnsi="Calibri"/>
          <w:color w:val="111827"/>
          <w:sz w:val="22"/>
        </w:rPr>
        <w:t>Do not treat an alarm as false before the site emergency and verification procedure is followed.</w:t>
      </w:r>
    </w:p>
    <w:p>
      <w:pPr>
        <w:pStyle w:val="ListBullet"/>
        <w:spacing w:after="80" w:line="300" w:lineRule="auto"/>
        <w:ind w:left="540" w:hanging="271"/>
      </w:pPr>
      <w:r>
        <w:rPr>
          <w:rFonts w:ascii="Calibri" w:hAnsi="Calibri"/>
          <w:color w:val="111827"/>
          <w:sz w:val="22"/>
        </w:rPr>
        <w:t>Do not claim one technology is universally immune or has the fewest false alarms in every application.</w:t>
      </w:r>
    </w:p>
    <w:p>
      <w:pPr>
        <w:pStyle w:val="ListBullet"/>
        <w:spacing w:after="80" w:line="300" w:lineRule="auto"/>
        <w:ind w:left="540" w:hanging="271"/>
      </w:pPr>
      <w:r>
        <w:rPr>
          <w:rFonts w:ascii="Calibri" w:hAnsi="Calibri"/>
          <w:color w:val="111827"/>
          <w:sz w:val="22"/>
        </w:rPr>
        <w:t>Do not say a passing optical self-test proves site coverage.</w:t>
      </w:r>
    </w:p>
    <w:p>
      <w:pPr>
        <w:pStyle w:val="ListBullet"/>
        <w:spacing w:after="80" w:line="300" w:lineRule="auto"/>
        <w:ind w:left="540" w:hanging="271"/>
      </w:pPr>
      <w:r>
        <w:rPr>
          <w:rFonts w:ascii="Calibri" w:hAnsi="Calibri"/>
          <w:color w:val="111827"/>
          <w:sz w:val="22"/>
        </w:rPr>
        <w:t>Do not frame dirty optics mainly as a false-alarm issue; missed detection or fault can be the larger concern.</w:t>
      </w:r>
    </w:p>
    <w:p>
      <w:pPr>
        <w:pStyle w:val="ListBullet"/>
        <w:spacing w:after="80" w:line="300" w:lineRule="auto"/>
        <w:ind w:left="540" w:hanging="271"/>
      </w:pPr>
      <w:r>
        <w:rPr>
          <w:rFonts w:ascii="Calibri" w:hAnsi="Calibri"/>
          <w:color w:val="111827"/>
          <w:sz w:val="22"/>
        </w:rPr>
        <w:t>Do not recommend a generic test lamp, desensitising, delay changes, shielding or re-aiming without model-specific and engineering review.</w:t>
      </w:r>
    </w:p>
    <w:p>
      <w:pPr>
        <w:pStyle w:val="ListBullet"/>
        <w:spacing w:after="80" w:line="300" w:lineRule="auto"/>
        <w:ind w:left="540" w:hanging="271"/>
      </w:pPr>
      <w:r>
        <w:rPr>
          <w:rFonts w:ascii="Calibri" w:hAnsi="Calibri"/>
          <w:color w:val="111827"/>
          <w:sz w:val="22"/>
        </w:rPr>
        <w:t>Do not promise zero false alarms or a universal cleaning/test interval.</w:t>
      </w:r>
    </w:p>
    <w:p>
      <w:pPr>
        <w:pStyle w:val="Heading2"/>
      </w:pPr>
      <w:r>
        <w:t>Ready-to-paste LLM prompt</w:t>
      </w:r>
    </w:p>
    <w:p>
      <w:pPr>
        <w:spacing w:after="160"/>
      </w:pPr>
      <w:r>
        <w:t>Paste this entire block into the audio customisation field. Do not remove the 'do not say' section or the exact closing question.</w:t>
      </w:r>
    </w:p>
    <w:p>
      <w:pPr>
        <w:pStyle w:val="PromptText"/>
        <w:keepNext w:val="0"/>
        <w:spacing w:before="0" w:after="40"/>
        <w:shd w:fill="F4F6F9"/>
        <w:pBdr>
          <w:left w:val="single" w:sz="18" w:space="8" w:color="FF6900"/>
        </w:pBdr>
      </w:pPr>
      <w:r>
        <w:rPr>
          <w:rFonts w:ascii="Consolas" w:hAnsi="Consolas"/>
          <w:color w:val="111827"/>
          <w:sz w:val="18"/>
        </w:rPr>
        <w:t>Create a short, focused two-host audio deep dive for industrial fire-and-gas, maintenance, operations, engineering and safety teams.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Use "Touch Techniques Engineering" as the publisher. Say UV as "U V", IR as "I R", UV/IR as "U V I R", IR3 as "I R three", MSIR as "multi-spectrum I R" and OEM as "O E M". Keep the discussion to approximately 5-8 minutes, if the format allows.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Focus on one central question: Before changing sensitivity or logic, what evidence distinguishes a real fire, an optical interferent and a fault elsewhere in the detection chain?</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Structure the discussion around:</w:t>
      </w:r>
    </w:p>
    <w:p>
      <w:pPr>
        <w:pStyle w:val="PromptText"/>
        <w:keepNext w:val="0"/>
        <w:spacing w:before="0" w:after="40"/>
        <w:shd w:fill="F4F6F9"/>
        <w:pBdr>
          <w:left w:val="single" w:sz="18" w:space="8" w:color="FF6900"/>
        </w:pBdr>
      </w:pPr>
      <w:r>
        <w:rPr>
          <w:rFonts w:ascii="Consolas" w:hAnsi="Consolas"/>
          <w:color w:val="111827"/>
          <w:sz w:val="18"/>
        </w:rPr>
        <w:t>1. First response: treat the indication as a potential real event, follow the site emergency and verification procedure, and preserve detector, panel and process evidence before classifying the event as unwanted.</w:t>
      </w:r>
    </w:p>
    <w:p>
      <w:pPr>
        <w:pStyle w:val="PromptText"/>
        <w:keepNext w:val="0"/>
        <w:spacing w:before="0" w:after="40"/>
        <w:shd w:fill="F4F6F9"/>
        <w:pBdr>
          <w:left w:val="single" w:sz="18" w:space="8" w:color="FF6900"/>
        </w:pBdr>
      </w:pPr>
      <w:r>
        <w:rPr>
          <w:rFonts w:ascii="Consolas" w:hAnsi="Consolas"/>
          <w:color w:val="111827"/>
          <w:sz w:val="18"/>
        </w:rPr>
        <w:t>2. Why detector technology matters. Compare UV, single IR, UV/IR and IR3 or multispectrum IR at a high level: what each senses, how model-specific processing evaluates the signal and which types of optical source can challenge it. Do not claim universal immunity.</w:t>
      </w:r>
    </w:p>
    <w:p>
      <w:pPr>
        <w:pStyle w:val="PromptText"/>
        <w:keepNext w:val="0"/>
        <w:spacing w:before="0" w:after="40"/>
        <w:shd w:fill="F4F6F9"/>
        <w:pBdr>
          <w:left w:val="single" w:sz="18" w:space="8" w:color="FF6900"/>
        </w:pBdr>
      </w:pPr>
      <w:r>
        <w:rPr>
          <w:rFonts w:ascii="Consolas" w:hAnsi="Consolas"/>
          <w:color w:val="111827"/>
          <w:sz w:val="18"/>
        </w:rPr>
        <w:t>3. The five recurring cause categories, without pretending they form an authoritative universal ranking:</w:t>
      </w:r>
    </w:p>
    <w:p>
      <w:pPr>
        <w:pStyle w:val="PromptText"/>
        <w:keepNext w:val="0"/>
        <w:spacing w:before="0" w:after="40"/>
        <w:shd w:fill="F4F6F9"/>
        <w:pBdr>
          <w:left w:val="single" w:sz="18" w:space="8" w:color="FF6900"/>
        </w:pBdr>
      </w:pPr>
      <w:r>
        <w:rPr>
          <w:rFonts w:ascii="Consolas" w:hAnsi="Consolas"/>
          <w:color w:val="111827"/>
          <w:sz w:val="18"/>
        </w:rPr>
        <w:t xml:space="preserve">   - interfering radiation or a real flame signature in the field of view;</w:t>
      </w:r>
    </w:p>
    <w:p>
      <w:pPr>
        <w:pStyle w:val="PromptText"/>
        <w:keepNext w:val="0"/>
        <w:spacing w:before="0" w:after="40"/>
        <w:shd w:fill="F4F6F9"/>
        <w:pBdr>
          <w:left w:val="single" w:sz="18" w:space="8" w:color="FF6900"/>
        </w:pBdr>
      </w:pPr>
      <w:r>
        <w:rPr>
          <w:rFonts w:ascii="Consolas" w:hAnsi="Consolas"/>
          <w:color w:val="111827"/>
          <w:sz w:val="18"/>
        </w:rPr>
        <w:t xml:space="preserve">   - contaminated optics, weather or obstruction;</w:t>
      </w:r>
    </w:p>
    <w:p>
      <w:pPr>
        <w:pStyle w:val="PromptText"/>
        <w:keepNext w:val="0"/>
        <w:spacing w:before="0" w:after="40"/>
        <w:shd w:fill="F4F6F9"/>
        <w:pBdr>
          <w:left w:val="single" w:sz="18" w:space="8" w:color="FF6900"/>
        </w:pBdr>
      </w:pPr>
      <w:r>
        <w:rPr>
          <w:rFonts w:ascii="Consolas" w:hAnsi="Consolas"/>
          <w:color w:val="111827"/>
          <w:sz w:val="18"/>
        </w:rPr>
        <w:t xml:space="preserve">   - placement, orientation, vibration or mounting geometry;</w:t>
      </w:r>
    </w:p>
    <w:p>
      <w:pPr>
        <w:pStyle w:val="PromptText"/>
        <w:keepNext w:val="0"/>
        <w:spacing w:before="0" w:after="40"/>
        <w:shd w:fill="F4F6F9"/>
        <w:pBdr>
          <w:left w:val="single" w:sz="18" w:space="8" w:color="FF6900"/>
        </w:pBdr>
      </w:pPr>
      <w:r>
        <w:rPr>
          <w:rFonts w:ascii="Consolas" w:hAnsi="Consolas"/>
          <w:color w:val="111827"/>
          <w:sz w:val="18"/>
        </w:rPr>
        <w:t xml:space="preserve">   - sensitivity, verification time, voting or system logic that does not match the approved hazard basis;</w:t>
      </w:r>
    </w:p>
    <w:p>
      <w:pPr>
        <w:pStyle w:val="PromptText"/>
        <w:keepNext w:val="0"/>
        <w:spacing w:before="0" w:after="40"/>
        <w:shd w:fill="F4F6F9"/>
        <w:pBdr>
          <w:left w:val="single" w:sz="18" w:space="8" w:color="FF6900"/>
        </w:pBdr>
      </w:pPr>
      <w:r>
        <w:rPr>
          <w:rFonts w:ascii="Consolas" w:hAnsi="Consolas"/>
          <w:color w:val="111827"/>
          <w:sz w:val="18"/>
        </w:rPr>
        <w:t xml:space="preserve">   - power, wiring, communications, enclosure or input-mapping faults elsewhere in the detection chain.</w:t>
      </w:r>
    </w:p>
    <w:p>
      <w:pPr>
        <w:pStyle w:val="PromptText"/>
        <w:keepNext w:val="0"/>
        <w:spacing w:before="0" w:after="40"/>
        <w:shd w:fill="F4F6F9"/>
        <w:pBdr>
          <w:left w:val="single" w:sz="18" w:space="8" w:color="FF6900"/>
        </w:pBdr>
      </w:pPr>
      <w:r>
        <w:rPr>
          <w:rFonts w:ascii="Consolas" w:hAnsi="Consolas"/>
          <w:color w:val="111827"/>
          <w:sz w:val="18"/>
        </w:rPr>
        <w:t>4. The evidence that separates these categories: timestamps, hot-work and process logs, weather, detector local state, panel event class, diagnostics, field-of-view inspection, as-found settings, wiring evidence and recent modifications.</w:t>
      </w:r>
    </w:p>
    <w:p>
      <w:pPr>
        <w:pStyle w:val="PromptText"/>
        <w:keepNext w:val="0"/>
        <w:spacing w:before="0" w:after="40"/>
        <w:shd w:fill="F4F6F9"/>
        <w:pBdr>
          <w:left w:val="single" w:sz="18" w:space="8" w:color="FF6900"/>
        </w:pBdr>
      </w:pPr>
      <w:r>
        <w:rPr>
          <w:rFonts w:ascii="Consolas" w:hAnsi="Consolas"/>
          <w:color w:val="111827"/>
          <w:sz w:val="18"/>
        </w:rPr>
        <w:t>5. What a built-in optical or internal self-test can and cannot prove. It can support defined internal diagnostic coverage for the exact model; it does not prove the external scene, hazard geometry, atmospheric path, selected placement or complete alarm action.</w:t>
      </w:r>
    </w:p>
    <w:p>
      <w:pPr>
        <w:pStyle w:val="PromptText"/>
        <w:keepNext w:val="0"/>
        <w:spacing w:before="0" w:after="40"/>
        <w:shd w:fill="F4F6F9"/>
        <w:pBdr>
          <w:left w:val="single" w:sz="18" w:space="8" w:color="FF6900"/>
        </w:pBdr>
      </w:pPr>
      <w:r>
        <w:rPr>
          <w:rFonts w:ascii="Consolas" w:hAnsi="Consolas"/>
          <w:color w:val="111827"/>
          <w:sz w:val="18"/>
        </w:rPr>
        <w:t>6. Why every cleaning, functional test, simulator, wiring check and diagnostic step must follow the installed model's current OEM instructions and the approved site procedure. Do not assume a generic test lamp is suitable or harmless.</w:t>
      </w:r>
    </w:p>
    <w:p>
      <w:pPr>
        <w:pStyle w:val="PromptText"/>
        <w:keepNext w:val="0"/>
        <w:spacing w:before="0" w:after="40"/>
        <w:shd w:fill="F4F6F9"/>
        <w:pBdr>
          <w:left w:val="single" w:sz="18" w:space="8" w:color="FF6900"/>
        </w:pBdr>
      </w:pPr>
      <w:r>
        <w:rPr>
          <w:rFonts w:ascii="Consolas" w:hAnsi="Consolas"/>
          <w:color w:val="111827"/>
          <w:sz w:val="18"/>
        </w:rPr>
        <w:t>7. Why sensitivity, delay, voting, shielding, re-aiming and relocation are engineering changes rather than routine troubleshooting shortcuts. They may reduce detection performance or create a blind spot.</w:t>
      </w:r>
    </w:p>
    <w:p>
      <w:pPr>
        <w:pStyle w:val="PromptText"/>
        <w:keepNext w:val="0"/>
        <w:spacing w:before="0" w:after="40"/>
        <w:shd w:fill="F4F6F9"/>
        <w:pBdr>
          <w:left w:val="single" w:sz="18" w:space="8" w:color="FF6900"/>
        </w:pBdr>
      </w:pPr>
      <w:r>
        <w:rPr>
          <w:rFonts w:ascii="Consolas" w:hAnsi="Consolas"/>
          <w:color w:val="111827"/>
          <w:sz w:val="18"/>
        </w:rPr>
        <w:t>8. A safe investigation closeout: authorised testing, controlled outputs where needed, as-found and as-left records, restoration of protection and routing of design changes through management of change.</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Keep the discussion evidence-led, calm and practical. Acknowledge that the five categories remain useful across sectors while their local ranking changes with the plant environment, detector model and hazard.</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say or imply that:</w:t>
      </w:r>
    </w:p>
    <w:p>
      <w:pPr>
        <w:pStyle w:val="PromptText"/>
        <w:keepNext w:val="0"/>
        <w:spacing w:before="0" w:after="40"/>
        <w:shd w:fill="F4F6F9"/>
        <w:pBdr>
          <w:left w:val="single" w:sz="18" w:space="8" w:color="FF6900"/>
        </w:pBdr>
      </w:pPr>
      <w:r>
        <w:rPr>
          <w:rFonts w:ascii="Consolas" w:hAnsi="Consolas"/>
          <w:color w:val="111827"/>
          <w:sz w:val="18"/>
        </w:rPr>
        <w:t>- an optical alarm should be labelled false immediately;</w:t>
      </w:r>
    </w:p>
    <w:p>
      <w:pPr>
        <w:pStyle w:val="PromptText"/>
        <w:keepNext w:val="0"/>
        <w:spacing w:before="0" w:after="40"/>
        <w:shd w:fill="F4F6F9"/>
        <w:pBdr>
          <w:left w:val="single" w:sz="18" w:space="8" w:color="FF6900"/>
        </w:pBdr>
      </w:pPr>
      <w:r>
        <w:rPr>
          <w:rFonts w:ascii="Consolas" w:hAnsi="Consolas"/>
          <w:color w:val="111827"/>
          <w:sz w:val="18"/>
        </w:rPr>
        <w:t>- multispectrum detectors cannot false-alarm;</w:t>
      </w:r>
    </w:p>
    <w:p>
      <w:pPr>
        <w:pStyle w:val="PromptText"/>
        <w:keepNext w:val="0"/>
        <w:spacing w:before="0" w:after="40"/>
        <w:shd w:fill="F4F6F9"/>
        <w:pBdr>
          <w:left w:val="single" w:sz="18" w:space="8" w:color="FF6900"/>
        </w:pBdr>
      </w:pPr>
      <w:r>
        <w:rPr>
          <w:rFonts w:ascii="Consolas" w:hAnsi="Consolas"/>
          <w:color w:val="111827"/>
          <w:sz w:val="18"/>
        </w:rPr>
        <w:t>- a dirty lens is mainly a nuisance-alarm problem;</w:t>
      </w:r>
    </w:p>
    <w:p>
      <w:pPr>
        <w:pStyle w:val="PromptText"/>
        <w:keepNext w:val="0"/>
        <w:spacing w:before="0" w:after="40"/>
        <w:shd w:fill="F4F6F9"/>
        <w:pBdr>
          <w:left w:val="single" w:sz="18" w:space="8" w:color="FF6900"/>
        </w:pBdr>
      </w:pPr>
      <w:r>
        <w:rPr>
          <w:rFonts w:ascii="Consolas" w:hAnsi="Consolas"/>
          <w:color w:val="111827"/>
          <w:sz w:val="18"/>
        </w:rPr>
        <w:t>- a passing self-test proves the protected hazard is visible;</w:t>
      </w:r>
    </w:p>
    <w:p>
      <w:pPr>
        <w:pStyle w:val="PromptText"/>
        <w:keepNext w:val="0"/>
        <w:spacing w:before="0" w:after="40"/>
        <w:shd w:fill="F4F6F9"/>
        <w:pBdr>
          <w:left w:val="single" w:sz="18" w:space="8" w:color="FF6900"/>
        </w:pBdr>
      </w:pPr>
      <w:r>
        <w:rPr>
          <w:rFonts w:ascii="Consolas" w:hAnsi="Consolas"/>
          <w:color w:val="111827"/>
          <w:sz w:val="18"/>
        </w:rPr>
        <w:t>- any test lamp can be used on any detector;</w:t>
      </w:r>
    </w:p>
    <w:p>
      <w:pPr>
        <w:pStyle w:val="PromptText"/>
        <w:keepNext w:val="0"/>
        <w:spacing w:before="0" w:after="40"/>
        <w:shd w:fill="F4F6F9"/>
        <w:pBdr>
          <w:left w:val="single" w:sz="18" w:space="8" w:color="FF6900"/>
        </w:pBdr>
      </w:pPr>
      <w:r>
        <w:rPr>
          <w:rFonts w:ascii="Consolas" w:hAnsi="Consolas"/>
          <w:color w:val="111827"/>
          <w:sz w:val="18"/>
        </w:rPr>
        <w:t>- reducing sensitivity or extending delay is a harmless fix;</w:t>
      </w:r>
    </w:p>
    <w:p>
      <w:pPr>
        <w:pStyle w:val="PromptText"/>
        <w:keepNext w:val="0"/>
        <w:spacing w:before="0" w:after="40"/>
        <w:shd w:fill="F4F6F9"/>
        <w:pBdr>
          <w:left w:val="single" w:sz="18" w:space="8" w:color="FF6900"/>
        </w:pBdr>
      </w:pPr>
      <w:r>
        <w:rPr>
          <w:rFonts w:ascii="Consolas" w:hAnsi="Consolas"/>
          <w:color w:val="111827"/>
          <w:sz w:val="18"/>
        </w:rPr>
        <w:t>- a panel alarm proves the detector saw a flame;</w:t>
      </w:r>
    </w:p>
    <w:p>
      <w:pPr>
        <w:pStyle w:val="PromptText"/>
        <w:keepNext w:val="0"/>
        <w:spacing w:before="0" w:after="40"/>
        <w:shd w:fill="F4F6F9"/>
        <w:pBdr>
          <w:left w:val="single" w:sz="18" w:space="8" w:color="FF6900"/>
        </w:pBdr>
      </w:pPr>
      <w:r>
        <w:rPr>
          <w:rFonts w:ascii="Consolas" w:hAnsi="Consolas"/>
          <w:color w:val="111827"/>
          <w:sz w:val="18"/>
        </w:rPr>
        <w:t>- Touch Techniques Engineering guarantees zero false alarms, universal immunity, a detection distance or a generic maintenance interval.</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invent manufacturer instructions, detector behaviour, approved settings, event causes or site procedures.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End with this exact practical question:</w:t>
      </w:r>
    </w:p>
    <w:p>
      <w:pPr>
        <w:pStyle w:val="PromptText"/>
        <w:keepNext w:val="0"/>
        <w:spacing w:before="0" w:after="40"/>
        <w:shd w:fill="F4F6F9"/>
        <w:pBdr>
          <w:left w:val="single" w:sz="18" w:space="8" w:color="FF6900"/>
        </w:pBdr>
      </w:pPr>
      <w:r>
        <w:rPr>
          <w:rFonts w:ascii="Consolas" w:hAnsi="Consolas"/>
          <w:color w:val="111827"/>
          <w:sz w:val="18"/>
        </w:rPr>
        <w:t>Can your team preserve the event evidence, identify the exact detector technology and model, trace what the detector and system reported, inspect the field of view, and justify any corrective change against OEM instructions and the approved fire-and-gas basis?</w:t>
      </w:r>
    </w:p>
    <w:p>
      <w:r>
        <w:br w:type="page"/>
      </w:r>
    </w:p>
    <w:p>
      <w:pPr>
        <w:spacing w:before="0" w:after="80"/>
      </w:pPr>
      <w:r>
        <w:rPr>
          <w:rFonts w:ascii="Calibri" w:hAnsi="Calibri"/>
          <w:b/>
          <w:caps/>
          <w:color w:val="FF6900"/>
          <w:sz w:val="18"/>
        </w:rPr>
        <w:t>PROMPT 06  |  NEXT PRODUCTION PROMPT</w:t>
      </w:r>
    </w:p>
    <w:p>
      <w:pPr>
        <w:pStyle w:val="Heading1"/>
      </w:pPr>
      <w:r>
        <w:t>Industrial Instrument Calibration</w:t>
      </w:r>
    </w:p>
    <w:p>
      <w:pPr>
        <w:spacing w:after="80"/>
      </w:pPr>
      <w:r>
        <w:rPr>
          <w:rFonts w:ascii="Calibri" w:hAnsi="Calibri"/>
          <w:b/>
          <w:color w:val="1A2B4C"/>
        </w:rPr>
        <w:t xml:space="preserve">Article: </w:t>
      </w:r>
      <w:r>
        <w:rPr>
          <w:rFonts w:ascii="Calibri" w:hAnsi="Calibri"/>
          <w:color w:val="111827"/>
        </w:rPr>
        <w:t>https://www.touchteq.co.za/insights/industrial-instrument-calibration-process-guide</w:t>
      </w:r>
    </w:p>
    <w:p>
      <w:pPr>
        <w:spacing w:after="80"/>
      </w:pPr>
      <w:r>
        <w:rPr>
          <w:rFonts w:ascii="Calibri" w:hAnsi="Calibri"/>
          <w:b/>
          <w:color w:val="1A2B4C"/>
        </w:rPr>
        <w:t xml:space="preserve">Suggested player title: </w:t>
      </w:r>
      <w:r>
        <w:rPr>
          <w:rFonts w:ascii="Calibri" w:hAnsi="Calibri"/>
          <w:color w:val="111827"/>
        </w:rPr>
        <w:t>What a calibration result actually proves</w:t>
      </w:r>
    </w:p>
    <w:p>
      <w:pPr>
        <w:spacing w:after="80"/>
      </w:pPr>
      <w:r>
        <w:rPr>
          <w:rFonts w:ascii="Calibri" w:hAnsi="Calibri"/>
          <w:b/>
          <w:color w:val="1A2B4C"/>
        </w:rPr>
        <w:t xml:space="preserve">Suggested MP3 filename: </w:t>
      </w:r>
      <w:r>
        <w:rPr>
          <w:rFonts w:ascii="Calibri" w:hAnsi="Calibri"/>
          <w:color w:val="111827"/>
        </w:rPr>
        <w:t>industrial-instrument-calibration-process-guide-deep-dive.mp3</w:t>
      </w:r>
    </w:p>
    <w:p>
      <w:pPr>
        <w:spacing w:after="80"/>
      </w:pPr>
      <w:r>
        <w:rPr>
          <w:rFonts w:ascii="Calibri" w:hAnsi="Calibri"/>
          <w:b/>
          <w:color w:val="1A2B4C"/>
        </w:rPr>
        <w:t xml:space="preserve">Suggested player description: </w:t>
      </w:r>
      <w:r>
        <w:rPr>
          <w:rFonts w:ascii="Calibri" w:hAnsi="Calibri"/>
          <w:color w:val="111827"/>
        </w:rPr>
        <w:t>A practical discussion about calibration scope, measurement methods, ultrasonic suitability, records and the boundaries between calibration, traceability, accreditation and legal verification.</w:t>
      </w:r>
    </w:p>
    <w:p>
      <w:pPr>
        <w:pStyle w:val="Heading2"/>
      </w:pPr>
      <w:r>
        <w:t>Central question</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EPISODE ANCHOR</w:t>
            </w:r>
          </w:p>
          <w:p>
            <w:pPr>
              <w:spacing w:after="0" w:line="288" w:lineRule="auto"/>
            </w:pPr>
            <w:r>
              <w:rPr>
                <w:rFonts w:ascii="Calibri" w:hAnsi="Calibri"/>
                <w:b/>
                <w:color w:val="1A2B4C"/>
                <w:sz w:val="21"/>
              </w:rPr>
              <w:t>What does a calibration result actually prove - and what must be agreed before a plant can use that result for a decision?</w:t>
            </w:r>
          </w:p>
        </w:tc>
      </w:tr>
    </w:tbl>
    <w:p>
      <w:pPr>
        <w:spacing w:after="0"/>
      </w:pPr>
    </w:p>
    <w:p>
      <w:pPr>
        <w:pStyle w:val="Heading2"/>
      </w:pPr>
      <w:r>
        <w:t>Pronunciation guidance</w:t>
      </w:r>
    </w:p>
    <w:p>
      <w:pPr>
        <w:spacing w:after="160"/>
      </w:pPr>
      <w:r>
        <w:t>Say RTD as 'R T D', ISO as 'I S O', IEC as 'I E C', ISO/IEC 17025 as 'I S O slash I E C seventeen oh twenty-five', SANAS naturally, and NMISA as 'N M I S A'.</w:t>
      </w:r>
    </w:p>
    <w:p>
      <w:pPr>
        <w:pStyle w:val="Heading2"/>
      </w:pPr>
      <w:r>
        <w:t>Hard boundaries for this episode</w:t>
      </w:r>
    </w:p>
    <w:p>
      <w:pPr>
        <w:pStyle w:val="ListBullet"/>
        <w:spacing w:after="80" w:line="300" w:lineRule="auto"/>
        <w:ind w:left="540" w:hanging="271"/>
      </w:pPr>
      <w:r>
        <w:rPr>
          <w:rFonts w:ascii="Calibri" w:hAnsi="Calibri"/>
          <w:color w:val="111827"/>
          <w:sz w:val="22"/>
        </w:rPr>
        <w:t>Do not claim SANAS accreditation, ISO/IEC 17025-accredited results, metrological traceability, legal verification, fixed ranges or stated uncertainties for Touch Teqniques.</w:t>
      </w:r>
    </w:p>
    <w:p>
      <w:pPr>
        <w:pStyle w:val="ListBullet"/>
        <w:spacing w:after="80" w:line="300" w:lineRule="auto"/>
        <w:ind w:left="540" w:hanging="271"/>
      </w:pPr>
      <w:r>
        <w:rPr>
          <w:rFonts w:ascii="Calibri" w:hAnsi="Calibri"/>
          <w:color w:val="111827"/>
          <w:sz w:val="22"/>
        </w:rPr>
        <w:t>Do not say owning a calibrator makes every result traceable or establishes a service range.</w:t>
      </w:r>
    </w:p>
    <w:p>
      <w:pPr>
        <w:pStyle w:val="ListBullet"/>
        <w:spacing w:after="80" w:line="300" w:lineRule="auto"/>
        <w:ind w:left="540" w:hanging="271"/>
      </w:pPr>
      <w:r>
        <w:rPr>
          <w:rFonts w:ascii="Calibri" w:hAnsi="Calibri"/>
          <w:color w:val="111827"/>
          <w:sz w:val="22"/>
        </w:rPr>
        <w:t>Do not say calibration automatically adjusts or repairs an instrument.</w:t>
      </w:r>
    </w:p>
    <w:p>
      <w:pPr>
        <w:pStyle w:val="ListBullet"/>
        <w:spacing w:after="80" w:line="300" w:lineRule="auto"/>
        <w:ind w:left="540" w:hanging="271"/>
      </w:pPr>
      <w:r>
        <w:rPr>
          <w:rFonts w:ascii="Calibri" w:hAnsi="Calibri"/>
          <w:color w:val="111827"/>
          <w:sz w:val="22"/>
        </w:rPr>
        <w:t>Do not say annual calibration is a universal rule.</w:t>
      </w:r>
    </w:p>
    <w:p>
      <w:pPr>
        <w:pStyle w:val="ListBullet"/>
        <w:spacing w:after="80" w:line="300" w:lineRule="auto"/>
        <w:ind w:left="540" w:hanging="271"/>
      </w:pPr>
      <w:r>
        <w:rPr>
          <w:rFonts w:ascii="Calibri" w:hAnsi="Calibri"/>
          <w:color w:val="111827"/>
          <w:sz w:val="22"/>
        </w:rPr>
        <w:t>Do not promise clamp-on ultrasonic measurement for every liquid, slurry, pipe or legal-for-trade application.</w:t>
      </w:r>
    </w:p>
    <w:p>
      <w:pPr>
        <w:pStyle w:val="ListBullet"/>
        <w:spacing w:after="80" w:line="300" w:lineRule="auto"/>
        <w:ind w:left="540" w:hanging="271"/>
      </w:pPr>
      <w:r>
        <w:rPr>
          <w:rFonts w:ascii="Calibri" w:hAnsi="Calibri"/>
          <w:color w:val="111827"/>
          <w:sz w:val="22"/>
        </w:rPr>
        <w:t>Do not describe calibration as proof that a whole control or safety function works unless that broader test is separately scoped.</w:t>
      </w:r>
    </w:p>
    <w:p>
      <w:pPr>
        <w:pStyle w:val="Heading2"/>
      </w:pPr>
      <w:r>
        <w:t>Ready-to-paste LLM prompt</w:t>
      </w:r>
    </w:p>
    <w:p>
      <w:pPr>
        <w:spacing w:after="160"/>
      </w:pPr>
      <w:r>
        <w:t>Paste this entire block into the audio customisation field. Do not remove the 'do not say' section or the exact closing question.</w:t>
      </w:r>
    </w:p>
    <w:p>
      <w:pPr>
        <w:pStyle w:val="PromptText"/>
        <w:keepNext w:val="0"/>
        <w:spacing w:before="0" w:after="40"/>
        <w:shd w:fill="F4F6F9"/>
        <w:pBdr>
          <w:left w:val="single" w:sz="18" w:space="8" w:color="FF6900"/>
        </w:pBdr>
      </w:pPr>
      <w:r>
        <w:rPr>
          <w:rFonts w:ascii="Consolas" w:hAnsi="Consolas"/>
          <w:color w:val="111827"/>
          <w:sz w:val="18"/>
        </w:rPr>
        <w:t>Create a short, focused two-host audio deep dive for industrial plant, maintenance, reliability, quality and engineering teams.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Use "Touch Techniques Engineering" as the publisher. Say RTD as "R T D", ISO as "I S O", IEC as "I E C" and ISO/IEC 17025 as "I S O slash I E C seventeen oh twenty-five". Keep the discussion to approximately 5-8 minutes, if the format allows.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Focus on one central question: What does a calibration result actually prove - and what must be agreed before a plant can use that result for a decision?</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Structure the discussion around:</w:t>
      </w:r>
    </w:p>
    <w:p>
      <w:pPr>
        <w:pStyle w:val="PromptText"/>
        <w:keepNext w:val="0"/>
        <w:spacing w:before="0" w:after="40"/>
        <w:shd w:fill="F4F6F9"/>
        <w:pBdr>
          <w:left w:val="single" w:sz="18" w:space="8" w:color="FF6900"/>
        </w:pBdr>
      </w:pPr>
      <w:r>
        <w:rPr>
          <w:rFonts w:ascii="Consolas" w:hAnsi="Consolas"/>
          <w:color w:val="111827"/>
          <w:sz w:val="18"/>
        </w:rPr>
        <w:t>1. The precise calibration question: under agreed conditions and test points, how did the instrument indication compare with the applicable reference? Explain that a stable display can hide drift.</w:t>
      </w:r>
    </w:p>
    <w:p>
      <w:pPr>
        <w:pStyle w:val="PromptText"/>
        <w:keepNext w:val="0"/>
        <w:spacing w:before="0" w:after="40"/>
        <w:shd w:fill="F4F6F9"/>
        <w:pBdr>
          <w:left w:val="single" w:sz="18" w:space="8" w:color="FF6900"/>
        </w:pBdr>
      </w:pPr>
      <w:r>
        <w:rPr>
          <w:rFonts w:ascii="Consolas" w:hAnsi="Consolas"/>
          <w:color w:val="111827"/>
          <w:sz w:val="18"/>
        </w:rPr>
        <w:t>2. The three-step scope-led process: define the instruments and decision; confirm method, access, isolation, test points, reference equipment, acceptance criteria and reporting; then measure, record and hand over the result.</w:t>
      </w:r>
    </w:p>
    <w:p>
      <w:pPr>
        <w:pStyle w:val="PromptText"/>
        <w:keepNext w:val="0"/>
        <w:spacing w:before="0" w:after="40"/>
        <w:shd w:fill="F4F6F9"/>
        <w:pBdr>
          <w:left w:val="single" w:sz="18" w:space="8" w:color="FF6900"/>
        </w:pBdr>
      </w:pPr>
      <w:r>
        <w:rPr>
          <w:rFonts w:ascii="Consolas" w:hAnsi="Consolas"/>
          <w:color w:val="111827"/>
          <w:sz w:val="18"/>
        </w:rPr>
        <w:t>3. Why pressure, temperature and flow need different methods. Mention gauges, transmitters and switches; RTDs, thermocouples, probes and transmitters; and installed meters or flow loops without inventing published ranges or uncertainties.</w:t>
      </w:r>
    </w:p>
    <w:p>
      <w:pPr>
        <w:pStyle w:val="PromptText"/>
        <w:keepNext w:val="0"/>
        <w:spacing w:before="0" w:after="40"/>
        <w:shd w:fill="F4F6F9"/>
        <w:pBdr>
          <w:left w:val="single" w:sz="18" w:space="8" w:color="FF6900"/>
        </w:pBdr>
      </w:pPr>
      <w:r>
        <w:rPr>
          <w:rFonts w:ascii="Consolas" w:hAnsi="Consolas"/>
          <w:color w:val="111827"/>
          <w:sz w:val="18"/>
        </w:rPr>
        <w:t>4. The limits of clamp-on ultrasonic flow measurement. Its value is non-invasive temporary measurement without cutting the pipe, but suitability depends on pipe material and condition, dimensions, liner, fluid, solids or aeration, temperature, straight run, flow profile, fill condition and the exact instrument configuration.</w:t>
      </w:r>
    </w:p>
    <w:p>
      <w:pPr>
        <w:pStyle w:val="PromptText"/>
        <w:keepNext w:val="0"/>
        <w:spacing w:before="0" w:after="40"/>
        <w:shd w:fill="F4F6F9"/>
        <w:pBdr>
          <w:left w:val="single" w:sz="18" w:space="8" w:color="FF6900"/>
        </w:pBdr>
      </w:pPr>
      <w:r>
        <w:rPr>
          <w:rFonts w:ascii="Consolas" w:hAnsi="Consolas"/>
          <w:color w:val="111827"/>
          <w:sz w:val="18"/>
        </w:rPr>
        <w:t>5. Why annual calibration is a common starting point rather than a universal rule. The interval should reflect criticality, tolerance, environment, usage, previous as-found results, drift and events such as overload, impact or repair.</w:t>
      </w:r>
    </w:p>
    <w:p>
      <w:pPr>
        <w:pStyle w:val="PromptText"/>
        <w:keepNext w:val="0"/>
        <w:spacing w:before="0" w:after="40"/>
        <w:shd w:fill="F4F6F9"/>
        <w:pBdr>
          <w:left w:val="single" w:sz="18" w:space="8" w:color="FF6900"/>
        </w:pBdr>
      </w:pPr>
      <w:r>
        <w:rPr>
          <w:rFonts w:ascii="Consolas" w:hAnsi="Consolas"/>
          <w:color w:val="111827"/>
          <w:sz w:val="18"/>
        </w:rPr>
        <w:t>6. What belongs in a useful handover record: instrument identity, test points and units, method and reference equipment, readings and deviation, as-found and separately agreed as-left results, conditions, limitations and follow-up.</w:t>
      </w:r>
    </w:p>
    <w:p>
      <w:pPr>
        <w:pStyle w:val="PromptText"/>
        <w:keepNext w:val="0"/>
        <w:spacing w:before="0" w:after="40"/>
        <w:shd w:fill="F4F6F9"/>
        <w:pBdr>
          <w:left w:val="single" w:sz="18" w:space="8" w:color="FF6900"/>
        </w:pBdr>
      </w:pPr>
      <w:r>
        <w:rPr>
          <w:rFonts w:ascii="Consolas" w:hAnsi="Consolas"/>
          <w:color w:val="111827"/>
          <w:sz w:val="18"/>
        </w:rPr>
        <w:t>7. The distinction between calibration, adjustment and repair. Calibration measures and records; adjustment changes the response; repair restores a fault. Keep the as-found condition visible and scope later work separately.</w:t>
      </w:r>
    </w:p>
    <w:p>
      <w:pPr>
        <w:pStyle w:val="PromptText"/>
        <w:keepNext w:val="0"/>
        <w:spacing w:before="0" w:after="40"/>
        <w:shd w:fill="F4F6F9"/>
        <w:pBdr>
          <w:left w:val="single" w:sz="18" w:space="8" w:color="FF6900"/>
        </w:pBdr>
      </w:pPr>
      <w:r>
        <w:rPr>
          <w:rFonts w:ascii="Consolas" w:hAnsi="Consolas"/>
          <w:color w:val="111827"/>
          <w:sz w:val="18"/>
        </w:rPr>
        <w:t>8. The difference between metrological traceability, ISO/IEC 17025 accreditation and legal-for-trade verification. Traceability is a property of a measurement result and requires a documented unbroken chain with uncertainty contributions. Accreditation applies to a defined organisation and scope. Industrial calibration or check-metering does not automatically confer legal-for-trade status.</w:t>
      </w:r>
    </w:p>
    <w:p>
      <w:pPr>
        <w:pStyle w:val="PromptText"/>
        <w:keepNext w:val="0"/>
        <w:spacing w:before="0" w:after="40"/>
        <w:shd w:fill="F4F6F9"/>
        <w:pBdr>
          <w:left w:val="single" w:sz="18" w:space="8" w:color="FF6900"/>
        </w:pBdr>
      </w:pPr>
      <w:r>
        <w:rPr>
          <w:rFonts w:ascii="Consolas" w:hAnsi="Consolas"/>
          <w:color w:val="111827"/>
          <w:sz w:val="18"/>
        </w:rPr>
        <w:t>9. Equipment ownership versus capability. Purchased pressure and temperature tools support a developing service, but ownership alone does not establish a published range, uncertainty, traceability or accredited result.</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Keep the discussion practical, careful and scope-led. Use "suitable applications" and "confirmed during scoping" where exact capability depends on the instrument, process or evidence.</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say or imply that:</w:t>
      </w:r>
    </w:p>
    <w:p>
      <w:pPr>
        <w:pStyle w:val="PromptText"/>
        <w:keepNext w:val="0"/>
        <w:spacing w:before="0" w:after="40"/>
        <w:shd w:fill="F4F6F9"/>
        <w:pBdr>
          <w:left w:val="single" w:sz="18" w:space="8" w:color="FF6900"/>
        </w:pBdr>
      </w:pPr>
      <w:r>
        <w:rPr>
          <w:rFonts w:ascii="Consolas" w:hAnsi="Consolas"/>
          <w:color w:val="111827"/>
          <w:sz w:val="18"/>
        </w:rPr>
        <w:t>- Touch Techniques Engineering is SANAS-accredited or provides ISO/IEC 17025-accredited results;</w:t>
      </w:r>
    </w:p>
    <w:p>
      <w:pPr>
        <w:pStyle w:val="PromptText"/>
        <w:keepNext w:val="0"/>
        <w:spacing w:before="0" w:after="40"/>
        <w:shd w:fill="F4F6F9"/>
        <w:pBdr>
          <w:left w:val="single" w:sz="18" w:space="8" w:color="FF6900"/>
        </w:pBdr>
      </w:pPr>
      <w:r>
        <w:rPr>
          <w:rFonts w:ascii="Consolas" w:hAnsi="Consolas"/>
          <w:color w:val="111827"/>
          <w:sz w:val="18"/>
        </w:rPr>
        <w:t>- owning a calibrator makes every later result traceable;</w:t>
      </w:r>
    </w:p>
    <w:p>
      <w:pPr>
        <w:pStyle w:val="PromptText"/>
        <w:keepNext w:val="0"/>
        <w:spacing w:before="0" w:after="40"/>
        <w:shd w:fill="F4F6F9"/>
        <w:pBdr>
          <w:left w:val="single" w:sz="18" w:space="8" w:color="FF6900"/>
        </w:pBdr>
      </w:pPr>
      <w:r>
        <w:rPr>
          <w:rFonts w:ascii="Consolas" w:hAnsi="Consolas"/>
          <w:color w:val="111827"/>
          <w:sz w:val="18"/>
        </w:rPr>
        <w:t>- fixed service ranges or uncertainties have been published;</w:t>
      </w:r>
    </w:p>
    <w:p>
      <w:pPr>
        <w:pStyle w:val="PromptText"/>
        <w:keepNext w:val="0"/>
        <w:spacing w:before="0" w:after="40"/>
        <w:shd w:fill="F4F6F9"/>
        <w:pBdr>
          <w:left w:val="single" w:sz="18" w:space="8" w:color="FF6900"/>
        </w:pBdr>
      </w:pPr>
      <w:r>
        <w:rPr>
          <w:rFonts w:ascii="Consolas" w:hAnsi="Consolas"/>
          <w:color w:val="111827"/>
          <w:sz w:val="18"/>
        </w:rPr>
        <w:t>- calibration automatically adjusts, repairs or proves the complete control or safety loop;</w:t>
      </w:r>
    </w:p>
    <w:p>
      <w:pPr>
        <w:pStyle w:val="PromptText"/>
        <w:keepNext w:val="0"/>
        <w:spacing w:before="0" w:after="40"/>
        <w:shd w:fill="F4F6F9"/>
        <w:pBdr>
          <w:left w:val="single" w:sz="18" w:space="8" w:color="FF6900"/>
        </w:pBdr>
      </w:pPr>
      <w:r>
        <w:rPr>
          <w:rFonts w:ascii="Consolas" w:hAnsi="Consolas"/>
          <w:color w:val="111827"/>
          <w:sz w:val="18"/>
        </w:rPr>
        <w:t>- annual calibration is mandatory for every instrument;</w:t>
      </w:r>
    </w:p>
    <w:p>
      <w:pPr>
        <w:pStyle w:val="PromptText"/>
        <w:keepNext w:val="0"/>
        <w:spacing w:before="0" w:after="40"/>
        <w:shd w:fill="F4F6F9"/>
        <w:pBdr>
          <w:left w:val="single" w:sz="18" w:space="8" w:color="FF6900"/>
        </w:pBdr>
      </w:pPr>
      <w:r>
        <w:rPr>
          <w:rFonts w:ascii="Consolas" w:hAnsi="Consolas"/>
          <w:color w:val="111827"/>
          <w:sz w:val="18"/>
        </w:rPr>
        <w:t>- clamp-on ultrasonic measurement is suitable for every clean liquid, slurry, pipe or custody-transfer duty;</w:t>
      </w:r>
    </w:p>
    <w:p>
      <w:pPr>
        <w:pStyle w:val="PromptText"/>
        <w:keepNext w:val="0"/>
        <w:spacing w:before="0" w:after="40"/>
        <w:shd w:fill="F4F6F9"/>
        <w:pBdr>
          <w:left w:val="single" w:sz="18" w:space="8" w:color="FF6900"/>
        </w:pBdr>
      </w:pPr>
      <w:r>
        <w:rPr>
          <w:rFonts w:ascii="Consolas" w:hAnsi="Consolas"/>
          <w:color w:val="111827"/>
          <w:sz w:val="18"/>
        </w:rPr>
        <w:t>- industrial calibration automatically provides legal-for-trade status.</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Do not invent equipment specifications, uncertainty budgets, certificate formats, traceability chains, legal requirements or application suitability.</w:t>
      </w:r>
    </w:p>
    <w:p>
      <w:pPr>
        <w:pStyle w:val="PromptText"/>
        <w:keepNext w:val="0"/>
        <w:spacing w:before="0" w:after="100"/>
        <w:shd w:fill="F4F6F9"/>
        <w:pBdr>
          <w:left w:val="single" w:sz="18" w:space="8" w:color="FF6900"/>
        </w:pBdr>
      </w:pPr>
      <w:r>
        <w:rPr>
          <w:rFonts w:ascii="Consolas" w:hAnsi="Consolas"/>
          <w:color w:val="111827"/>
          <w:sz w:val="18"/>
        </w:rPr>
        <w:t xml:space="preserve"> </w:t>
      </w:r>
    </w:p>
    <w:p>
      <w:pPr>
        <w:pStyle w:val="PromptText"/>
        <w:keepNext w:val="0"/>
        <w:spacing w:before="0" w:after="40"/>
        <w:shd w:fill="F4F6F9"/>
        <w:pBdr>
          <w:left w:val="single" w:sz="18" w:space="8" w:color="FF6900"/>
        </w:pBdr>
      </w:pPr>
      <w:r>
        <w:rPr>
          <w:rFonts w:ascii="Consolas" w:hAnsi="Consolas"/>
          <w:color w:val="111827"/>
          <w:sz w:val="18"/>
        </w:rPr>
        <w:t>End with this exact practical question:</w:t>
      </w:r>
    </w:p>
    <w:p>
      <w:pPr>
        <w:pStyle w:val="PromptText"/>
        <w:keepNext w:val="0"/>
        <w:spacing w:before="0" w:after="40"/>
        <w:shd w:fill="F4F6F9"/>
        <w:pBdr>
          <w:left w:val="single" w:sz="18" w:space="8" w:color="FF6900"/>
        </w:pBdr>
      </w:pPr>
      <w:r>
        <w:rPr>
          <w:rFonts w:ascii="Consolas" w:hAnsi="Consolas"/>
          <w:color w:val="111827"/>
          <w:sz w:val="18"/>
        </w:rPr>
        <w:t>Can the client trace the requested decision through the instrument, operating range, method, test points, reference equipment, acceptance criteria and handover record - and identify separately any need for adjustment, repair, accreditation, traceability or legal verification?</w:t>
      </w:r>
    </w:p>
    <w:p>
      <w:r>
        <w:br w:type="page"/>
      </w:r>
    </w:p>
    <w:p>
      <w:pPr>
        <w:spacing w:before="0" w:after="80"/>
      </w:pPr>
      <w:r>
        <w:rPr>
          <w:rFonts w:ascii="Calibri" w:hAnsi="Calibri"/>
          <w:b/>
          <w:caps/>
          <w:color w:val="FF6900"/>
          <w:sz w:val="18"/>
        </w:rPr>
        <w:t>FINAL GATE</w:t>
      </w:r>
    </w:p>
    <w:p>
      <w:pPr>
        <w:pStyle w:val="Heading1"/>
      </w:pPr>
      <w:r>
        <w:t>Review every generated episode before publication</w:t>
      </w:r>
    </w:p>
    <w:p>
      <w:pPr>
        <w:pStyle w:val="Heading2"/>
      </w:pPr>
      <w:r>
        <w:t>Full-listen editorial review</w:t>
      </w:r>
    </w:p>
    <w:p>
      <w:pPr>
        <w:pStyle w:val="ListBullet"/>
        <w:spacing w:after="80" w:line="300" w:lineRule="auto"/>
        <w:ind w:left="540" w:hanging="271"/>
      </w:pPr>
      <w:r>
        <w:rPr>
          <w:rFonts w:ascii="Calibri" w:hAnsi="Calibri"/>
          <w:color w:val="111827"/>
          <w:sz w:val="22"/>
        </w:rPr>
        <w:t>Listen from opening to closing; do not approve from the transcript alone.</w:t>
      </w:r>
    </w:p>
    <w:p>
      <w:pPr>
        <w:pStyle w:val="ListBullet"/>
        <w:spacing w:after="80" w:line="300" w:lineRule="auto"/>
        <w:ind w:left="540" w:hanging="271"/>
      </w:pPr>
      <w:r>
        <w:rPr>
          <w:rFonts w:ascii="Calibri" w:hAnsi="Calibri"/>
          <w:color w:val="111827"/>
          <w:sz w:val="22"/>
        </w:rPr>
        <w:t>Confirm the publisher name is understandable and no acronym, standard number or technical term is mangled into a different meaning.</w:t>
      </w:r>
    </w:p>
    <w:p>
      <w:pPr>
        <w:pStyle w:val="ListBullet"/>
        <w:spacing w:after="80" w:line="300" w:lineRule="auto"/>
        <w:ind w:left="540" w:hanging="271"/>
      </w:pPr>
      <w:r>
        <w:rPr>
          <w:rFonts w:ascii="Calibri" w:hAnsi="Calibri"/>
          <w:color w:val="111827"/>
          <w:sz w:val="22"/>
        </w:rPr>
        <w:t>Confirm the central question is answered, the hosts do not wander and the episode ends with the exact practical question.</w:t>
      </w:r>
    </w:p>
    <w:p>
      <w:pPr>
        <w:pStyle w:val="ListBullet"/>
        <w:spacing w:after="80" w:line="300" w:lineRule="auto"/>
        <w:ind w:left="540" w:hanging="271"/>
      </w:pPr>
      <w:r>
        <w:rPr>
          <w:rFonts w:ascii="Calibri" w:hAnsi="Calibri"/>
          <w:color w:val="111827"/>
          <w:sz w:val="22"/>
        </w:rPr>
        <w:t>Check for repeated agreement, filler, unsupported certainty, dramatic claims and accidental instructions.</w:t>
      </w:r>
    </w:p>
    <w:p>
      <w:pPr>
        <w:pStyle w:val="ListBullet"/>
        <w:spacing w:after="80" w:line="300" w:lineRule="auto"/>
        <w:ind w:left="540" w:hanging="271"/>
      </w:pPr>
      <w:r>
        <w:rPr>
          <w:rFonts w:ascii="Calibri" w:hAnsi="Calibri"/>
          <w:color w:val="111827"/>
          <w:sz w:val="22"/>
        </w:rPr>
        <w:t>Compare every legal, compliance, OEM, accreditation and test-scope statement with the written article and its cited sources.</w:t>
      </w:r>
    </w:p>
    <w:p>
      <w:pPr>
        <w:pStyle w:val="Heading2"/>
      </w:pPr>
      <w:r>
        <w:t>Publication decision</w:t>
      </w:r>
    </w:p>
    <w:tbl>
      <w:tblPr>
        <w:tblStyle w:val="TableGrid"/>
        <w:tblW w:type="dxa" w:w="9360"/>
        <w:tblLayout w:type="fixed"/>
        <w:tblLook w:firstColumn="1" w:firstRow="1" w:lastColumn="0" w:lastRow="0" w:noHBand="0" w:noVBand="1" w:val="04A0"/>
        <w:tblInd w:w="120" w:type="dxa"/>
      </w:tblPr>
      <w:tblGrid>
        <w:gridCol w:w="2400"/>
        <w:gridCol w:w="6960"/>
      </w:tblGrid>
      <w:tr>
        <w:trPr>
          <w:tblHeader w:val="true"/>
        </w:trPr>
        <w:tc>
          <w:tcPr>
            <w:tcW w:type="dxa" w:w="2400"/>
            <w:tcMar>
              <w:top w:w="80" w:type="dxa"/>
              <w:start w:w="120" w:type="dxa"/>
              <w:bottom w:w="80" w:type="dxa"/>
              <w:end w:w="120" w:type="dxa"/>
            </w:tcMar>
            <w:shd w:fill="1A2B4C"/>
          </w:tcPr>
          <w:p>
            <w:r>
              <w:rPr>
                <w:rFonts w:ascii="Calibri" w:hAnsi="Calibri"/>
                <w:b/>
                <w:color w:val="FFFFFF"/>
                <w:sz w:val="19"/>
              </w:rPr>
              <w:t>Decision</w:t>
            </w:r>
          </w:p>
        </w:tc>
        <w:tc>
          <w:tcPr>
            <w:tcW w:type="dxa" w:w="6960"/>
            <w:tcMar>
              <w:top w:w="80" w:type="dxa"/>
              <w:start w:w="120" w:type="dxa"/>
              <w:bottom w:w="80" w:type="dxa"/>
              <w:end w:w="120" w:type="dxa"/>
            </w:tcMar>
            <w:shd w:fill="1A2B4C"/>
          </w:tcPr>
          <w:p>
            <w:r>
              <w:rPr>
                <w:rFonts w:ascii="Calibri" w:hAnsi="Calibri"/>
                <w:b/>
                <w:color w:val="FFFFFF"/>
                <w:sz w:val="19"/>
              </w:rPr>
              <w:t>Use when</w:t>
            </w:r>
          </w:p>
        </w:tc>
      </w:tr>
      <w:tr>
        <w:tc>
          <w:tcPr>
            <w:tcW w:type="dxa" w:w="2400"/>
            <w:shd w:fill="E8EEF5"/>
            <w:tcMar>
              <w:top w:w="80" w:type="dxa"/>
              <w:start w:w="120" w:type="dxa"/>
              <w:bottom w:w="80" w:type="dxa"/>
              <w:end w:w="120" w:type="dxa"/>
            </w:tcMar>
          </w:tcPr>
          <w:p>
            <w:r>
              <w:rPr>
                <w:rFonts w:ascii="Calibri" w:hAnsi="Calibri"/>
                <w:b/>
                <w:color w:val="1A2B4C"/>
                <w:sz w:val="19"/>
              </w:rPr>
              <w:t>Publish</w:t>
            </w:r>
          </w:p>
        </w:tc>
        <w:tc>
          <w:tcPr>
            <w:tcW w:type="dxa" w:w="6960"/>
            <w:tcMar>
              <w:top w:w="80" w:type="dxa"/>
              <w:start w:w="120" w:type="dxa"/>
              <w:bottom w:w="80" w:type="dxa"/>
              <w:end w:w="120" w:type="dxa"/>
            </w:tcMar>
          </w:tcPr>
          <w:p>
            <w:r>
              <w:rPr>
                <w:rFonts w:ascii="Calibri" w:hAnsi="Calibri"/>
                <w:b w:val="0"/>
                <w:color w:val="111827"/>
                <w:sz w:val="19"/>
              </w:rPr>
              <w:t>The complete audio is useful, technically sound, intelligible and contains no material safety, legal or compliance error.</w:t>
            </w:r>
          </w:p>
        </w:tc>
      </w:tr>
      <w:tr>
        <w:tc>
          <w:tcPr>
            <w:tcW w:type="dxa" w:w="2400"/>
            <w:shd w:fill="E8EEF5"/>
            <w:tcMar>
              <w:top w:w="80" w:type="dxa"/>
              <w:start w:w="120" w:type="dxa"/>
              <w:bottom w:w="80" w:type="dxa"/>
              <w:end w:w="120" w:type="dxa"/>
            </w:tcMar>
          </w:tcPr>
          <w:p>
            <w:r>
              <w:rPr>
                <w:rFonts w:ascii="Calibri" w:hAnsi="Calibri"/>
                <w:b/>
                <w:color w:val="1A2B4C"/>
                <w:sz w:val="19"/>
              </w:rPr>
              <w:t>Publish with disclosure</w:t>
            </w:r>
          </w:p>
        </w:tc>
        <w:tc>
          <w:tcPr>
            <w:tcW w:type="dxa" w:w="6960"/>
            <w:tcMar>
              <w:top w:w="80" w:type="dxa"/>
              <w:start w:w="120" w:type="dxa"/>
              <w:bottom w:w="80" w:type="dxa"/>
              <w:end w:w="120" w:type="dxa"/>
            </w:tcMar>
          </w:tcPr>
          <w:p>
            <w:r>
              <w:rPr>
                <w:rFonts w:ascii="Calibri" w:hAnsi="Calibri"/>
                <w:b w:val="0"/>
                <w:color w:val="111827"/>
                <w:sz w:val="19"/>
              </w:rPr>
              <w:t>Only ordinary conversational simplification remains; the written article is clearly positioned as the precise source.</w:t>
            </w:r>
          </w:p>
        </w:tc>
      </w:tr>
      <w:tr>
        <w:tc>
          <w:tcPr>
            <w:tcW w:type="dxa" w:w="2400"/>
            <w:shd w:fill="E8EEF5"/>
            <w:tcMar>
              <w:top w:w="80" w:type="dxa"/>
              <w:start w:w="120" w:type="dxa"/>
              <w:bottom w:w="80" w:type="dxa"/>
              <w:end w:w="120" w:type="dxa"/>
            </w:tcMar>
          </w:tcPr>
          <w:p>
            <w:r>
              <w:rPr>
                <w:rFonts w:ascii="Calibri" w:hAnsi="Calibri"/>
                <w:b/>
                <w:color w:val="1A2B4C"/>
                <w:sz w:val="19"/>
              </w:rPr>
              <w:t>Regenerate the current asset</w:t>
            </w:r>
          </w:p>
        </w:tc>
        <w:tc>
          <w:tcPr>
            <w:tcW w:type="dxa" w:w="6960"/>
            <w:tcMar>
              <w:top w:w="80" w:type="dxa"/>
              <w:start w:w="120" w:type="dxa"/>
              <w:bottom w:w="80" w:type="dxa"/>
              <w:end w:w="120" w:type="dxa"/>
            </w:tcMar>
          </w:tcPr>
          <w:p>
            <w:r>
              <w:rPr>
                <w:rFonts w:ascii="Calibri" w:hAnsi="Calibri"/>
                <w:b w:val="0"/>
                <w:color w:val="111827"/>
                <w:sz w:val="19"/>
              </w:rPr>
              <w:t>The concept and source are sound, but the recording contains correctable technical wording, pronunciation, pacing or structure problems.</w:t>
            </w:r>
          </w:p>
        </w:tc>
      </w:tr>
      <w:tr>
        <w:tc>
          <w:tcPr>
            <w:tcW w:type="dxa" w:w="2400"/>
            <w:shd w:fill="E8EEF5"/>
            <w:tcMar>
              <w:top w:w="80" w:type="dxa"/>
              <w:start w:w="120" w:type="dxa"/>
              <w:bottom w:w="80" w:type="dxa"/>
              <w:end w:w="120" w:type="dxa"/>
            </w:tcMar>
          </w:tcPr>
          <w:p>
            <w:r>
              <w:rPr>
                <w:rFonts w:ascii="Calibri" w:hAnsi="Calibri"/>
                <w:b/>
                <w:color w:val="1A2B4C"/>
                <w:sz w:val="19"/>
              </w:rPr>
              <w:t>Reject the concept/source</w:t>
            </w:r>
          </w:p>
        </w:tc>
        <w:tc>
          <w:tcPr>
            <w:tcW w:type="dxa" w:w="6960"/>
            <w:tcMar>
              <w:top w:w="80" w:type="dxa"/>
              <w:start w:w="120" w:type="dxa"/>
              <w:bottom w:w="80" w:type="dxa"/>
              <w:end w:w="120" w:type="dxa"/>
            </w:tcMar>
          </w:tcPr>
          <w:p>
            <w:r>
              <w:rPr>
                <w:rFonts w:ascii="Calibri" w:hAnsi="Calibri"/>
                <w:b w:val="0"/>
                <w:color w:val="111827"/>
                <w:sz w:val="19"/>
              </w:rPr>
              <w:t>The requested framing or source basis remains unsafe, unsupported or unsuitable even after prompt correction.</w:t>
            </w:r>
          </w:p>
        </w:tc>
      </w:tr>
    </w:tbl>
    <w:p>
      <w:pPr>
        <w:pStyle w:val="Heading2"/>
      </w:pPr>
      <w:r>
        <w:t>Website handoff checklist</w:t>
      </w:r>
    </w:p>
    <w:p>
      <w:pPr>
        <w:pStyle w:val="ListBullet"/>
        <w:spacing w:after="80" w:line="300" w:lineRule="auto"/>
        <w:ind w:left="540" w:hanging="271"/>
      </w:pPr>
      <w:r>
        <w:rPr>
          <w:rFonts w:ascii="Calibri" w:hAnsi="Calibri"/>
          <w:color w:val="111827"/>
          <w:sz w:val="22"/>
        </w:rPr>
        <w:t>Convert or export the approved master to MP3 when practical; preserve the original master separately.</w:t>
      </w:r>
    </w:p>
    <w:p>
      <w:pPr>
        <w:pStyle w:val="ListBullet"/>
        <w:spacing w:after="80" w:line="300" w:lineRule="auto"/>
        <w:ind w:left="540" w:hanging="271"/>
      </w:pPr>
      <w:r>
        <w:rPr>
          <w:rFonts w:ascii="Calibri" w:hAnsi="Calibri"/>
          <w:color w:val="111827"/>
          <w:sz w:val="22"/>
        </w:rPr>
        <w:t>Use the filename and player metadata supplied in the relevant chapter.</w:t>
      </w:r>
    </w:p>
    <w:p>
      <w:pPr>
        <w:pStyle w:val="ListBullet"/>
        <w:spacing w:after="80" w:line="300" w:lineRule="auto"/>
        <w:ind w:left="540" w:hanging="271"/>
      </w:pPr>
      <w:r>
        <w:rPr>
          <w:rFonts w:ascii="Calibri" w:hAnsi="Calibri"/>
          <w:color w:val="111827"/>
          <w:sz w:val="22"/>
        </w:rPr>
        <w:t>Verify file size, actual duration, HTTP 200 response, audio/mpeg MIME type and a 206 byte-range response before declaring seeking support.</w:t>
      </w:r>
    </w:p>
    <w:p>
      <w:pPr>
        <w:pStyle w:val="ListBullet"/>
        <w:spacing w:after="80" w:line="300" w:lineRule="auto"/>
        <w:ind w:left="540" w:hanging="271"/>
      </w:pPr>
      <w:r>
        <w:rPr>
          <w:rFonts w:ascii="Calibri" w:hAnsi="Calibri"/>
          <w:color w:val="111827"/>
          <w:sz w:val="22"/>
        </w:rPr>
        <w:t>Test play, pause, seek, 1.5x and 2x speed, real duration, responsive layout and keyboard-accessible control names.</w:t>
      </w:r>
    </w:p>
    <w:p>
      <w:pPr>
        <w:pStyle w:val="ListBullet"/>
        <w:spacing w:after="80" w:line="300" w:lineRule="auto"/>
        <w:ind w:left="540" w:hanging="271"/>
      </w:pPr>
      <w:r>
        <w:rPr>
          <w:rFonts w:ascii="Calibri" w:hAnsi="Calibri"/>
          <w:color w:val="111827"/>
          <w:sz w:val="22"/>
        </w:rPr>
        <w:t>Keep the editorial disclosure visible. Do not say the episode was technically reviewed unless a qualified reviewer actually approved it.</w:t>
      </w:r>
    </w:p>
    <w:p>
      <w:pPr>
        <w:pStyle w:val="ListBullet"/>
        <w:spacing w:after="80" w:line="300" w:lineRule="auto"/>
        <w:ind w:left="540" w:hanging="271"/>
      </w:pPr>
      <w:r>
        <w:rPr>
          <w:rFonts w:ascii="Calibri" w:hAnsi="Calibri"/>
          <w:color w:val="111827"/>
          <w:sz w:val="22"/>
        </w:rPr>
        <w:t>Stage, commit and push only the intended article, shared player and audio file when explicitly requested.</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shd w:fill="FFF3EA"/>
          </w:tcPr>
          <w:p>
            <w:pPr>
              <w:spacing w:after="60"/>
            </w:pPr>
            <w:r>
              <w:rPr>
                <w:rFonts w:ascii="Calibri" w:hAnsi="Calibri"/>
                <w:b/>
                <w:color w:val="FF6900"/>
                <w:sz w:val="18"/>
              </w:rPr>
              <w:t>FINAL PRINCIPLE</w:t>
            </w:r>
          </w:p>
          <w:p>
            <w:pPr>
              <w:spacing w:after="0" w:line="288" w:lineRule="auto"/>
            </w:pPr>
            <w:r>
              <w:rPr>
                <w:rFonts w:ascii="Calibri" w:hAnsi="Calibri"/>
                <w:b/>
                <w:color w:val="1A2B4C"/>
                <w:sz w:val="21"/>
              </w:rPr>
              <w:t>The audio should make a technical reader more curious about the article, not replace it. If a competent reviewer would need to undo a statement before using the discussion in a toolbox talk or client conversation, regenerate the episode.</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B7280"/>
        <w:sz w:val="16"/>
      </w:rPr>
      <w:t>TOUCH TEQNIQUES ENGINEERING  |  INSIGHTS AUDIO DEEP DIVE PROMPT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Text">
    <w:name w:val="Prompt Text"/>
    <w:pPr>
      <w:spacing w:line="252" w:lineRule="auto"/>
      <w:ind w:left="259" w:right="259"/>
    </w:pPr>
    <w:rPr>
      <w:rFonts w:ascii="Consolas" w:hAnsi="Consolas"/>
      <w:color w:val="11182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Touch Teqniques Engineering - Insights Audio Deep Dive Prompt Guide</dc:title>
  <dc:subject>Ready-to-use LLM instructions for source-led Insights audio deep dives</dc:subject>
  <dc:creator>Touch Teqniques Engineering</dc:creator>
  <cp:keywords>Insights, audio deep dive, LLM prompts, industrial engineering, technical communication</cp:keywords>
  <dc:description>Generated as a reusable production guide.</dc:description>
  <cp:lastModifiedBy/>
  <cp:revision>1</cp:revision>
  <dcterms:created xsi:type="dcterms:W3CDTF">2013-12-23T23:15:00Z</dcterms:created>
  <dcterms:modified xsi:type="dcterms:W3CDTF">2013-12-23T23:15:00Z</dcterms:modified>
  <cp:category/>
</cp:coreProperties>
</file>