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Northwind Analytics Employee Handbook</w:t>
      </w:r>
    </w:p>
    <w:p>
      <w:pPr>
        <w:pStyle w:val="Heading1"/>
      </w:pPr>
      <w:r>
        <w:t>1. Remote Work</w:t>
      </w:r>
    </w:p>
    <w:p>
      <w:r>
        <w:t>Employees may work remotely up to three days per week with manager approval. Everyone must be available during core hours, from 10:00 to 15:00 local time. The company pays a one-time home office stipend of 400 USD for new remote workers.</w:t>
      </w:r>
    </w:p>
    <w:p>
      <w:pPr>
        <w:pStyle w:val="Heading1"/>
      </w:pPr>
      <w:r>
        <w:t>2. Leave</w:t>
      </w:r>
    </w:p>
    <w:p>
      <w:r>
        <w:t>Full-time employees receive 24 days of paid annual leave per year. Unused leave, up to 5 days, can be carried over to the next year. Sick leave is paid, but a doctor's note is required after three consecutive days of absence. Parental leave is 16 weeks for the primary caregiver.</w:t>
      </w:r>
    </w:p>
    <w:p>
      <w:pPr>
        <w:pStyle w:val="Heading1"/>
      </w:pPr>
      <w:r>
        <w:t>3. Expenses</w:t>
      </w:r>
    </w:p>
    <w:p>
      <w:r>
        <w:t>Expense reports must be submitted within 30 days of the purchase. Receipts are required for any expense above 25 USD. Business flights must be booked in economy class for trips shorter than 6 hours.</w:t>
      </w:r>
    </w:p>
    <w:p>
      <w:pPr>
        <w:pStyle w:val="Heading1"/>
      </w:pPr>
      <w:r>
        <w:t>4. IT Security</w:t>
      </w:r>
    </w:p>
    <w:p>
      <w:r>
        <w:t>All employees must use the company VPN when working outside the office. Passwords must be at least 12 characters long and changed every 90 days. Security incidents must be reported to the IT helpdesk within 24 hours. Personal USB drives are not allowed on company laptops.</w:t>
      </w:r>
    </w:p>
    <w:p>
      <w:pPr>
        <w:pStyle w:val="Heading1"/>
      </w:pPr>
      <w:r>
        <w:t>5. Contacts</w:t>
      </w:r>
    </w:p>
    <w:tbl>
      <w:tblPr>
        <w:tblStyle w:val="TableGrid"/>
        <w:tblW w:type="auto" w:w="0"/>
        <w:tblLook w:firstColumn="1" w:firstRow="1" w:lastColumn="0" w:lastRow="0" w:noHBand="0" w:noVBand="1" w:val="04A0"/>
      </w:tblPr>
      <w:tblGrid>
        <w:gridCol w:w="2880"/>
        <w:gridCol w:w="2880"/>
        <w:gridCol w:w="2880"/>
      </w:tblGrid>
      <w:tr>
        <w:tc>
          <w:tcPr>
            <w:tcW w:type="dxa" w:w="2880"/>
          </w:tcPr>
          <w:p>
            <w:r>
              <w:t>Department</w:t>
            </w:r>
          </w:p>
        </w:tc>
        <w:tc>
          <w:tcPr>
            <w:tcW w:type="dxa" w:w="2880"/>
          </w:tcPr>
          <w:p>
            <w:r>
              <w:t>Purpose</w:t>
            </w:r>
          </w:p>
        </w:tc>
        <w:tc>
          <w:tcPr>
            <w:tcW w:type="dxa" w:w="2880"/>
          </w:tcPr>
          <w:p>
            <w:r>
              <w:t>Email</w:t>
            </w:r>
          </w:p>
        </w:tc>
      </w:tr>
      <w:tr>
        <w:tc>
          <w:tcPr>
            <w:tcW w:type="dxa" w:w="2880"/>
          </w:tcPr>
          <w:p>
            <w:r>
              <w:t>HR</w:t>
            </w:r>
          </w:p>
        </w:tc>
        <w:tc>
          <w:tcPr>
            <w:tcW w:type="dxa" w:w="2880"/>
          </w:tcPr>
          <w:p>
            <w:r>
              <w:t>Leave and contracts</w:t>
            </w:r>
          </w:p>
        </w:tc>
        <w:tc>
          <w:tcPr>
            <w:tcW w:type="dxa" w:w="2880"/>
          </w:tcPr>
          <w:p>
            <w:r>
              <w:t>people@northwind.example</w:t>
            </w:r>
          </w:p>
        </w:tc>
      </w:tr>
      <w:tr>
        <w:tc>
          <w:tcPr>
            <w:tcW w:type="dxa" w:w="2880"/>
          </w:tcPr>
          <w:p>
            <w:r>
              <w:t>IT helpdesk</w:t>
            </w:r>
          </w:p>
        </w:tc>
        <w:tc>
          <w:tcPr>
            <w:tcW w:type="dxa" w:w="2880"/>
          </w:tcPr>
          <w:p>
            <w:r>
              <w:t>Security incidents and equipment</w:t>
            </w:r>
          </w:p>
        </w:tc>
        <w:tc>
          <w:tcPr>
            <w:tcW w:type="dxa" w:w="2880"/>
          </w:tcPr>
          <w:p>
            <w:r>
              <w:t>it-help@northwind.example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