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03E" w:rsidRPr="0033603E" w:rsidRDefault="0033603E" w:rsidP="0033603E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33603E">
        <w:rPr>
          <w:rFonts w:ascii="Arial" w:eastAsia="宋体" w:hAnsi="Arial" w:cs="Arial"/>
          <w:color w:val="343434"/>
          <w:kern w:val="0"/>
          <w:sz w:val="30"/>
          <w:szCs w:val="30"/>
        </w:rPr>
        <w:t>Disposable Fluid Resistant Body Bag</w:t>
      </w:r>
    </w:p>
    <w:p w:rsidR="0033603E" w:rsidRPr="0033603E" w:rsidRDefault="0033603E" w:rsidP="0033603E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603E">
        <w:rPr>
          <w:rFonts w:ascii="Arial" w:eastAsia="宋体" w:hAnsi="Arial" w:cs="Arial"/>
          <w:color w:val="333333"/>
          <w:kern w:val="0"/>
          <w:sz w:val="18"/>
          <w:szCs w:val="18"/>
        </w:rPr>
        <w:t>Material: 100g Non-woven coated 25g PVC. 300-350 Lb Static Lift Tested. Dual zipper pulls to facilitate opening and closing bag. Available in “envelope” ("curved") style easy access zipper. Size 36" x 90" . Each Bag contains 3 Toe Tags. All Packed 10/case.</w:t>
      </w:r>
    </w:p>
    <w:p w:rsidR="001E5689" w:rsidRDefault="001E5689">
      <w:pPr>
        <w:rPr>
          <w:rFonts w:hint="eastAsia"/>
        </w:rPr>
      </w:pPr>
      <w:bookmarkStart w:id="0" w:name="_GoBack"/>
      <w:bookmarkEnd w:id="0"/>
    </w:p>
    <w:sectPr w:rsidR="001E5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87C"/>
    <w:rsid w:val="001E5689"/>
    <w:rsid w:val="0033603E"/>
    <w:rsid w:val="009D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1D4F1-24F1-4A9A-BF92-4238D7D9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60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7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15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2016-04-25T13:17:00Z</dcterms:created>
  <dcterms:modified xsi:type="dcterms:W3CDTF">2016-04-25T13:17:00Z</dcterms:modified>
</cp:coreProperties>
</file>