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4F" w:rsidRPr="0063014F" w:rsidRDefault="0063014F" w:rsidP="0063014F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63014F">
        <w:rPr>
          <w:rFonts w:ascii="Arial" w:eastAsia="宋体" w:hAnsi="Arial" w:cs="Arial"/>
          <w:color w:val="343434"/>
          <w:kern w:val="0"/>
          <w:sz w:val="30"/>
          <w:szCs w:val="30"/>
        </w:rPr>
        <w:t>Interwoven Polythylene Body Bag</w:t>
      </w:r>
    </w:p>
    <w:p w:rsidR="0063014F" w:rsidRPr="0063014F" w:rsidRDefault="0063014F" w:rsidP="0063014F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3014F">
        <w:rPr>
          <w:rFonts w:ascii="Arial" w:eastAsia="宋体" w:hAnsi="Arial" w:cs="Arial"/>
          <w:color w:val="333333"/>
          <w:kern w:val="0"/>
          <w:sz w:val="18"/>
          <w:szCs w:val="18"/>
        </w:rPr>
        <w:t>Electronic Heat-sealed Construction to Comply with OSHA Reg. 3130. 7 Mil High Strength White PVC Material. 250 Lb Static Lift Tested. Dual zipper pulls to facilitate opening and closing bag. Available in “envelope” ("curved") style easy access zipper. Size 36" x 90" . Each Bag contains 3 Toe Tags. All Packed 10/case.</w:t>
      </w:r>
    </w:p>
    <w:p w:rsidR="00BB15D1" w:rsidRDefault="00BB15D1"/>
    <w:p w:rsidR="00801B93" w:rsidRPr="0063014F" w:rsidRDefault="00801B93">
      <w:pPr>
        <w:rPr>
          <w:rFonts w:hint="eastAsia"/>
        </w:rPr>
      </w:pPr>
      <w:bookmarkStart w:id="0" w:name="_GoBack"/>
      <w:bookmarkEnd w:id="0"/>
    </w:p>
    <w:sectPr w:rsidR="00801B93" w:rsidRPr="0063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FC"/>
    <w:rsid w:val="0063014F"/>
    <w:rsid w:val="00801B93"/>
    <w:rsid w:val="00B82EFC"/>
    <w:rsid w:val="00BB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B1B4-D592-46F2-B12F-F568BD96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5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4</cp:revision>
  <dcterms:created xsi:type="dcterms:W3CDTF">2016-04-25T13:14:00Z</dcterms:created>
  <dcterms:modified xsi:type="dcterms:W3CDTF">2016-04-25T13:14:00Z</dcterms:modified>
</cp:coreProperties>
</file>