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72" w:rsidRPr="00D02C72" w:rsidRDefault="00D02C72" w:rsidP="00D02C72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D02C72">
        <w:rPr>
          <w:rFonts w:ascii="Arial" w:eastAsia="宋体" w:hAnsi="Arial" w:cs="Arial"/>
          <w:color w:val="343434"/>
          <w:kern w:val="0"/>
          <w:sz w:val="30"/>
          <w:szCs w:val="30"/>
        </w:rPr>
        <w:t>Easy Carry Padded Trauma Bag</w:t>
      </w:r>
    </w:p>
    <w:p w:rsidR="00D02C72" w:rsidRPr="00D02C72" w:rsidRDefault="00D02C72" w:rsidP="00D02C72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02C72">
        <w:rPr>
          <w:rFonts w:ascii="Arial" w:eastAsia="宋体" w:hAnsi="Arial" w:cs="Arial"/>
          <w:color w:val="333333"/>
          <w:kern w:val="0"/>
          <w:sz w:val="18"/>
          <w:szCs w:val="18"/>
        </w:rPr>
        <w:t>This bag is fully structured and doesn't loss its shape. Padded Structure, Includes Shoulder Strap, Extremely Heavy Duty, Organization and durability needed for every first responder. Size: 15"x6.75"x11.25". Material: 600D Polyester. All packed 2/case.</w:t>
      </w:r>
    </w:p>
    <w:p w:rsidR="008D04E9" w:rsidRDefault="008D04E9">
      <w:pPr>
        <w:rPr>
          <w:rFonts w:hint="eastAsia"/>
        </w:rPr>
      </w:pPr>
      <w:bookmarkStart w:id="0" w:name="_GoBack"/>
      <w:bookmarkEnd w:id="0"/>
    </w:p>
    <w:sectPr w:rsidR="008D0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34"/>
    <w:rsid w:val="008D04E9"/>
    <w:rsid w:val="00917634"/>
    <w:rsid w:val="00D0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0831B-1A3A-4BB9-B0BF-23C869AE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2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5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43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2016-04-26T02:51:00Z</dcterms:created>
  <dcterms:modified xsi:type="dcterms:W3CDTF">2016-04-26T02:51:00Z</dcterms:modified>
</cp:coreProperties>
</file>