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2C" w:rsidRPr="00255E2C" w:rsidRDefault="00255E2C" w:rsidP="00255E2C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255E2C">
        <w:rPr>
          <w:rFonts w:ascii="Arial" w:eastAsia="宋体" w:hAnsi="Arial" w:cs="Arial"/>
          <w:color w:val="343434"/>
          <w:kern w:val="0"/>
          <w:sz w:val="30"/>
          <w:szCs w:val="30"/>
        </w:rPr>
        <w:t>Basic Trauma Bag</w:t>
      </w:r>
    </w:p>
    <w:p w:rsidR="00255E2C" w:rsidRPr="00255E2C" w:rsidRDefault="00255E2C" w:rsidP="00255E2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55E2C">
        <w:rPr>
          <w:rFonts w:ascii="Arial" w:eastAsia="宋体" w:hAnsi="Arial" w:cs="Arial"/>
          <w:color w:val="333333"/>
          <w:kern w:val="0"/>
          <w:sz w:val="18"/>
          <w:szCs w:val="18"/>
        </w:rPr>
        <w:t>This bag with the following features: Durable with dual-density structural foam and strong fabric construction for the highest quality and longest life. Optimum organization accommodates the most modern supplies used by emergency professionals: a front pocket organized with elastic loops and pouches; an external, easy-access top pocket; and an internal pouch. Also comes with a tuck-away backpack harness and is compatible with mini-kits. This bag is made with 600D Polyester. Material: 600D Polyester. Size:19.7"x11.8"x11.8" All packed 4/case.</w:t>
      </w:r>
    </w:p>
    <w:p w:rsidR="001F31F8" w:rsidRDefault="001F31F8">
      <w:pPr>
        <w:rPr>
          <w:rFonts w:hint="eastAsia"/>
        </w:rPr>
      </w:pPr>
      <w:bookmarkStart w:id="0" w:name="_GoBack"/>
      <w:bookmarkEnd w:id="0"/>
    </w:p>
    <w:sectPr w:rsidR="001F3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05"/>
    <w:rsid w:val="001F31F8"/>
    <w:rsid w:val="00255E2C"/>
    <w:rsid w:val="002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6546-42A1-4311-BF28-0A402BB1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2016-04-26T02:52:00Z</dcterms:created>
  <dcterms:modified xsi:type="dcterms:W3CDTF">2016-04-26T02:52:00Z</dcterms:modified>
</cp:coreProperties>
</file>