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jc w:val="center"/>
      </w:pPr>
      <w:r>
        <w:rPr>
          <w:b/>
          <w:bCs/>
          <w:color w:val="1F3864"/>
          <w:sz w:val="62"/>
          <w:szCs w:val="62"/>
        </w:rPr>
        <w:t xml:space="preserve">OPESc+</w:t>
      </w:r>
    </w:p>
    <w:p>
      <w:pPr>
        <w:spacing w:after="700"/>
        <w:jc w:val="center"/>
      </w:pPr>
      <w:r>
        <w:rPr>
          <w:color w:val="1F3864"/>
          <w:sz w:val="28"/>
          <w:szCs w:val="28"/>
        </w:rPr>
        <w:t xml:space="preserve">Observatoire des perspectives économiques</w:t>
      </w:r>
    </w:p>
    <w:p>
      <w:pPr>
        <w:pBdr>
          <w:top w:val="single" w:color="C8A24A" w:sz="10"/>
          <w:bottom w:val="single" w:color="C8A24A" w:sz="10"/>
        </w:pBdr>
        <w:spacing w:after="220"/>
        <w:jc w:val="center"/>
      </w:pPr>
      <w:r>
        <w:rPr>
          <w:b/>
          <w:bCs/>
          <w:sz w:val="40"/>
          <w:szCs w:val="40"/>
        </w:rPr>
        <w:t xml:space="preserve">MANUEL D'UTILISATION</w:t>
      </w:r>
    </w:p>
    <w:p>
      <w:pPr>
        <w:spacing w:after="1900"/>
      </w:pPr>
    </w:p>
    <w:p>
      <w:pPr>
        <w:spacing w:after="70"/>
        <w:jc w:val="center"/>
      </w:pPr>
      <w:r>
        <w:rPr>
          <w:b/>
          <w:bCs/>
          <w:sz w:val="21"/>
          <w:szCs w:val="21"/>
        </w:rPr>
        <w:t xml:space="preserve">Ministère de l'Économie, de la Planification et de l'Aménagement du Territoire</w:t>
      </w:r>
    </w:p>
    <w:p>
      <w:pPr>
        <w:spacing w:after="70"/>
        <w:jc w:val="center"/>
      </w:pPr>
      <w:r>
        <w:rPr>
          <w:sz w:val="21"/>
          <w:szCs w:val="21"/>
        </w:rPr>
        <w:t xml:space="preserve">Version 1.0</w:t>
      </w:r>
    </w:p>
    <w:p>
      <w:pPr>
        <w:jc w:val="center"/>
      </w:pPr>
      <w:r>
        <w:rPr>
          <w:sz w:val="21"/>
          <w:szCs w:val="21"/>
        </w:rPr>
        <w:t xml:space="preserve">Août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La plateforme</w:t>
      </w:r>
    </w:p>
    <w:p>
      <w:pPr>
        <w:spacing w:after="130" w:line="276"/>
        <w:jc w:val="both"/>
      </w:pPr>
      <w:r>
        <w:rPr>
          <w:b w:val="false"/>
          <w:bCs w:val="false"/>
          <w:i w:val="false"/>
          <w:iCs w:val="false"/>
          <w:sz w:val="21"/>
          <w:szCs w:val="21"/>
        </w:rPr>
        <w:t xml:space="preserve">OPESc+ rassemble les indicateurs économiques de l'ensemble des économies du monde, collectés directement auprès des institutions qui les publient, et les met à disposition sous forme de séries exploitables. Elle prolonge les travaux de l'observatoire OPESc du ministère.</w:t>
      </w:r>
    </w:p>
    <w:p>
      <w:pPr>
        <w:spacing w:after="130" w:line="276"/>
        <w:jc w:val="both"/>
      </w:pPr>
      <w:r>
        <w:rPr>
          <w:b w:val="false"/>
          <w:bCs w:val="false"/>
          <w:i w:val="false"/>
          <w:iCs w:val="false"/>
          <w:sz w:val="21"/>
          <w:szCs w:val="21"/>
        </w:rPr>
        <w:t xml:space="preserve">La plateforme ne produit aucune donnée. Elle collecte, harmonise et présente des séries dont la propriété reste celle de leurs producteurs. Toute réutilisation doit citer la source d'origine et la date d'extraction ; chaque classeur téléchargé comporte à cette fin une feuille « Sources ».</w:t>
      </w:r>
    </w:p>
    <w:p>
      <w:pPr>
        <w:pStyle w:val="Heading2"/>
      </w:pPr>
      <w:r>
        <w:t xml:space="preserve">1.1. Ce que contient la base</w:t>
      </w:r>
    </w:p>
    <w:p>
      <w:pPr>
        <w:spacing w:after="130" w:line="276"/>
        <w:jc w:val="both"/>
      </w:pPr>
      <w:r>
        <w:rPr>
          <w:b w:val="false"/>
          <w:bCs w:val="false"/>
          <w:i w:val="false"/>
          <w:iCs w:val="false"/>
          <w:sz w:val="21"/>
          <w:szCs w:val="21"/>
        </w:rPr>
        <w:t xml:space="preserve">Le catalogue compte 233 indicateurs actifs, répartis en quatorze catégories, pour environ 217 économies et une quarantaine d'agrégats régionaux et de groupes de revenu. La couverture temporelle démarre en 1960 pour la plupart des séries annuelles et remonte à 1960 également pour les cours mensuels de produits de base.</w:t>
      </w:r>
    </w:p>
    <w:p>
      <w:pPr>
        <w:pStyle w:val="ListParagraph"/>
        <w:numPr>
          <w:ilvl w:val="0"/>
          <w:numId w:val="2"/>
        </w:numPr>
        <w:spacing w:after="90" w:line="276"/>
        <w:jc w:val="both"/>
      </w:pPr>
      <w:r>
        <w:rPr>
          <w:sz w:val="21"/>
          <w:szCs w:val="21"/>
        </w:rPr>
        <w:t xml:space="preserve">Les séries sont stockées avec leur fréquence propre. Une même grandeur peut donc exister en mensuel et en annuel sans que l'une écrase l'autre.</w:t>
      </w:r>
    </w:p>
    <w:p>
      <w:pPr>
        <w:pStyle w:val="ListParagraph"/>
        <w:numPr>
          <w:ilvl w:val="0"/>
          <w:numId w:val="2"/>
        </w:numPr>
        <w:spacing w:after="90" w:line="276"/>
        <w:jc w:val="both"/>
      </w:pPr>
      <w:r>
        <w:rPr>
          <w:sz w:val="21"/>
          <w:szCs w:val="21"/>
        </w:rPr>
        <w:t xml:space="preserve">Les valeurs manquantes ne sont pas enregistrées. L'absence d'une observation vaut absence de donnée, jamais zéro.</w:t>
      </w:r>
    </w:p>
    <w:p>
      <w:pPr>
        <w:pStyle w:val="ListParagraph"/>
        <w:numPr>
          <w:ilvl w:val="0"/>
          <w:numId w:val="2"/>
        </w:numPr>
        <w:spacing w:after="90" w:line="276"/>
        <w:jc w:val="both"/>
      </w:pPr>
      <w:r>
        <w:rPr>
          <w:sz w:val="21"/>
          <w:szCs w:val="21"/>
        </w:rPr>
        <w:t xml:space="preserve">Les agrégats régionaux sont identifiés comme tels et exclus des classements et des cartes, faute de quoi le monde et la zone euro occuperaient systématiquement les premières places.</w:t>
      </w:r>
    </w:p>
    <w:p>
      <w:pPr>
        <w:pStyle w:val="Heading2"/>
      </w:pPr>
      <w:r>
        <w:t xml:space="preserve">1.2. Principe de conception</w:t>
      </w:r>
    </w:p>
    <w:p>
      <w:pPr>
        <w:spacing w:after="130" w:line="276"/>
        <w:jc w:val="both"/>
      </w:pPr>
      <w:r>
        <w:rPr>
          <w:b w:val="false"/>
          <w:bCs w:val="false"/>
          <w:i w:val="false"/>
          <w:iCs w:val="false"/>
          <w:sz w:val="21"/>
          <w:szCs w:val="21"/>
        </w:rPr>
        <w:t xml:space="preserve">Un principe gouverne toute l'interface : ne jamais proposer un filtre qui ne mènerait à rien. Les fréquences offertes sont celles qui existent réellement en base pour l'indicateur choisi, les pays proposés sont ceux pour lesquels il est renseigné, les bornes de période sont calées sur sa couverture effective. Un cadre vide indique toujours la raison et la marche à suivre.</w:t>
      </w:r>
    </w:p>
    <w:p>
      <w:pPr>
        <w:pStyle w:val="Heading1"/>
      </w:pPr>
      <w:r>
        <w:t xml:space="preserve">2. Prise en main</w:t>
      </w:r>
    </w:p>
    <w:p>
      <w:pPr>
        <w:spacing w:after="130" w:line="276"/>
        <w:jc w:val="both"/>
      </w:pPr>
      <w:r>
        <w:rPr>
          <w:b w:val="false"/>
          <w:bCs w:val="false"/>
          <w:i w:val="false"/>
          <w:iCs w:val="false"/>
          <w:sz w:val="21"/>
          <w:szCs w:val="21"/>
        </w:rPr>
        <w:t xml:space="preserve">La plateforme s'ouvre sur quatre onglets, accessibles depuis la barre située sous le bandeau institutionnel.</w:t>
      </w:r>
    </w:p>
    <w:p>
      <w:pPr>
        <w:pStyle w:val="ListParagraph"/>
        <w:numPr>
          <w:ilvl w:val="0"/>
          <w:numId w:val="2"/>
        </w:numPr>
        <w:spacing w:after="90" w:line="276"/>
        <w:jc w:val="both"/>
      </w:pPr>
      <w:r>
        <w:rPr>
          <w:sz w:val="21"/>
          <w:szCs w:val="21"/>
        </w:rPr>
        <w:t xml:space="preserve">Accueil : présentation, chiffres de la base, accès aux sites de référence et téléchargement du présent manuel.</w:t>
      </w:r>
    </w:p>
    <w:p>
      <w:pPr>
        <w:pStyle w:val="ListParagraph"/>
        <w:numPr>
          <w:ilvl w:val="0"/>
          <w:numId w:val="2"/>
        </w:numPr>
        <w:spacing w:after="90" w:line="276"/>
        <w:jc w:val="both"/>
      </w:pPr>
      <w:r>
        <w:rPr>
          <w:sz w:val="21"/>
          <w:szCs w:val="21"/>
        </w:rPr>
        <w:t xml:space="preserve">Tableau de bord : consultation graphique et cartographique, le cœur de l'outil.</w:t>
      </w:r>
    </w:p>
    <w:p>
      <w:pPr>
        <w:pStyle w:val="ListParagraph"/>
        <w:numPr>
          <w:ilvl w:val="0"/>
          <w:numId w:val="2"/>
        </w:numPr>
        <w:spacing w:after="90" w:line="276"/>
        <w:jc w:val="both"/>
      </w:pPr>
      <w:r>
        <w:rPr>
          <w:sz w:val="21"/>
          <w:szCs w:val="21"/>
        </w:rPr>
        <w:t xml:space="preserve">Base de données : consultation tabulaire et téléchargement au format tableur.</w:t>
      </w:r>
    </w:p>
    <w:p>
      <w:pPr>
        <w:pStyle w:val="ListParagraph"/>
        <w:numPr>
          <w:ilvl w:val="0"/>
          <w:numId w:val="2"/>
        </w:numPr>
        <w:spacing w:after="90" w:line="276"/>
        <w:jc w:val="both"/>
      </w:pPr>
      <w:r>
        <w:rPr>
          <w:sz w:val="21"/>
          <w:szCs w:val="21"/>
        </w:rPr>
        <w:t xml:space="preserve">Collectes : journal des actualisations et déclenchement manuel.</w:t>
      </w:r>
    </w:p>
    <w:p>
      <w:pPr>
        <w:pStyle w:val="Heading2"/>
      </w:pPr>
      <w:r>
        <w:t xml:space="preserve">2.1. Le bandeau</w:t>
      </w:r>
    </w:p>
    <w:p>
      <w:pPr>
        <w:spacing w:after="130" w:line="276"/>
        <w:jc w:val="both"/>
      </w:pPr>
      <w:r>
        <w:rPr>
          <w:b w:val="false"/>
          <w:bCs w:val="false"/>
          <w:i w:val="false"/>
          <w:iCs w:val="false"/>
          <w:sz w:val="21"/>
          <w:szCs w:val="21"/>
        </w:rPr>
        <w:t xml:space="preserve">Le bandeau reste visible en permanence. Il porte les armoiries de la République, le nom de la plateforme, le sélecteur de langue et le logo du ministère. Une bande discrète rappelle les dix principaux partenaires commerciaux du Cameroun.</w:t>
      </w:r>
    </w:p>
    <w:p>
      <w:pPr>
        <w:pStyle w:val="Heading2"/>
      </w:pPr>
      <w:r>
        <w:t xml:space="preserve">2.2. Changer de langue</w:t>
      </w:r>
    </w:p>
    <w:p>
      <w:pPr>
        <w:spacing w:after="130" w:line="276"/>
        <w:jc w:val="both"/>
      </w:pPr>
      <w:r>
        <w:rPr>
          <w:b w:val="false"/>
          <w:bCs w:val="false"/>
          <w:i w:val="false"/>
          <w:iCs w:val="false"/>
          <w:sz w:val="21"/>
          <w:szCs w:val="21"/>
        </w:rPr>
        <w:t xml:space="preserve">Le sélecteur situé à droite du bandeau permet de basculer entre le français et l'anglais. Le changement recharge la page : c'est ce qui permet de traduire l'intégralité de l'interface. Aucune sélection en cours n'est conservée par ce rechargement.</w:t>
      </w:r>
    </w:p>
    <w:p>
      <w:pPr>
        <w:pStyle w:val="Heading1"/>
      </w:pPr>
      <w:r>
        <w:t xml:space="preserve">3. Le tableau de bord</w:t>
      </w:r>
    </w:p>
    <w:p>
      <w:pPr>
        <w:spacing w:after="130" w:line="276"/>
        <w:jc w:val="both"/>
      </w:pPr>
      <w:r>
        <w:rPr>
          <w:b w:val="false"/>
          <w:bCs w:val="false"/>
          <w:i w:val="false"/>
          <w:iCs w:val="false"/>
          <w:sz w:val="21"/>
          <w:szCs w:val="21"/>
        </w:rPr>
        <w:t xml:space="preserve">Le tableau de bord se lit de haut en bas : on choisit une catégorie, puis on affine dans la barre de filtres, puis on lit le graphique et la carte.</w:t>
      </w:r>
    </w:p>
    <w:p>
      <w:pPr>
        <w:pStyle w:val="Heading2"/>
      </w:pPr>
      <w:r>
        <w:t xml:space="preserve">3.1. Choisir une catégorie</w:t>
      </w:r>
    </w:p>
    <w:p>
      <w:pPr>
        <w:spacing w:after="130" w:line="276"/>
        <w:jc w:val="both"/>
      </w:pPr>
      <w:r>
        <w:rPr>
          <w:b w:val="false"/>
          <w:bCs w:val="false"/>
          <w:i w:val="false"/>
          <w:iCs w:val="false"/>
          <w:sz w:val="21"/>
          <w:szCs w:val="21"/>
        </w:rPr>
        <w:t xml:space="preserve">Le premier cadre présente les quatorze catégories. Chacune indique le nombre d'indicateurs qu'elle contient et combien ont été collectés. Une catégorie entièrement vide est signalée en orange : ses indicateurs existent au catalogue mais n'ont pas encore été récupérés.</w:t>
      </w:r>
    </w:p>
    <w:p>
      <w:pPr>
        <w:pStyle w:val="Heading2"/>
      </w:pPr>
      <w:r>
        <w:t xml:space="preserve">3.2. La barre de filtres</w:t>
      </w:r>
    </w:p>
    <w:p>
      <w:pPr>
        <w:spacing w:after="130" w:line="276"/>
        <w:jc w:val="both"/>
      </w:pPr>
      <w:r>
        <w:rPr>
          <w:b w:val="false"/>
          <w:bCs w:val="false"/>
          <w:i w:val="false"/>
          <w:iCs w:val="false"/>
          <w:sz w:val="21"/>
          <w:szCs w:val="21"/>
        </w:rPr>
        <w:t xml:space="preserve">Cinq réglages, dans cet ordre, chacun restreignant le suivant.</w:t>
      </w:r>
    </w:p>
    <w:p>
      <w:pPr>
        <w:pStyle w:val="ListParagraph"/>
        <w:numPr>
          <w:ilvl w:val="0"/>
          <w:numId w:val="2"/>
        </w:numPr>
        <w:spacing w:after="90" w:line="276"/>
        <w:jc w:val="both"/>
      </w:pPr>
      <w:r>
        <w:rPr>
          <w:sz w:val="21"/>
          <w:szCs w:val="21"/>
        </w:rPr>
        <w:t xml:space="preserve">Indicateur : la liste ne contient que les indicateurs de la catégorie. Ceux déjà collectés viennent en tête ; les autres portent la mention « non collecté ».</w:t>
      </w:r>
    </w:p>
    <w:p>
      <w:pPr>
        <w:pStyle w:val="ListParagraph"/>
        <w:numPr>
          <w:ilvl w:val="0"/>
          <w:numId w:val="2"/>
        </w:numPr>
        <w:spacing w:after="90" w:line="276"/>
        <w:jc w:val="both"/>
      </w:pPr>
      <w:r>
        <w:rPr>
          <w:sz w:val="21"/>
          <w:szCs w:val="21"/>
        </w:rPr>
        <w:t xml:space="preserve">Fréquence : seules les fréquences réellement présentes en base sont proposées. Elle s'ajuste automatiquement à l'indicateur choisi.</w:t>
      </w:r>
    </w:p>
    <w:p>
      <w:pPr>
        <w:pStyle w:val="ListParagraph"/>
        <w:numPr>
          <w:ilvl w:val="0"/>
          <w:numId w:val="2"/>
        </w:numPr>
        <w:spacing w:after="90" w:line="276"/>
        <w:jc w:val="both"/>
      </w:pPr>
      <w:r>
        <w:rPr>
          <w:sz w:val="21"/>
          <w:szCs w:val="21"/>
        </w:rPr>
        <w:t xml:space="preserve">Période : les bornes correspondent à la couverture effective. Si la date de début dépasse celle de fin, les deux sont échangées et un message le signale.</w:t>
      </w:r>
    </w:p>
    <w:p>
      <w:pPr>
        <w:pStyle w:val="ListParagraph"/>
        <w:numPr>
          <w:ilvl w:val="0"/>
          <w:numId w:val="2"/>
        </w:numPr>
        <w:spacing w:after="90" w:line="276"/>
        <w:jc w:val="both"/>
      </w:pPr>
      <w:r>
        <w:rPr>
          <w:sz w:val="21"/>
          <w:szCs w:val="21"/>
        </w:rPr>
        <w:t xml:space="preserve">Pays : seuls les pays pour lesquels l'indicateur est renseigné apparaissent. Huit au maximum sur un même graphique. Pour un cours mondial, qui n'a pas de dimension géographique, le sélecteur bascule sur « Cours mondial ».</w:t>
      </w:r>
    </w:p>
    <w:p>
      <w:pPr>
        <w:pStyle w:val="ListParagraph"/>
        <w:numPr>
          <w:ilvl w:val="0"/>
          <w:numId w:val="2"/>
        </w:numPr>
        <w:spacing w:after="90" w:line="276"/>
        <w:jc w:val="both"/>
      </w:pPr>
      <w:r>
        <w:rPr>
          <w:sz w:val="21"/>
          <w:szCs w:val="21"/>
        </w:rPr>
        <w:t xml:space="preserve">Le bouton « Appliquer le filtre » déclenche l'affichage. Rien ne se redessine avant.</w:t>
      </w:r>
    </w:p>
    <w:p>
      <w:pPr>
        <w:pStyle w:val="Heading2"/>
      </w:pPr>
      <w:r>
        <w:t xml:space="preserve">3.3. Superposer plusieurs séries</w:t>
      </w:r>
    </w:p>
    <w:p>
      <w:pPr>
        <w:spacing w:after="130" w:line="276"/>
        <w:jc w:val="both"/>
      </w:pPr>
      <w:r>
        <w:rPr>
          <w:b w:val="false"/>
          <w:bCs w:val="false"/>
          <w:i w:val="false"/>
          <w:iCs w:val="false"/>
          <w:sz w:val="21"/>
          <w:szCs w:val="21"/>
        </w:rPr>
        <w:t xml:space="preserve">Le bouton « Ajouter au graphique » empile la sélection courante sur les précédentes, jusqu'à six séries. Chacune apparaît sous forme de jeton, que l'on retire d'un clic sur la croix.</w:t>
      </w:r>
    </w:p>
    <w:p>
      <w:pPr>
        <w:spacing w:after="130" w:line="276"/>
        <w:jc w:val="both"/>
      </w:pPr>
      <w:r>
        <w:rPr>
          <w:b w:val="false"/>
          <w:bCs w:val="false"/>
          <w:i w:val="false"/>
          <w:iCs w:val="false"/>
          <w:sz w:val="21"/>
          <w:szCs w:val="21"/>
        </w:rPr>
        <w:t xml:space="preserve">Quand les séries n'ont pas la même unité, elles sont automatiquement ramenées en base 100 à leur première observation. Superposer un pourcentage du produit intérieur brut et un cours en dollars par tonne sur un même axe écraserait l'un des deux et rendrait le graphique illisible. La case « Base 100 » permet d'imposer ce traitement même lorsque les unités concordent, pour comparer des évolutions relatives.</w:t>
      </w:r>
    </w:p>
    <w:p>
      <w:pPr>
        <w:pStyle w:val="Heading2"/>
      </w:pPr>
      <w:r>
        <w:t xml:space="preserve">3.4. Lire le graphique</w:t>
      </w:r>
    </w:p>
    <w:p>
      <w:pPr>
        <w:spacing w:after="130" w:line="276"/>
        <w:jc w:val="both"/>
      </w:pPr>
      <w:r>
        <w:rPr>
          <w:b w:val="false"/>
          <w:bCs w:val="false"/>
          <w:i w:val="false"/>
          <w:iCs w:val="false"/>
          <w:sz w:val="21"/>
          <w:szCs w:val="21"/>
        </w:rPr>
        <w:t xml:space="preserve">Trois représentations sont disponibles : courbes, barres et aires. Une série lacunaire est tracée en pointillés et jamais interpolée : relier deux points distants de plusieurs années par un trait plein suggérerait une évolution qui n'a jamais été observée.</w:t>
      </w:r>
    </w:p>
    <w:p>
      <w:pPr>
        <w:pStyle w:val="Heading2"/>
      </w:pPr>
      <w:r>
        <w:t xml:space="preserve">3.5. Projections</w:t>
      </w:r>
    </w:p>
    <w:p>
      <w:pPr>
        <w:spacing w:after="130" w:line="276"/>
        <w:jc w:val="both"/>
      </w:pPr>
      <w:r>
        <w:rPr>
          <w:b w:val="false"/>
          <w:bCs w:val="false"/>
          <w:i w:val="false"/>
          <w:iCs w:val="false"/>
          <w:sz w:val="21"/>
          <w:szCs w:val="21"/>
        </w:rPr>
        <w:t xml:space="preserve">Trois méthodes de prolongement sont proposées, avec leur intervalle de confiance. Elles ne remplacent pas un cadrage macroéconomique : ce sont des prolongements mécaniques de la série observée, sans hypothèse de politique économique.</w:t>
      </w:r>
    </w:p>
    <w:p>
      <w:pPr>
        <w:pStyle w:val="ListParagraph"/>
        <w:numPr>
          <w:ilvl w:val="0"/>
          <w:numId w:val="2"/>
        </w:numPr>
        <w:spacing w:after="90" w:line="276"/>
        <w:jc w:val="both"/>
      </w:pPr>
      <w:r>
        <w:rPr>
          <w:sz w:val="21"/>
          <w:szCs w:val="21"/>
        </w:rPr>
        <w:t xml:space="preserve">Tendance linéaire : moindres carrés ordinaires sur le temps. Robuste, mais insensible aux ruptures de régime.</w:t>
      </w:r>
    </w:p>
    <w:p>
      <w:pPr>
        <w:pStyle w:val="ListParagraph"/>
        <w:numPr>
          <w:ilvl w:val="0"/>
          <w:numId w:val="2"/>
        </w:numPr>
        <w:spacing w:after="90" w:line="276"/>
        <w:jc w:val="both"/>
      </w:pPr>
      <w:r>
        <w:rPr>
          <w:sz w:val="21"/>
          <w:szCs w:val="21"/>
        </w:rPr>
        <w:t xml:space="preserve">Marche aléatoire avec dérive : prolonge la moyenne des dernières variations. La référence de comparaison la plus honnête.</w:t>
      </w:r>
    </w:p>
    <w:p>
      <w:pPr>
        <w:pStyle w:val="ListParagraph"/>
        <w:numPr>
          <w:ilvl w:val="0"/>
          <w:numId w:val="2"/>
        </w:numPr>
        <w:spacing w:after="90" w:line="276"/>
        <w:jc w:val="both"/>
      </w:pPr>
      <w:r>
        <w:rPr>
          <w:sz w:val="21"/>
          <w:szCs w:val="21"/>
        </w:rPr>
        <w:t xml:space="preserve">Lissage exponentiel de Holt : donne plus de poids aux observations récentes, donc réagit mieux aux inflexions.</w:t>
      </w:r>
    </w:p>
    <w:p>
      <w:pPr>
        <w:pStyle w:val="Heading2"/>
      </w:pPr>
      <w:r>
        <w:t xml:space="preserve">3.6. Exporter</w:t>
      </w:r>
    </w:p>
    <w:p>
      <w:pPr>
        <w:spacing w:after="130" w:line="276"/>
        <w:jc w:val="both"/>
      </w:pPr>
      <w:r>
        <w:rPr>
          <w:b w:val="false"/>
          <w:bCs w:val="false"/>
          <w:i w:val="false"/>
          <w:iCs w:val="false"/>
          <w:sz w:val="21"/>
          <w:szCs w:val="21"/>
        </w:rPr>
        <w:t xml:space="preserve">Le bouton « Image » produit un fichier PNG à fond blanc, prêt à être inséré dans une note. Le bouton « Données » produit un classeur contenant la sélection affichée et sa feuille de sources.</w:t>
      </w:r>
    </w:p>
    <w:p>
      <w:pPr>
        <w:pStyle w:val="Heading1"/>
      </w:pPr>
      <w:r>
        <w:t xml:space="preserve">4. L'analyse cartographique</w:t>
      </w:r>
    </w:p>
    <w:p>
      <w:pPr>
        <w:spacing w:after="130" w:line="276"/>
        <w:jc w:val="both"/>
      </w:pPr>
      <w:r>
        <w:rPr>
          <w:b w:val="false"/>
          <w:bCs w:val="false"/>
          <w:i w:val="false"/>
          <w:iCs w:val="false"/>
          <w:sz w:val="21"/>
          <w:szCs w:val="21"/>
        </w:rPr>
        <w:t xml:space="preserve">Sous le graphique, une carte du monde colore les pays selon la valeur de l'indicateur, pour une année choisie au curseur. Le bouton de lecture parcourt les années automatiquement.</w:t>
      </w:r>
    </w:p>
    <w:p>
      <w:pPr>
        <w:spacing w:after="130" w:line="276"/>
        <w:jc w:val="both"/>
      </w:pPr>
      <w:r>
        <w:rPr>
          <w:b w:val="false"/>
          <w:bCs w:val="false"/>
          <w:i w:val="false"/>
          <w:iCs w:val="false"/>
          <w:sz w:val="21"/>
          <w:szCs w:val="21"/>
        </w:rPr>
        <w:t xml:space="preserve">La carte suit le premier indicateur affiché. Superposer plusieurs indicateurs sur un même aplat de couleur n'aurait pas de sens, les unités n'étant pas comparables.</w:t>
      </w:r>
    </w:p>
    <w:p>
      <w:pPr>
        <w:pStyle w:val="Heading2"/>
      </w:pPr>
      <w:r>
        <w:t xml:space="preserve">4.1. Lire l'échelle</w:t>
      </w:r>
    </w:p>
    <w:p>
      <w:pPr>
        <w:spacing w:after="130" w:line="276"/>
        <w:jc w:val="both"/>
      </w:pPr>
      <w:r>
        <w:rPr>
          <w:b w:val="false"/>
          <w:bCs w:val="false"/>
          <w:i w:val="false"/>
          <w:iCs w:val="false"/>
          <w:sz w:val="21"/>
          <w:szCs w:val="21"/>
        </w:rPr>
        <w:t xml:space="preserve">L'échelle est bornée aux centiles 2 et 98 de la distribution. Sans cette précaution, une poignée de valeurs extrêmes donnerait à tous les autres pays la même teinte. L'infobulle affiche toujours la valeur réelle, non bornée.</w:t>
      </w:r>
    </w:p>
    <w:p>
      <w:pPr>
        <w:spacing w:after="130" w:line="276"/>
        <w:jc w:val="both"/>
      </w:pPr>
      <w:r>
        <w:rPr>
          <w:b w:val="false"/>
          <w:bCs w:val="false"/>
          <w:i w:val="false"/>
          <w:iCs w:val="false"/>
          <w:sz w:val="21"/>
          <w:szCs w:val="21"/>
        </w:rPr>
        <w:t xml:space="preserve">Les pays de votre sélection sont soulignés d'un trait plus épais pour rester repérables.</w:t>
      </w:r>
    </w:p>
    <w:p>
      <w:pPr>
        <w:pStyle w:val="Heading2"/>
      </w:pPr>
      <w:r>
        <w:t xml:space="preserve">4.2. La fiche pays</w:t>
      </w:r>
    </w:p>
    <w:p>
      <w:pPr>
        <w:spacing w:after="130" w:line="276"/>
        <w:jc w:val="both"/>
      </w:pPr>
      <w:r>
        <w:rPr>
          <w:b w:val="false"/>
          <w:bCs w:val="false"/>
          <w:i w:val="false"/>
          <w:iCs w:val="false"/>
          <w:sz w:val="21"/>
          <w:szCs w:val="21"/>
        </w:rPr>
        <w:t xml:space="preserve">Un clic sur un pays ouvre son panneau à droite : drapeau, langue officielle, région, groupe de revenu, valeur de l'indicateur et rang mondial pour l'année affichée. Le bouton « Classement » exporte le classement complet de l'année.</w:t>
      </w:r>
    </w:p>
    <w:p>
      <w:pPr>
        <w:pStyle w:val="Heading1"/>
      </w:pPr>
      <w:r>
        <w:t xml:space="preserve">5. La base de données</w:t>
      </w:r>
    </w:p>
    <w:p>
      <w:pPr>
        <w:spacing w:after="130" w:line="276"/>
        <w:jc w:val="both"/>
      </w:pPr>
      <w:r>
        <w:rPr>
          <w:b w:val="false"/>
          <w:bCs w:val="false"/>
          <w:i w:val="false"/>
          <w:iCs w:val="false"/>
          <w:sz w:val="21"/>
          <w:szCs w:val="21"/>
        </w:rPr>
        <w:t xml:space="preserve">Cet onglet donne accès à la base sans passer par un graphique. Les filtres portent sur la catégorie, les indicateurs, les pays, la fréquence et les années.</w:t>
      </w:r>
    </w:p>
    <w:p>
      <w:pPr>
        <w:spacing w:after="130" w:line="276"/>
        <w:jc w:val="both"/>
      </w:pPr>
      <w:r>
        <w:rPr>
          <w:b w:val="false"/>
          <w:bCs w:val="false"/>
          <w:i w:val="false"/>
          <w:iCs w:val="false"/>
          <w:sz w:val="21"/>
          <w:szCs w:val="21"/>
        </w:rPr>
        <w:t xml:space="preserve">Le tableau affiche les mille premières lignes ; le téléchargement porte sur la sélection complète. Le format tableur est le seul format de téléchargement proposé, en deux présentations.</w:t>
      </w:r>
    </w:p>
    <w:p>
      <w:pPr>
        <w:pStyle w:val="ListParagraph"/>
        <w:numPr>
          <w:ilvl w:val="0"/>
          <w:numId w:val="2"/>
        </w:numPr>
        <w:spacing w:after="90" w:line="276"/>
        <w:jc w:val="both"/>
      </w:pPr>
      <w:r>
        <w:rPr>
          <w:sz w:val="21"/>
          <w:szCs w:val="21"/>
        </w:rPr>
        <w:t xml:space="preserve">Format long : une ligne par observation. C'est le format à privilégier pour un traitement statistique.</w:t>
      </w:r>
    </w:p>
    <w:p>
      <w:pPr>
        <w:pStyle w:val="ListParagraph"/>
        <w:numPr>
          <w:ilvl w:val="0"/>
          <w:numId w:val="2"/>
        </w:numPr>
        <w:spacing w:after="90" w:line="276"/>
        <w:jc w:val="both"/>
      </w:pPr>
      <w:r>
        <w:rPr>
          <w:sz w:val="21"/>
          <w:szCs w:val="21"/>
        </w:rPr>
        <w:t xml:space="preserve">Tableau croisé : une ligne par pays et par période, une colonne par indicateur. C'est le format attendu par un économiste qui enchaîne sur une régression.</w:t>
      </w:r>
    </w:p>
    <w:p>
      <w:pPr>
        <w:pStyle w:val="Heading1"/>
      </w:pPr>
      <w:r>
        <w:t xml:space="preserve">6. Les collectes</w:t>
      </w:r>
    </w:p>
    <w:p>
      <w:pPr>
        <w:spacing w:after="130" w:line="276"/>
        <w:jc w:val="both"/>
      </w:pPr>
      <w:r>
        <w:rPr>
          <w:b w:val="false"/>
          <w:bCs w:val="false"/>
          <w:i w:val="false"/>
          <w:iCs w:val="false"/>
          <w:sz w:val="21"/>
          <w:szCs w:val="21"/>
        </w:rPr>
        <w:t xml:space="preserve">La plateforme se met à jour en interrogeant les interfaces publiques de ses fournisseurs. Chaque exécution est tracée dans un journal : sans lui, une collecte silencieusement vide passerait inaperçue pendant des mois.</w:t>
      </w:r>
    </w:p>
    <w:p>
      <w:pPr>
        <w:spacing w:after="130" w:line="276"/>
        <w:jc w:val="both"/>
      </w:pPr>
      <w:r>
        <w:rPr>
          <w:b w:val="false"/>
          <w:bCs w:val="false"/>
          <w:i w:val="false"/>
          <w:iCs w:val="false"/>
          <w:sz w:val="21"/>
          <w:szCs w:val="21"/>
        </w:rPr>
        <w:t xml:space="preserve">L'actualisation se déclenche depuis cet onglet, pour une catégorie ou pour la totalité du catalogue. Une collecte complète représente plusieurs centaines d'appels et dure entre trente et quarante-cinq minutes : mieux vaut procéder par catégorie.</w:t>
      </w:r>
    </w:p>
    <w:p>
      <w:pPr>
        <w:spacing w:after="130" w:line="276"/>
        <w:jc w:val="both"/>
      </w:pPr>
      <w:r>
        <w:rPr>
          <w:b w:val="false"/>
          <w:bCs w:val="false"/>
          <w:i w:val="false"/>
          <w:iCs w:val="false"/>
          <w:sz w:val="21"/>
          <w:szCs w:val="21"/>
        </w:rPr>
        <w:t xml:space="preserve">Le bouton « Actualiser les données » du tableau de bord ne rafraîchit que les indicateurs affichés, ce qui est bien plus rapide.</w:t>
      </w:r>
    </w:p>
    <w:p>
      <w:pPr>
        <w:pStyle w:val="Heading2"/>
      </w:pPr>
      <w:r>
        <w:t xml:space="preserve">6.1. Rythme conseillé</w:t>
      </w:r>
    </w:p>
    <w:p>
      <w:pPr>
        <w:spacing w:after="130" w:line="276"/>
        <w:jc w:val="both"/>
      </w:pPr>
      <w:r>
        <w:rPr>
          <w:b w:val="false"/>
          <w:bCs w:val="false"/>
          <w:i w:val="false"/>
          <w:iCs w:val="false"/>
          <w:sz w:val="21"/>
          <w:szCs w:val="21"/>
        </w:rPr>
        <w:t xml:space="preserve">Les données macroéconomiques ne changent pas d'une heure à l'autre. Un indice des prix paraît une fois par mois, les Perspectives de l'économie mondiale du Fonds monétaire international deux fois par an, les Indicateurs du développement dans le monde sont révisés deux à quatre fois par an. Une actualisation hebdomadaire des séries mensuelles et mensuelle du reste du catalogue suffit largement.</w:t>
      </w:r>
    </w:p>
    <w:p>
      <w:pPr>
        <w:pStyle w:val="Heading1"/>
      </w:pPr>
      <w:r>
        <w:t xml:space="preserve">7. Les sources</w:t>
      </w:r>
    </w:p>
    <w:p>
      <w:pPr>
        <w:spacing w:after="130" w:line="276"/>
        <w:jc w:val="both"/>
      </w:pPr>
      <w:r>
        <w:rPr>
          <w:b w:val="false"/>
          <w:bCs w:val="false"/>
          <w:i w:val="false"/>
          <w:iCs w:val="false"/>
          <w:sz w:val="21"/>
          <w:szCs w:val="21"/>
        </w:rPr>
        <w:t xml:space="preserve">Quatre fournisseurs alimentent le catalogue actif. Tous exposent des interfaces publiques et gratuites, sans clé d'accès.</w:t>
      </w:r>
    </w:p>
    <w:p>
      <w:pPr>
        <w:pStyle w:val="ListParagraph"/>
        <w:numPr>
          <w:ilvl w:val="0"/>
          <w:numId w:val="2"/>
        </w:numPr>
        <w:spacing w:after="90" w:line="276"/>
        <w:jc w:val="both"/>
      </w:pPr>
      <w:r>
        <w:rPr>
          <w:sz w:val="21"/>
          <w:szCs w:val="21"/>
        </w:rPr>
        <w:t xml:space="preserve">Banque mondiale : Indicateurs du développement dans le monde, Statistiques de la dette internationale, Indicateurs mondiaux de gouvernance, Plateforme de la pauvreté, Global Findex, indice de performance logistique, et les cours mondiaux de produits de base du Pink Sheet.</w:t>
      </w:r>
    </w:p>
    <w:p>
      <w:pPr>
        <w:pStyle w:val="ListParagraph"/>
        <w:numPr>
          <w:ilvl w:val="0"/>
          <w:numId w:val="2"/>
        </w:numPr>
        <w:spacing w:after="90" w:line="276"/>
        <w:jc w:val="both"/>
      </w:pPr>
      <w:r>
        <w:rPr>
          <w:sz w:val="21"/>
          <w:szCs w:val="21"/>
        </w:rPr>
        <w:t xml:space="preserve">Fonds monétaire international : Perspectives de l'économie mondiale et Moniteur des finances publiques, par le portail SDMX.</w:t>
      </w:r>
    </w:p>
    <w:p>
      <w:pPr>
        <w:pStyle w:val="ListParagraph"/>
        <w:numPr>
          <w:ilvl w:val="0"/>
          <w:numId w:val="2"/>
        </w:numPr>
        <w:spacing w:after="90" w:line="276"/>
        <w:jc w:val="both"/>
      </w:pPr>
      <w:r>
        <w:rPr>
          <w:sz w:val="21"/>
          <w:szCs w:val="21"/>
        </w:rPr>
        <w:t xml:space="preserve">Growth Lab de l'Université Harvard : indice de complexité économique et indice de perspectives de complexité, par interface GraphQL.</w:t>
      </w:r>
    </w:p>
    <w:p>
      <w:pPr>
        <w:pStyle w:val="ListParagraph"/>
        <w:numPr>
          <w:ilvl w:val="0"/>
          <w:numId w:val="2"/>
        </w:numPr>
        <w:spacing w:after="90" w:line="276"/>
        <w:jc w:val="both"/>
      </w:pPr>
      <w:r>
        <w:rPr>
          <w:sz w:val="21"/>
          <w:szCs w:val="21"/>
        </w:rPr>
        <w:t xml:space="preserve">D'autres fournisseurs figurent au catalogue mais ne sont pas encore branchés : leurs indicateurs sont désactivés plutôt que laissés visibles et muets.</w:t>
      </w:r>
    </w:p>
    <w:p>
      <w:pPr>
        <w:pStyle w:val="Heading1"/>
      </w:pPr>
      <w:r>
        <w:t xml:space="preserve">8. Catalogue des indicateurs</w:t>
      </w:r>
    </w:p>
    <w:p>
      <w:pPr>
        <w:spacing w:after="130" w:line="276"/>
        <w:jc w:val="both"/>
      </w:pPr>
      <w:r>
        <w:rPr>
          <w:b w:val="false"/>
          <w:bCs w:val="false"/>
          <w:i w:val="false"/>
          <w:iCs w:val="false"/>
          <w:sz w:val="21"/>
          <w:szCs w:val="21"/>
        </w:rPr>
        <w:t xml:space="preserve">Les tableaux qui suivent recensent les 233 indicateurs actifs, par catégorie. Le code de collecte est celui utilisé auprès du fournisseur : il ne doit pas être modifié.</w:t>
      </w:r>
    </w:p>
    <w:p>
      <w:pPr>
        <w:spacing w:after="130" w:line="276"/>
        <w:jc w:val="both"/>
      </w:pPr>
      <w:r>
        <w:rPr>
          <w:b w:val="false"/>
          <w:bCs w:val="false"/>
          <w:i w:val="false"/>
          <w:iCs w:val="false"/>
          <w:sz w:val="21"/>
          <w:szCs w:val="21"/>
        </w:rPr>
        <w:t xml:space="preserve">Sauf mention contraire, la fréquence est annuelle. Les cours de produits de base sont mensuels et doublés d'une moyenne annuelle.</w:t>
      </w:r>
    </w:p>
    <w:p>
      <w:pPr>
        <w:pStyle w:val="Heading2"/>
      </w:pPr>
      <w:r>
        <w:t xml:space="preserve">C01. Matières premières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Aluminium</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PALUM</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Bananes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PBANSOP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Blé</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PWHEAMT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Cacao</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PCOCO</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Café, arabicas doux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PCOFFOTM</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Café, robusta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PCOFFROB</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Caoutchouc</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PRUBB</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Charbon, Australie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PCOALAU</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Coton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PCOTTIND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Cours du pétrole brut (moyenne des 3 places)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POILAPSP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Cuivre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PCOPP</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Gaz naturel, Europe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PNGASEU</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MBtu</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Grumes de bois dur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PLOGSK</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m3</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Huile de palme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PPOIL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alimentation et boissons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PFANDBW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 tous les produits de base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PALLFNFW</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des matières premières agricoles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PRAWMW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des métaux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PMETAW</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des produits énergétiques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PNRGW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Maïs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PMAIZMT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Minerai de fer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PIORECR</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Or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PGOLD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once troy</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Pétrole brut, Brent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POILBRE</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Pétrole brut, Dubaï</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POILDUB</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Pétrole brut, WTI</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POILWTI</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Riz</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PRICENPQ</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Sciages de bois dur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PSAWMAL</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m3</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Sucre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PSUGAISA</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cents US / livre</w:t>
            </w:r>
          </w:p>
        </w:tc>
      </w:tr>
    </w:tbl>
    <w:p>
      <w:pPr>
        <w:spacing w:after="190" w:line="276"/>
        <w:jc w:val="both"/>
      </w:pPr>
      <w:r>
        <w:rPr>
          <w:b w:val="false"/>
          <w:bCs w:val="false"/>
          <w:i w:val="false"/>
          <w:iCs w:val="false"/>
          <w:sz w:val="21"/>
          <w:szCs w:val="21"/>
        </w:rPr>
        <w:t xml:space="preserve"/>
      </w:r>
    </w:p>
    <w:p>
      <w:pPr>
        <w:pStyle w:val="Heading2"/>
      </w:pPr>
      <w:r>
        <w:t xml:space="preserve">C02. Indicateurs du secteur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Consommation finale des administrations publiques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NE.CON.GOVT.ZS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Consommation finale des ménages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NE.CON.PRVT.ZS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Croissance du PIB par habitant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NY.GDP.PCAP.KD.ZG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Déflateur du PIB, variation annuelle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NY.GDP.DEFL.KD.ZG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Exportations de biens et services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NE.EXP.GNFS.ZS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Formation brute de capital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NE.GDI.TOTL.ZS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Formation brute de capital fixe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NE.GDI.FTOT.ZS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Importations de biens et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NE.IMP.GNFS.ZS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Investissement total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NID_NGDP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PIB nominal en devise nationale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NGDP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Mds LCU</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PIB nominal en dollars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NGDPD</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Mds USD</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PIB par habitant en PPA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NY.GDP.PCAP.PP.CD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PPA</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PIB par habitant, prix constants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constants 2015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PIB par habitant, prix courants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PIB total en PPA</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PPPGDP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Mds USD PPA</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Part du pays dans le PIB mondial (PPA)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PPPSH</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Produit intérieur brut, prix constants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NY.GDP.MKTP.KD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constants 2015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Produit intérieur brut, prix courants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NY.GDP.MKTP.CD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Revenu national brut par habitant (méthode Atlas)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NY.GNP.PCAP.CD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de croissance du PIB réel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NY.GDP.MKTP.KD.ZG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de croissance du PIB réel (projections)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NGDP_RPCH</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Valeur ajoutée de l'agriculture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NV.AGR.TOTL.ZS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Valeur ajoutée de l'industrie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NV.IND.TOTL.ZS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Valeur ajoutée de l'industrie manufacturière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NV.IND.MANF.ZS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Valeur ajoutée des services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NV.SRV.TOTL.ZS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Épargne intérieure brute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NY.GNS.ICTR.ZS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Épargne nationale brute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NGSD_NGDP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bl>
    <w:p>
      <w:pPr>
        <w:spacing w:after="190" w:line="276"/>
        <w:jc w:val="both"/>
      </w:pPr>
      <w:r>
        <w:rPr>
          <w:b w:val="false"/>
          <w:bCs w:val="false"/>
          <w:i w:val="false"/>
          <w:iCs w:val="false"/>
          <w:sz w:val="21"/>
          <w:szCs w:val="21"/>
        </w:rPr>
        <w:t xml:space="preserve"/>
      </w:r>
    </w:p>
    <w:p>
      <w:pPr>
        <w:pStyle w:val="Heading2"/>
      </w:pPr>
      <w:r>
        <w:t xml:space="preserve">C03. Indicateurs de finance publique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Capacité ou besoin de financement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GC.NLD.TOTL.GD.ZS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Charges d'intérêt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GC.XPN.INTP.RV.ZS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recettes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Dépenses militaires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MS.MIL.XPND.GD.ZS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Dépenses totales (administration centrale)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GC.XPN.TOTL.GD.ZS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Dépenses totales des administrations publiques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Impôts sur les revenus et bénéfices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GC.TAX.YPKG.RV.ZS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recettes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Masse salariale publique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GC.XPN.COMP.ZS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dépenses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Recettes fiscales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GC.TAX.TOTL.GD.ZS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Recettes hors dons (administration centrale)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GC.REV.XGRT.GD.ZS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Recettes totales des administrations publiques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GGR_NGDP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Solde budgétaire global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GGXCNL_NGDP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Solde budgétaire primaire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GGXONLB_NGDP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Solde structurel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GGSB_NPGDP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 pot.</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Subventions et transferts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GC.XPN.TRFT.ZS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dépenses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Taxes sur le commerce international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GC.TAX.INTT.RV.ZS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recettes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Taxes sur les biens et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GC.TAX.GSRV.RV.ZS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recettes</w:t>
            </w:r>
          </w:p>
        </w:tc>
      </w:tr>
    </w:tbl>
    <w:p>
      <w:pPr>
        <w:spacing w:after="190" w:line="276"/>
        <w:jc w:val="both"/>
      </w:pPr>
      <w:r>
        <w:rPr>
          <w:b w:val="false"/>
          <w:bCs w:val="false"/>
          <w:i w:val="false"/>
          <w:iCs w:val="false"/>
          <w:sz w:val="21"/>
          <w:szCs w:val="21"/>
        </w:rPr>
        <w:t xml:space="preserve"/>
      </w:r>
    </w:p>
    <w:p>
      <w:pPr>
        <w:pStyle w:val="Heading2"/>
      </w:pPr>
      <w:r>
        <w:t xml:space="preserve">C04. Indicateurs du secteur monétaire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Agences bancaires pour 100 000 adultes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FB.CBK.BRCH.P5</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100 000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Capitalisation boursière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CM.MKT.LCAP.GD.ZS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Comptes bancaires détenus (15 ans et plus)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FX.OWN.TOTL.ZS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Findex</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Croissance de la masse monétaire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FM.LBL.BMNY.ZG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annuel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Crédit bancaire au secteur privé</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FD.AST.PRVT.GD.ZS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Crédit intérieur au secteur privé</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FS.AST.PRVT.GD.ZS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Crédit intérieur net à l'État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FS.AST.DOMS.GD.ZS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Masse monétaire au sens large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FM.LBL.BMNY.GD.ZS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Prêts non performants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FB.AST.NPER.ZS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prêts bruts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Ratio de fonds propres sur actifs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FB.BNK.CAPA.ZS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C05. Indicateurs du secteur extérieur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Aide publique au développement reçue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DT.ODA.ODAT.GN.ZS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Exportations de biens et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BX.GSR.GNFS.CD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Exportations de marchandises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TX.VAL.MRCH.CD.WT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Importations de biens et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BM.GSR.GNFS.CD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Importations de marchandises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TM.VAL.MRCH.CD.WT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Investissements directs à l'étranger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BM.KLT.DINV.WD.GD.ZS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Investissements directs étrangers, entrées nettes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BX.KLT.DINV.WD.GD.ZS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Investissements directs étrangers, valeur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BX.KLT.DINV.CD.WD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Ouverture commerciale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NE.TRD.GNFS.ZS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Part des produits manufacturés dans les exportations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TX.VAL.MANF.ZS.UN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Part des produits primaires dans les exportations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TX.VAL.FOOD.ZS.UN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Réserves de change totales (or compris)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FI.RES.TOTL.CD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Réserves en mois d'importations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FI.RES.TOTL.MO</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Mois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Solde du compte courant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BN.CAB.XOKA.GD.ZS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Solde du compte courant (projections)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BCA_NGDPD</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Solde du compte courant en valeur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BN.CAB.XOKA.CD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Tarif douanier moyen appliqué</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TM.TAX.MRCH.WM.AR.ZS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Termes de l'échange nets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TT.PRI.MRCH.XD.WD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2015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Transferts des migrants reçus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BX.TRF.PWKR.CD.DT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Transferts des migrants reçus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BX.TRF.PWKR.DT.GD.ZS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bl>
    <w:p>
      <w:pPr>
        <w:spacing w:after="190" w:line="276"/>
        <w:jc w:val="both"/>
      </w:pPr>
      <w:r>
        <w:rPr>
          <w:b w:val="false"/>
          <w:bCs w:val="false"/>
          <w:i w:val="false"/>
          <w:iCs w:val="false"/>
          <w:sz w:val="21"/>
          <w:szCs w:val="21"/>
        </w:rPr>
        <w:t xml:space="preserve"/>
      </w:r>
    </w:p>
    <w:p>
      <w:pPr>
        <w:pStyle w:val="Heading2"/>
      </w:pPr>
      <w:r>
        <w:t xml:space="preserve">C06. Taux de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Facteur de conversion PPA</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PA.NUS.PPP</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LCU / USD int.</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de change effectif réel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PX.REX.REER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2010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de change officiel (moyenne période)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PA.NUS.FCRF</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LCU / USD</w:t>
            </w:r>
          </w:p>
        </w:tc>
      </w:tr>
    </w:tbl>
    <w:p>
      <w:pPr>
        <w:spacing w:after="190" w:line="276"/>
        <w:jc w:val="both"/>
      </w:pPr>
      <w:r>
        <w:rPr>
          <w:b w:val="false"/>
          <w:bCs w:val="false"/>
          <w:i w:val="false"/>
          <w:iCs w:val="false"/>
          <w:sz w:val="21"/>
          <w:szCs w:val="21"/>
        </w:rPr>
        <w:t xml:space="preserve"/>
      </w:r>
    </w:p>
    <w:p>
      <w:pPr>
        <w:pStyle w:val="Heading2"/>
      </w:pPr>
      <w:r>
        <w:t xml:space="preserve">C07. Taux d'intérêt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Marge d'intermédiation bancaire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FR.INR.LNDP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Points de %</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d'intérêt créditeur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FR.INR.DPST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d'intérêt débiteur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FR.INR.LEND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d'intérêt réel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FR.INR.RINR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C08. Prix et inflation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Déflateur du PIB</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NY.GDP.DEFL.ZS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des prix à la consommation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FP.CPI.TOTL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2010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Inflation en fin de période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PCPIEPCH</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Inflation moyenne annuelle (projections)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PCPIPCH</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Inflation, prix à la consommation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FP.CPI.TOTL.ZG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annuel</w:t>
            </w:r>
          </w:p>
        </w:tc>
      </w:tr>
    </w:tbl>
    <w:p>
      <w:pPr>
        <w:spacing w:after="190" w:line="276"/>
        <w:jc w:val="both"/>
      </w:pPr>
      <w:r>
        <w:rPr>
          <w:b w:val="false"/>
          <w:bCs w:val="false"/>
          <w:i w:val="false"/>
          <w:iCs w:val="false"/>
          <w:sz w:val="21"/>
          <w:szCs w:val="21"/>
        </w:rPr>
        <w:t xml:space="preserve"/>
      </w:r>
    </w:p>
    <w:p>
      <w:pPr>
        <w:pStyle w:val="Heading2"/>
      </w:pPr>
      <w:r>
        <w:t xml:space="preserve">C09. Dette publique et extérieure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Dette brute des administrations publiques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GGXWDG_NGDP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Dette de l'administration centrale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GC.DOD.TOTL.GD.ZS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Dette extérieure totale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DT.DOD.DECT.GN.ZS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Dette extérieure à court terme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DT.DOD.DSTC.CD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Dette nette des administrations publiques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GGXWDN_NGDP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Dette publique et publiquement garantie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DT.DOD.DPPG.CD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Dette à court terme rapportée aux réserves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DT.DOD.DSTC.IR.ZS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réserves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Décaissements de nouveaux prêts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DT.DIS.DPPG.CD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Maturité moyenne des nouveaux engagements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DT.MAT.DPPG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Années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Service de la dette extérieure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DT.TDS.DECT.EX.ZS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exportations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Service de la dette publique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DT.TDS.DPPG.GN.ZS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Stock de dette extérieure totale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DT.DOD.DECT.CD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d'intérêt moyen des nouveaux engagements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DT.INR.DPPG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Transferts nets sur dette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DT.NTR.DECT.CD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Élément don moyen des nouveaux engagements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DT.GRE.DPPG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C10. Marché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Emploi dans l'agriculture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SL.AGR.EMPL.ZS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Emploi dans l'industrie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SL.IND.EMPL.ZS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Emploi dans les services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SL.SRV.EMPL.ZS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Emploi salarié</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SL.EMP.WORK.ZS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Emploi vulnérable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SL.EMP.VULN.ZS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Jeunes sans emploi ni études ni formation (NEET)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SL.UEM.NEET.ZS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jeunes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PIB par personne employée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SL.GDP.PCAP.EM.KD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PPA 2021</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active totale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SL.TLF.TOTL.IN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Personnes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Ratio emploi sur population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SL.EMP.TOTL.SP.ZS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15 ans et +</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d'activité des femmes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SL.TLF.CACT.FE.ZS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femmes 15 ans +</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d'activité, population totale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SL.TLF.CACT.ZS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15 ans et +</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de chômage (estimation nationale)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SL.UEM.TOTL.NE.ZS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 active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de chômage (projections)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LUR</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de chômage des jeunes (15-24 ans)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SL.UEM.1524.ZS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15-24 ans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de chômage total (estimation OIT)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 active</w:t>
            </w:r>
          </w:p>
        </w:tc>
      </w:tr>
    </w:tbl>
    <w:p>
      <w:pPr>
        <w:spacing w:after="190" w:line="276"/>
        <w:jc w:val="both"/>
      </w:pPr>
      <w:r>
        <w:rPr>
          <w:b w:val="false"/>
          <w:bCs w:val="false"/>
          <w:i w:val="false"/>
          <w:iCs w:val="false"/>
          <w:sz w:val="21"/>
          <w:szCs w:val="21"/>
        </w:rPr>
        <w:t xml:space="preserve"/>
      </w:r>
    </w:p>
    <w:p>
      <w:pPr>
        <w:pStyle w:val="Heading2"/>
      </w:pPr>
      <w:r>
        <w:t xml:space="preserve">C11. Démographie et conditions de vie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Accès à l'eau potable de base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SH.H2O.BASW.ZS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Accès à un assainissement de base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SH.STA.BASS.ZS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Consommation ou revenu moyen des 40 % les plus pauvres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SI.SPR.PC40</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PPA / jour</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Couverture des programmes de protection sociale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per_allsp.cov_pop_tot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ASPIRE</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Croissance de la population urbaine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SP.URB.GROW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annuel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Croissance démographique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SP.POP.GROW</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annuel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Densité de population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EN.POP.DNST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Hab. / km²</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Dépenses courantes de santé</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SH.XPD.CHEX.GD.ZS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Dépenses de santé par habitant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SH.XPD.CHEX.PC.CD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Dépenses de santé à la charge des ménages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SH.XPD.OOPC.CH.ZS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dép. de santé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Dépenses publiques d'éducation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SE.XPD.TOTL.GD.ZS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Espérance de vie à la naissance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SP.DYN.LE00.IN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Années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de Gini</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SI.POV.GINI</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 0-100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 capital humain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HD.HCI.OVRL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0-1</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synthétique de fécondité</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SP.DYN.TFRT.IN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Naissances / femme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Migration nette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SM.POP.NETM</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Personnes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Mortalité des moins de 5 ans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SH.DYN.MORT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1 000 nais. viv.</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Mortalité infantile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SP.DYN.IMRT.IN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Pour 1 000 nais. viv.</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Médecins pour 1 000 habitants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SH.MED.PHYS.ZS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1 000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Part du revenu du décile supérieur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SI.DST.10TH.10</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Part du revenu du quintile inférieur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SI.DST.FRST.20</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totale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SP.POP.TOTL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Personnes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Population urbaine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SP.URB.TOTL.IN.ZS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âgée de 0 à 14 ans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SP.POP.0014.TO.ZS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Population âgée de 15 à 64 ans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SP.POP.1564.TO.ZS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âgée de 65 ans et plus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SP.POP.65UP.TO.ZS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Prévalence de la sous-alimentation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SN.ITK.DEFC.ZS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Ratio de dépendance démographique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SP.POP.DPND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15-64 ans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Ratio de mortalité maternelle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SH.STA.MMRT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100 000 nais.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Ratio élèves-enseignant, primaire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SE.PRM.ENRL.TC.ZS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Ratio</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Retard de croissance chez les moins de 5 ans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SH.STA.STNT.ZS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moins de 5 ans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brut de mortalité</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SP.DYN.CDRT.IN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Pour 1 000 hab.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brut de natalité</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SP.DYN.CBRT.IN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1 000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brut de scolarisation, supérieur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SE.TER.ENRR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d'achèvement du primaire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SE.PRM.CMPT.ZS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groupe d'âge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d'alphabétisation des adultes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SE.ADT.LITR.ZS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15 ans et +</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de pauvreté au seuil de 2,15 USD par jour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SI.POV.DDAY</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de pauvreté au seuil de 3,65 USD par jour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SI.POV.LMIC</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de pauvreté au seuil de 6,85 USD par jour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SI.POV.UMIC</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de pauvreté au seuil national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SI.POV.NAHC</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Taux net de scolarisation, primaire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SE.PRM.NENR</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Taux net de scolarisation, secondaire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SE.SEC.NENR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Écart de pauvreté au seuil de 2,15 USD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SI.POV.GAPS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C12. Complexité économique et structure productive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de complexité économique (ECI)</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eci</w:t>
            </w:r>
          </w:p>
        </w:tc>
        <w:tc>
          <w:tcPr>
            <w:tcW w:type="dxa" w:w="1250"/>
            <w:tcMar>
              <w:top w:type="dxa" w:w="55"/>
              <w:left w:type="dxa" w:w="85"/>
              <w:bottom w:type="dxa" w:w="55"/>
              <w:right w:type="dxa" w:w="85"/>
            </w:tcMar>
          </w:tcPr>
          <w:p>
            <w:pPr>
              <w:spacing w:after="0"/>
            </w:pPr>
            <w:r>
              <w:rPr>
                <w:b w:val="false"/>
                <w:bCs w:val="false"/>
                <w:color w:val="000000"/>
                <w:sz w:val="15"/>
                <w:szCs w:val="15"/>
              </w:rPr>
              <w:t xml:space="preserve">Harvard · Atlas</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standardisé</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 perspectives de complexité (COI)</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coi</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Harvard · Atlas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standardisé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Part des produits de haute technologie dans les exportations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TX.VAL.TECH.MF.ZS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exp. manuf.</w:t>
            </w:r>
          </w:p>
        </w:tc>
      </w:tr>
    </w:tbl>
    <w:p>
      <w:pPr>
        <w:spacing w:after="190" w:line="276"/>
        <w:jc w:val="both"/>
      </w:pPr>
      <w:r>
        <w:rPr>
          <w:b w:val="false"/>
          <w:bCs w:val="false"/>
          <w:i w:val="false"/>
          <w:iCs w:val="false"/>
          <w:sz w:val="21"/>
          <w:szCs w:val="21"/>
        </w:rPr>
        <w:t xml:space="preserve"/>
      </w:r>
    </w:p>
    <w:p>
      <w:pPr>
        <w:pStyle w:val="Heading2"/>
      </w:pPr>
      <w:r>
        <w:t xml:space="preserve">C13. Gouvernance et climat des affaires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Efficacité des pouvoirs publics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GE.EST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Expression et responsabilité</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VA.EST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Business Ready, pilier réglementaire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BREADY_REG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B-READY</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0-100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Maîtrise de la corruption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CC.EST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Note CPIA, gestion du secteur public</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IQ.CPA.PUBS.XQ</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1-6</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Note CPIA, gestion économique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IQ.CPA.ECON.XQ</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1-6</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Note CPIA, transparence et corruption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IQ.CPA.TRAN.XQ</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1-6</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Qualité de la réglementation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RQ.EST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Stabilité politique et absence de violence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PV.EST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Temps consacré aux formalités fiscales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IC.TAX.DURS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Heures / an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État de droit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RL.EST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-2,5 à 2,5</w:t>
            </w:r>
          </w:p>
        </w:tc>
      </w:tr>
    </w:tbl>
    <w:p>
      <w:pPr>
        <w:spacing w:after="190" w:line="276"/>
        <w:jc w:val="both"/>
      </w:pPr>
      <w:r>
        <w:rPr>
          <w:b w:val="false"/>
          <w:bCs w:val="false"/>
          <w:i w:val="false"/>
          <w:iCs w:val="false"/>
          <w:sz w:val="21"/>
          <w:szCs w:val="21"/>
        </w:rPr>
        <w:t xml:space="preserve"/>
      </w:r>
    </w:p>
    <w:p>
      <w:pPr>
        <w:pStyle w:val="Heading2"/>
      </w:pPr>
      <w:r>
        <w:t xml:space="preserve">C14. Énergie, environnement et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Indicateur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Code de collecte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Abonnements haut débit fixe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IT.NET.BBND.P2</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100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Abonnements à la téléphonie mobile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IT.CEL.SETS.P2</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Pour 100 hab.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Accès à l'électricité</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EG.ELC.ACCS.ZS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Consommation d'engrais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AG.CON.FERT.ZS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kg / ha de terres arables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Consommation d'électricité par habitant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EG.USE.ELEC.KH.PC</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kWh /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Consommation d'énergie primaire par habitant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EG.USE.PCAP.KG.OE</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kg équiv. pétrole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Exportations de produits agricoles bruts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TX.VAL.AGRI.ZS.UN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exp. de march.</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Exportations de services TIC</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BX.GSR.CCIS.ZS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exp. de services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Exposition de la population aux particules fines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EN.ATM.PM25.MC.M3</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µg / m³</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Importations de produits alimentaires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TM.VAL.FOOD.ZS.UN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imp. de march.</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de performance logistique, score global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LP.LPI.OVRL.XQ</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LPI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1-5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 production alimentaire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AG.PRD.FOOD.XD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2014-2016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Indice de production animale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AG.PRD.LVSK.XD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 2014-2016 = 100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Indice de production végétale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AG.PRD.CROP.XD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2014-2016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Intensité carbone du PIB</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EN.GHG.CO2.RT.GDP.PP.KD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kg / USD PPA</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Intensité énergétique du PIB</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EG.EGY.PRIM.PP.KD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MJ / USD PPA 2017</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Part des énergies renouvelables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EG.FEC.RNEW.ZS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conso finale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Pertes de transport et distribution d'électricité</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EG.ELC.LOSS.ZS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production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Prélèvements annuels d'eau douce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ER.H2O.FWTL.ZS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ressources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Rendement céréalier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AG.YLD.CREL.KG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kg / hectare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Rentes minières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NY.GDP.MINR.RT.ZS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Rentes pétrolières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NY.GDP.PETR.RT.ZS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Rentes totales des ressources naturelles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NY.GDP.TOTL.RT.ZS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Superficie forestière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AG.LND.FRST.ZS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territoire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Terres agricoles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AG.LND.AGRI.ZS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territoire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Terres arables par habitant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AG.LND.ARBL.HA.PC</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Hectares / hab.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Trafic de conteneurs portuaires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IS.SHP.GOOD.TU</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EVP</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Trafic de fret aérien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IS.AIR.GOOD.MT.K1</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Millions t-km</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Utilisateurs d'Internet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IT.NET.USER.ZS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Valeur ajoutée agricole par travailleur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NV.AGR.EMPL.KD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constants 2015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Émissions de CO2 par habitant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EN.GHG.CO2.PC.CE.AR5</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t équiv. CO2 /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Émissions totales de CO2</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EN.GHG.CO2.MT.CE.AR5</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Mt équiv. CO2</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Épargne nette ajustée hors dommages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NY.ADJ.SVNG.GN.ZS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bl>
    <w:p>
      <w:pPr>
        <w:spacing w:after="190" w:line="276"/>
        <w:jc w:val="both"/>
      </w:pPr>
      <w:r>
        <w:rPr>
          <w:b w:val="false"/>
          <w:bCs w:val="false"/>
          <w:i w:val="false"/>
          <w:iCs w:val="false"/>
          <w:sz w:val="21"/>
          <w:szCs w:val="21"/>
        </w:rPr>
        <w:t xml:space="preserve"/>
      </w:r>
    </w:p>
    <w:p>
      <w:pPr>
        <w:spacing w:after="130" w:line="276"/>
        <w:jc w:val="both"/>
      </w:pPr>
      <w:r>
        <w:rPr>
          <w:b w:val="false"/>
          <w:bCs w:val="false"/>
          <w:i/>
          <w:iCs/>
          <w:sz w:val="18"/>
          <w:szCs w:val="18"/>
        </w:rPr>
        <w:t xml:space="preserve">Fréquences : A annuelle, T trimestrielle, M mensuelle.</w:t>
      </w:r>
    </w:p>
    <w:p>
      <w:pPr>
        <w:pStyle w:val="Heading1"/>
      </w:pPr>
      <w:r>
        <w:t xml:space="preserve">9. Points de vigilance</w:t>
      </w:r>
    </w:p>
    <w:p>
      <w:pPr>
        <w:pStyle w:val="Heading2"/>
      </w:pPr>
      <w:r>
        <w:t xml:space="preserve">9.1. Codification des pays</w:t>
      </w:r>
    </w:p>
    <w:p>
      <w:pPr>
        <w:spacing w:after="130" w:line="276"/>
        <w:jc w:val="both"/>
      </w:pPr>
      <w:r>
        <w:rPr>
          <w:b w:val="false"/>
          <w:bCs w:val="false"/>
          <w:i w:val="false"/>
          <w:iCs w:val="false"/>
          <w:sz w:val="21"/>
          <w:szCs w:val="21"/>
        </w:rPr>
        <w:t xml:space="preserve">Les fournisseurs n'utilisent pas la même codification. La table des pays conserve, pour chaque économie, l'identifiant de référence et ceux propres à chaque source. Sans cette correspondance, les jointures produiraient des séries incomplètes sans qu'aucune erreur ne soit signalée.</w:t>
      </w:r>
    </w:p>
    <w:p>
      <w:pPr>
        <w:pStyle w:val="Heading2"/>
      </w:pPr>
      <w:r>
        <w:t xml:space="preserve">9.2. Révisions</w:t>
      </w:r>
    </w:p>
    <w:p>
      <w:pPr>
        <w:spacing w:after="130" w:line="276"/>
        <w:jc w:val="both"/>
      </w:pPr>
      <w:r>
        <w:rPr>
          <w:b w:val="false"/>
          <w:bCs w:val="false"/>
          <w:i w:val="false"/>
          <w:iCs w:val="false"/>
          <w:sz w:val="21"/>
          <w:szCs w:val="21"/>
        </w:rPr>
        <w:t xml:space="preserve">Les données macroéconomiques sont révisées. Une valeur du produit intérieur brut de 2023 collectée en janvier peut différer de la même valeur collectée en juin. La plateforme conserve la dernière valeur connue et la date de collecte, sans historique des millésimes.</w:t>
      </w:r>
    </w:p>
    <w:p>
      <w:pPr>
        <w:pStyle w:val="Heading2"/>
      </w:pPr>
      <w:r>
        <w:t xml:space="preserve">9.3. Complexité économique</w:t>
      </w:r>
    </w:p>
    <w:p>
      <w:pPr>
        <w:spacing w:after="130" w:line="276"/>
        <w:jc w:val="both"/>
      </w:pPr>
      <w:r>
        <w:rPr>
          <w:b w:val="false"/>
          <w:bCs w:val="false"/>
          <w:i w:val="false"/>
          <w:iCs w:val="false"/>
          <w:sz w:val="21"/>
          <w:szCs w:val="21"/>
        </w:rPr>
        <w:t xml:space="preserve">L'indice de complexité économique n'est pas mesuré mais calculé sur l'ensemble des pays et des produits. Une révision des données commerciales d'un grand exportateur décale mécaniquement l'indice de tous les autres. Les valeurs ne sont donc pas comparables d'un millésime de l'Atlas à l'autre.</w:t>
      </w:r>
    </w:p>
    <w:p>
      <w:pPr>
        <w:spacing w:after="130" w:line="276"/>
        <w:jc w:val="both"/>
      </w:pPr>
      <w:r>
        <w:rPr>
          <w:b w:val="false"/>
          <w:bCs w:val="false"/>
          <w:i w:val="false"/>
          <w:iCs w:val="false"/>
          <w:sz w:val="21"/>
          <w:szCs w:val="21"/>
        </w:rPr>
        <w:t xml:space="preserve">Par ailleurs, les données commerciales d'une année n'arrivent dans l'Atlas que deux ans plus tard : la dernière année disponible sera toujours en retrait sur le reste du tableau de bord.</w:t>
      </w:r>
    </w:p>
    <w:p>
      <w:pPr>
        <w:pStyle w:val="Heading2"/>
      </w:pPr>
      <w:r>
        <w:t xml:space="preserve">9.4. Comparabilité des cours</w:t>
      </w:r>
    </w:p>
    <w:p>
      <w:pPr>
        <w:spacing w:after="130" w:line="276"/>
        <w:jc w:val="both"/>
      </w:pPr>
      <w:r>
        <w:rPr>
          <w:b w:val="false"/>
          <w:bCs w:val="false"/>
          <w:i w:val="false"/>
          <w:iCs w:val="false"/>
          <w:sz w:val="21"/>
          <w:szCs w:val="21"/>
        </w:rPr>
        <w:t xml:space="preserve">Les unités des cours de produits de base sont lues directement dans le classeur du fournisseur et non recopiées. Elles peuvent donc différer de celles d'autres publications : le cacao est coté au kilogramme dans le Pink Sheet, à la tonne dans certaines sources. Vérifiez toujours l'unité affichée sur l'axe.</w:t>
      </w:r>
    </w:p>
    <w:p>
      <w:pPr>
        <w:pStyle w:val="Heading2"/>
      </w:pPr>
      <w:r>
        <w:t xml:space="preserve">9.5. Fréquences fines</w:t>
      </w:r>
    </w:p>
    <w:p>
      <w:pPr>
        <w:spacing w:after="130" w:line="276"/>
        <w:jc w:val="both"/>
      </w:pPr>
      <w:r>
        <w:rPr>
          <w:b w:val="false"/>
          <w:bCs w:val="false"/>
          <w:i w:val="false"/>
          <w:iCs w:val="false"/>
          <w:sz w:val="21"/>
          <w:szCs w:val="21"/>
        </w:rPr>
        <w:t xml:space="preserve">Le schéma prévoit des pas hebdomadaire, journalier et intrajournalier, mais aucune source du catalogue ne les alimente. Ce n'est pas une limite de l'outil : un produit intérieur brut trimestriel n'a pas de valeur quotidienne. Ces pas n'ont de sens que pour les données de marché, qui relèvent d'autres fournisseurs, souvent payants.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OPESc+ : manuel d'utilisation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OPESc+ : Manuel d'utilisation</dc:title>
  <dc:creator>OPESc+</dc:creator>
  <cp:lastModifiedBy>Un-named</cp:lastModifiedBy>
  <cp:revision>1</cp:revision>
  <dcterms:created xsi:type="dcterms:W3CDTF">2026-08-29T08:58:12.649Z</dcterms:created>
  <dcterms:modified xsi:type="dcterms:W3CDTF">2026-08-29T08:58:12.662Z</dcterms:modified>
</cp:coreProperties>
</file>

<file path=docProps/custom.xml><?xml version="1.0" encoding="utf-8"?>
<Properties xmlns="http://schemas.openxmlformats.org/officeDocument/2006/custom-properties" xmlns:vt="http://schemas.openxmlformats.org/officeDocument/2006/docPropsVTypes"/>
</file>