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b/>
          <w:bCs/>
          <w:color w:val="1F3864"/>
          <w:sz w:val="62"/>
          <w:szCs w:val="62"/>
        </w:rPr>
        <w:t xml:space="preserve">OPESc+</w:t>
      </w:r>
    </w:p>
    <w:p>
      <w:pPr>
        <w:spacing w:after="700"/>
        <w:jc w:val="center"/>
      </w:pPr>
      <w:r>
        <w:rPr>
          <w:color w:val="1F3864"/>
          <w:sz w:val="28"/>
          <w:szCs w:val="28"/>
        </w:rPr>
        <w:t xml:space="preserve">Observatory of Economic Outlook</w:t>
      </w:r>
    </w:p>
    <w:p>
      <w:pPr>
        <w:pBdr>
          <w:top w:val="single" w:color="C8A24A" w:sz="10"/>
          <w:bottom w:val="single" w:color="C8A24A" w:sz="10"/>
        </w:pBdr>
        <w:spacing w:after="220"/>
        <w:jc w:val="center"/>
      </w:pPr>
      <w:r>
        <w:rPr>
          <w:b/>
          <w:bCs/>
          <w:sz w:val="40"/>
          <w:szCs w:val="40"/>
        </w:rPr>
        <w:t xml:space="preserve">USER MANUAL</w:t>
      </w:r>
    </w:p>
    <w:p>
      <w:pPr>
        <w:spacing w:after="1900"/>
      </w:pPr>
    </w:p>
    <w:p>
      <w:pPr>
        <w:spacing w:after="70"/>
        <w:jc w:val="center"/>
      </w:pPr>
      <w:r>
        <w:rPr>
          <w:b/>
          <w:bCs/>
          <w:sz w:val="21"/>
          <w:szCs w:val="21"/>
        </w:rPr>
        <w:t xml:space="preserve">Ministry of Economy, Planning and Regional Development</w:t>
      </w:r>
    </w:p>
    <w:p>
      <w:pPr>
        <w:spacing w:after="70"/>
        <w:jc w:val="center"/>
      </w:pPr>
      <w:r>
        <w:rPr>
          <w:sz w:val="21"/>
          <w:szCs w:val="21"/>
        </w:rPr>
        <w:t xml:space="preserve">Version 1.0</w:t>
      </w:r>
    </w:p>
    <w:p>
      <w:pPr>
        <w:jc w:val="center"/>
      </w:pPr>
      <w:r>
        <w:rPr>
          <w:sz w:val="21"/>
          <w:szCs w:val="21"/>
        </w:rPr>
        <w:t xml:space="preserve">August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platform</w:t>
      </w:r>
    </w:p>
    <w:p>
      <w:pPr>
        <w:spacing w:after="130" w:line="276"/>
        <w:jc w:val="both"/>
      </w:pPr>
      <w:r>
        <w:rPr>
          <w:b w:val="false"/>
          <w:bCs w:val="false"/>
          <w:i w:val="false"/>
          <w:iCs w:val="false"/>
          <w:sz w:val="21"/>
          <w:szCs w:val="21"/>
        </w:rPr>
        <w:t xml:space="preserve">OPESc+ brings together economic indicators for every economy in the world, collected directly from the institutions that publish them, and makes them available as workable series. It extends the work of the ministry's OPESc observatory.</w:t>
      </w:r>
    </w:p>
    <w:p>
      <w:pPr>
        <w:spacing w:after="130" w:line="276"/>
        <w:jc w:val="both"/>
      </w:pPr>
      <w:r>
        <w:rPr>
          <w:b w:val="false"/>
          <w:bCs w:val="false"/>
          <w:i w:val="false"/>
          <w:iCs w:val="false"/>
          <w:sz w:val="21"/>
          <w:szCs w:val="21"/>
        </w:rPr>
        <w:t xml:space="preserve">The platform produces no data of its own. It collects, harmonises and presents series that remain the property of their producers. Any reuse must cite the original source and the extraction date; every downloaded workbook carries a "Sources" sheet for that purpose.</w:t>
      </w:r>
    </w:p>
    <w:p>
      <w:pPr>
        <w:pStyle w:val="Heading2"/>
      </w:pPr>
      <w:r>
        <w:t xml:space="preserve">1.1. What the database holds</w:t>
      </w:r>
    </w:p>
    <w:p>
      <w:pPr>
        <w:spacing w:after="130" w:line="276"/>
        <w:jc w:val="both"/>
      </w:pPr>
      <w:r>
        <w:rPr>
          <w:b w:val="false"/>
          <w:bCs w:val="false"/>
          <w:i w:val="false"/>
          <w:iCs w:val="false"/>
          <w:sz w:val="21"/>
          <w:szCs w:val="21"/>
        </w:rPr>
        <w:t xml:space="preserve">The catalogue contains 233 active indicators across fourteen categories, covering some 217 economies plus about forty regional aggregates and income groups. Coverage begins in 1960 for most annual series, and also in 1960 for monthly commodity prices.</w:t>
      </w:r>
    </w:p>
    <w:p>
      <w:pPr>
        <w:pStyle w:val="ListParagraph"/>
        <w:numPr>
          <w:ilvl w:val="0"/>
          <w:numId w:val="2"/>
        </w:numPr>
        <w:spacing w:after="90" w:line="276"/>
        <w:jc w:val="both"/>
      </w:pPr>
      <w:r>
        <w:rPr>
          <w:sz w:val="21"/>
          <w:szCs w:val="21"/>
        </w:rPr>
        <w:t xml:space="preserve">Series are stored with their own frequency. The same quantity may therefore exist monthly and annually without one overwriting the other.</w:t>
      </w:r>
    </w:p>
    <w:p>
      <w:pPr>
        <w:pStyle w:val="ListParagraph"/>
        <w:numPr>
          <w:ilvl w:val="0"/>
          <w:numId w:val="2"/>
        </w:numPr>
        <w:spacing w:after="90" w:line="276"/>
        <w:jc w:val="both"/>
      </w:pPr>
      <w:r>
        <w:rPr>
          <w:sz w:val="21"/>
          <w:szCs w:val="21"/>
        </w:rPr>
        <w:t xml:space="preserve">Missing values are not recorded. A missing observation means no data, never zero.</w:t>
      </w:r>
    </w:p>
    <w:p>
      <w:pPr>
        <w:pStyle w:val="ListParagraph"/>
        <w:numPr>
          <w:ilvl w:val="0"/>
          <w:numId w:val="2"/>
        </w:numPr>
        <w:spacing w:after="90" w:line="276"/>
        <w:jc w:val="both"/>
      </w:pPr>
      <w:r>
        <w:rPr>
          <w:sz w:val="21"/>
          <w:szCs w:val="21"/>
        </w:rPr>
        <w:t xml:space="preserve">Regional aggregates are flagged as such and excluded from rankings and maps; otherwise the World and the euro area would always take the top places.</w:t>
      </w:r>
    </w:p>
    <w:p>
      <w:pPr>
        <w:pStyle w:val="Heading2"/>
      </w:pPr>
      <w:r>
        <w:t xml:space="preserve">1.2. Design principle</w:t>
      </w:r>
    </w:p>
    <w:p>
      <w:pPr>
        <w:spacing w:after="130" w:line="276"/>
        <w:jc w:val="both"/>
      </w:pPr>
      <w:r>
        <w:rPr>
          <w:b w:val="false"/>
          <w:bCs w:val="false"/>
          <w:i w:val="false"/>
          <w:iCs w:val="false"/>
          <w:sz w:val="21"/>
          <w:szCs w:val="21"/>
        </w:rPr>
        <w:t xml:space="preserve">One principle governs the whole interface: never offer a filter that leads nowhere. The frequencies on offer are those actually present in the database for the chosen indicator, the countries listed are those for which it is populated, and the period bounds match its effective coverage. An empty panel always states the reason and what to do.</w:t>
      </w:r>
    </w:p>
    <w:p>
      <w:pPr>
        <w:pStyle w:val="Heading1"/>
      </w:pPr>
      <w:r>
        <w:t xml:space="preserve">2. Getting started</w:t>
      </w:r>
    </w:p>
    <w:p>
      <w:pPr>
        <w:spacing w:after="130" w:line="276"/>
        <w:jc w:val="both"/>
      </w:pPr>
      <w:r>
        <w:rPr>
          <w:b w:val="false"/>
          <w:bCs w:val="false"/>
          <w:i w:val="false"/>
          <w:iCs w:val="false"/>
          <w:sz w:val="21"/>
          <w:szCs w:val="21"/>
        </w:rPr>
        <w:t xml:space="preserve">The platform opens on four tabs, reachable from the bar below the institutional banner.</w:t>
      </w:r>
    </w:p>
    <w:p>
      <w:pPr>
        <w:pStyle w:val="ListParagraph"/>
        <w:numPr>
          <w:ilvl w:val="0"/>
          <w:numId w:val="2"/>
        </w:numPr>
        <w:spacing w:after="90" w:line="276"/>
        <w:jc w:val="both"/>
      </w:pPr>
      <w:r>
        <w:rPr>
          <w:sz w:val="21"/>
          <w:szCs w:val="21"/>
        </w:rPr>
        <w:t xml:space="preserve">Home: overview, database figures, links to reference sites and download of this manual.</w:t>
      </w:r>
    </w:p>
    <w:p>
      <w:pPr>
        <w:pStyle w:val="ListParagraph"/>
        <w:numPr>
          <w:ilvl w:val="0"/>
          <w:numId w:val="2"/>
        </w:numPr>
        <w:spacing w:after="90" w:line="276"/>
        <w:jc w:val="both"/>
      </w:pPr>
      <w:r>
        <w:rPr>
          <w:sz w:val="21"/>
          <w:szCs w:val="21"/>
        </w:rPr>
        <w:t xml:space="preserve">Dashboard: charts and maps, the core of the tool.</w:t>
      </w:r>
    </w:p>
    <w:p>
      <w:pPr>
        <w:pStyle w:val="ListParagraph"/>
        <w:numPr>
          <w:ilvl w:val="0"/>
          <w:numId w:val="2"/>
        </w:numPr>
        <w:spacing w:after="90" w:line="276"/>
        <w:jc w:val="both"/>
      </w:pPr>
      <w:r>
        <w:rPr>
          <w:sz w:val="21"/>
          <w:szCs w:val="21"/>
        </w:rPr>
        <w:t xml:space="preserve">Database: tabular browsing and spreadsheet download.</w:t>
      </w:r>
    </w:p>
    <w:p>
      <w:pPr>
        <w:pStyle w:val="ListParagraph"/>
        <w:numPr>
          <w:ilvl w:val="0"/>
          <w:numId w:val="2"/>
        </w:numPr>
        <w:spacing w:after="90" w:line="276"/>
        <w:jc w:val="both"/>
      </w:pPr>
      <w:r>
        <w:rPr>
          <w:sz w:val="21"/>
          <w:szCs w:val="21"/>
        </w:rPr>
        <w:t xml:space="preserve">Data collection: update log and manual refresh.</w:t>
      </w:r>
    </w:p>
    <w:p>
      <w:pPr>
        <w:pStyle w:val="Heading2"/>
      </w:pPr>
      <w:r>
        <w:t xml:space="preserve">2.1. The banner</w:t>
      </w:r>
    </w:p>
    <w:p>
      <w:pPr>
        <w:spacing w:after="130" w:line="276"/>
        <w:jc w:val="both"/>
      </w:pPr>
      <w:r>
        <w:rPr>
          <w:b w:val="false"/>
          <w:bCs w:val="false"/>
          <w:i w:val="false"/>
          <w:iCs w:val="false"/>
          <w:sz w:val="21"/>
          <w:szCs w:val="21"/>
        </w:rPr>
        <w:t xml:space="preserve">The banner stays visible at all times. It carries the arms of the Republic, the platform name, the language selector and the ministry logo. A discreet strip lists Cameroon's ten main trading partners.</w:t>
      </w:r>
    </w:p>
    <w:p>
      <w:pPr>
        <w:pStyle w:val="Heading2"/>
      </w:pPr>
      <w:r>
        <w:t xml:space="preserve">2.2. Switching language</w:t>
      </w:r>
    </w:p>
    <w:p>
      <w:pPr>
        <w:spacing w:after="130" w:line="276"/>
        <w:jc w:val="both"/>
      </w:pPr>
      <w:r>
        <w:rPr>
          <w:b w:val="false"/>
          <w:bCs w:val="false"/>
          <w:i w:val="false"/>
          <w:iCs w:val="false"/>
          <w:sz w:val="21"/>
          <w:szCs w:val="21"/>
        </w:rPr>
        <w:t xml:space="preserve">The selector on the right of the banner switches between French and English. Switching reloads the page, which is what allows the entire interface to be translated. Any selection in progress is not preserved across that reload.</w:t>
      </w:r>
    </w:p>
    <w:p>
      <w:pPr>
        <w:pStyle w:val="Heading1"/>
      </w:pPr>
      <w:r>
        <w:t xml:space="preserve">3. The dashboard</w:t>
      </w:r>
    </w:p>
    <w:p>
      <w:pPr>
        <w:spacing w:after="130" w:line="276"/>
        <w:jc w:val="both"/>
      </w:pPr>
      <w:r>
        <w:rPr>
          <w:b w:val="false"/>
          <w:bCs w:val="false"/>
          <w:i w:val="false"/>
          <w:iCs w:val="false"/>
          <w:sz w:val="21"/>
          <w:szCs w:val="21"/>
        </w:rPr>
        <w:t xml:space="preserve">The dashboard reads from top to bottom: pick a category, refine in the filter bar, then read the chart and the map.</w:t>
      </w:r>
    </w:p>
    <w:p>
      <w:pPr>
        <w:pStyle w:val="Heading2"/>
      </w:pPr>
      <w:r>
        <w:t xml:space="preserve">3.1. Choosing a category</w:t>
      </w:r>
    </w:p>
    <w:p>
      <w:pPr>
        <w:spacing w:after="130" w:line="276"/>
        <w:jc w:val="both"/>
      </w:pPr>
      <w:r>
        <w:rPr>
          <w:b w:val="false"/>
          <w:bCs w:val="false"/>
          <w:i w:val="false"/>
          <w:iCs w:val="false"/>
          <w:sz w:val="21"/>
          <w:szCs w:val="21"/>
        </w:rPr>
        <w:t xml:space="preserve">The first panel shows the fourteen categories. Each states how many indicators it holds and how many have been collected. A category with nothing collected is flagged in orange: its indicators exist in the catalogue but have not yet been retrieved.</w:t>
      </w:r>
    </w:p>
    <w:p>
      <w:pPr>
        <w:pStyle w:val="Heading2"/>
      </w:pPr>
      <w:r>
        <w:t xml:space="preserve">3.2. The filter bar</w:t>
      </w:r>
    </w:p>
    <w:p>
      <w:pPr>
        <w:spacing w:after="130" w:line="276"/>
        <w:jc w:val="both"/>
      </w:pPr>
      <w:r>
        <w:rPr>
          <w:b w:val="false"/>
          <w:bCs w:val="false"/>
          <w:i w:val="false"/>
          <w:iCs w:val="false"/>
          <w:sz w:val="21"/>
          <w:szCs w:val="21"/>
        </w:rPr>
        <w:t xml:space="preserve">Five settings, in this order, each narrowing the next.</w:t>
      </w:r>
    </w:p>
    <w:p>
      <w:pPr>
        <w:pStyle w:val="ListParagraph"/>
        <w:numPr>
          <w:ilvl w:val="0"/>
          <w:numId w:val="2"/>
        </w:numPr>
        <w:spacing w:after="90" w:line="276"/>
        <w:jc w:val="both"/>
      </w:pPr>
      <w:r>
        <w:rPr>
          <w:sz w:val="21"/>
          <w:szCs w:val="21"/>
        </w:rPr>
        <w:t xml:space="preserve">Indicator: the list holds only indicators from the category. Those already collected come first; the others are marked "non collecté".</w:t>
      </w:r>
    </w:p>
    <w:p>
      <w:pPr>
        <w:pStyle w:val="ListParagraph"/>
        <w:numPr>
          <w:ilvl w:val="0"/>
          <w:numId w:val="2"/>
        </w:numPr>
        <w:spacing w:after="90" w:line="276"/>
        <w:jc w:val="both"/>
      </w:pPr>
      <w:r>
        <w:rPr>
          <w:sz w:val="21"/>
          <w:szCs w:val="21"/>
        </w:rPr>
        <w:t xml:space="preserve">Frequency: only frequencies actually present in the database are offered. It adjusts automatically to the chosen indicator.</w:t>
      </w:r>
    </w:p>
    <w:p>
      <w:pPr>
        <w:pStyle w:val="ListParagraph"/>
        <w:numPr>
          <w:ilvl w:val="0"/>
          <w:numId w:val="2"/>
        </w:numPr>
        <w:spacing w:after="90" w:line="276"/>
        <w:jc w:val="both"/>
      </w:pPr>
      <w:r>
        <w:rPr>
          <w:sz w:val="21"/>
          <w:szCs w:val="21"/>
        </w:rPr>
        <w:t xml:space="preserve">Period: the bounds match effective coverage. If the start date is later than the end date, the two are swapped and a message says so.</w:t>
      </w:r>
    </w:p>
    <w:p>
      <w:pPr>
        <w:pStyle w:val="ListParagraph"/>
        <w:numPr>
          <w:ilvl w:val="0"/>
          <w:numId w:val="2"/>
        </w:numPr>
        <w:spacing w:after="90" w:line="276"/>
        <w:jc w:val="both"/>
      </w:pPr>
      <w:r>
        <w:rPr>
          <w:sz w:val="21"/>
          <w:szCs w:val="21"/>
        </w:rPr>
        <w:t xml:space="preserve">Countries: only countries for which the indicator is populated appear. Eight at most on one chart. For a world commodity price, which has no geographic dimension, the selector switches to "World price".</w:t>
      </w:r>
    </w:p>
    <w:p>
      <w:pPr>
        <w:pStyle w:val="ListParagraph"/>
        <w:numPr>
          <w:ilvl w:val="0"/>
          <w:numId w:val="2"/>
        </w:numPr>
        <w:spacing w:after="90" w:line="276"/>
        <w:jc w:val="both"/>
      </w:pPr>
      <w:r>
        <w:rPr>
          <w:sz w:val="21"/>
          <w:szCs w:val="21"/>
        </w:rPr>
        <w:t xml:space="preserve">The "Apply filter" button triggers the display. Nothing is redrawn before that.</w:t>
      </w:r>
    </w:p>
    <w:p>
      <w:pPr>
        <w:pStyle w:val="Heading2"/>
      </w:pPr>
      <w:r>
        <w:t xml:space="preserve">3.3. Overlaying series</w:t>
      </w:r>
    </w:p>
    <w:p>
      <w:pPr>
        <w:spacing w:after="130" w:line="276"/>
        <w:jc w:val="both"/>
      </w:pPr>
      <w:r>
        <w:rPr>
          <w:b w:val="false"/>
          <w:bCs w:val="false"/>
          <w:i w:val="false"/>
          <w:iCs w:val="false"/>
          <w:sz w:val="21"/>
          <w:szCs w:val="21"/>
        </w:rPr>
        <w:t xml:space="preserve">The "Add to chart" button stacks the current selection on top of the previous ones, up to six series. Each appears as a chip, removed with one click on the cross.</w:t>
      </w:r>
    </w:p>
    <w:p>
      <w:pPr>
        <w:spacing w:after="130" w:line="276"/>
        <w:jc w:val="both"/>
      </w:pPr>
      <w:r>
        <w:rPr>
          <w:b w:val="false"/>
          <w:bCs w:val="false"/>
          <w:i w:val="false"/>
          <w:iCs w:val="false"/>
          <w:sz w:val="21"/>
          <w:szCs w:val="21"/>
        </w:rPr>
        <w:t xml:space="preserve">When series do not share a unit, they are automatically rebased to 100 at their first observation. Overlaying a share of gross domestic product and a price in dollars per tonne on one axis would flatten one of the two and make the chart unreadable. The "Base 100" box forces that treatment even when units agree, to compare relative movements.</w:t>
      </w:r>
    </w:p>
    <w:p>
      <w:pPr>
        <w:pStyle w:val="Heading2"/>
      </w:pPr>
      <w:r>
        <w:t xml:space="preserve">3.4. Reading the chart</w:t>
      </w:r>
    </w:p>
    <w:p>
      <w:pPr>
        <w:spacing w:after="130" w:line="276"/>
        <w:jc w:val="both"/>
      </w:pPr>
      <w:r>
        <w:rPr>
          <w:b w:val="false"/>
          <w:bCs w:val="false"/>
          <w:i w:val="false"/>
          <w:iCs w:val="false"/>
          <w:sz w:val="21"/>
          <w:szCs w:val="21"/>
        </w:rPr>
        <w:t xml:space="preserve">Three representations are available: lines, bars and areas. A series with gaps is drawn as a dashed line and never interpolated: joining two points several years apart with a solid line would suggest a movement that was never observed.</w:t>
      </w:r>
    </w:p>
    <w:p>
      <w:pPr>
        <w:pStyle w:val="Heading2"/>
      </w:pPr>
      <w:r>
        <w:t xml:space="preserve">3.5. Projections</w:t>
      </w:r>
    </w:p>
    <w:p>
      <w:pPr>
        <w:spacing w:after="130" w:line="276"/>
        <w:jc w:val="both"/>
      </w:pPr>
      <w:r>
        <w:rPr>
          <w:b w:val="false"/>
          <w:bCs w:val="false"/>
          <w:i w:val="false"/>
          <w:iCs w:val="false"/>
          <w:sz w:val="21"/>
          <w:szCs w:val="21"/>
        </w:rPr>
        <w:t xml:space="preserve">Three extrapolation methods are offered, with their confidence interval. They do not replace a macroeconomic framework: they are mechanical extensions of the observed series, with no policy assumption.</w:t>
      </w:r>
    </w:p>
    <w:p>
      <w:pPr>
        <w:pStyle w:val="ListParagraph"/>
        <w:numPr>
          <w:ilvl w:val="0"/>
          <w:numId w:val="2"/>
        </w:numPr>
        <w:spacing w:after="90" w:line="276"/>
        <w:jc w:val="both"/>
      </w:pPr>
      <w:r>
        <w:rPr>
          <w:sz w:val="21"/>
          <w:szCs w:val="21"/>
        </w:rPr>
        <w:t xml:space="preserve">Linear trend: ordinary least squares on time. Robust, but blind to regime breaks.</w:t>
      </w:r>
    </w:p>
    <w:p>
      <w:pPr>
        <w:pStyle w:val="ListParagraph"/>
        <w:numPr>
          <w:ilvl w:val="0"/>
          <w:numId w:val="2"/>
        </w:numPr>
        <w:spacing w:after="90" w:line="276"/>
        <w:jc w:val="both"/>
      </w:pPr>
      <w:r>
        <w:rPr>
          <w:sz w:val="21"/>
          <w:szCs w:val="21"/>
        </w:rPr>
        <w:t xml:space="preserve">Random walk with drift: extends the mean of recent changes. The most honest benchmark.</w:t>
      </w:r>
    </w:p>
    <w:p>
      <w:pPr>
        <w:pStyle w:val="ListParagraph"/>
        <w:numPr>
          <w:ilvl w:val="0"/>
          <w:numId w:val="2"/>
        </w:numPr>
        <w:spacing w:after="90" w:line="276"/>
        <w:jc w:val="both"/>
      </w:pPr>
      <w:r>
        <w:rPr>
          <w:sz w:val="21"/>
          <w:szCs w:val="21"/>
        </w:rPr>
        <w:t xml:space="preserve">Holt exponential smoothing: gives more weight to recent observations, so reacts better to turning points.</w:t>
      </w:r>
    </w:p>
    <w:p>
      <w:pPr>
        <w:pStyle w:val="Heading2"/>
      </w:pPr>
      <w:r>
        <w:t xml:space="preserve">3.6. Exporting</w:t>
      </w:r>
    </w:p>
    <w:p>
      <w:pPr>
        <w:spacing w:after="130" w:line="276"/>
        <w:jc w:val="both"/>
      </w:pPr>
      <w:r>
        <w:rPr>
          <w:b w:val="false"/>
          <w:bCs w:val="false"/>
          <w:i w:val="false"/>
          <w:iCs w:val="false"/>
          <w:sz w:val="21"/>
          <w:szCs w:val="21"/>
        </w:rPr>
        <w:t xml:space="preserve">The "Image" button produces a PNG file on a white background, ready to paste into a note. The "Data" button produces a workbook holding the displayed selection and its sources sheet.</w:t>
      </w:r>
    </w:p>
    <w:p>
      <w:pPr>
        <w:pStyle w:val="Heading1"/>
      </w:pPr>
      <w:r>
        <w:t xml:space="preserve">4. Map analysis</w:t>
      </w:r>
    </w:p>
    <w:p>
      <w:pPr>
        <w:spacing w:after="130" w:line="276"/>
        <w:jc w:val="both"/>
      </w:pPr>
      <w:r>
        <w:rPr>
          <w:b w:val="false"/>
          <w:bCs w:val="false"/>
          <w:i w:val="false"/>
          <w:iCs w:val="false"/>
          <w:sz w:val="21"/>
          <w:szCs w:val="21"/>
        </w:rPr>
        <w:t xml:space="preserve">Below the chart, a world map shades countries by the indicator's value for a year chosen with the slider. The play button steps through the years automatically.</w:t>
      </w:r>
    </w:p>
    <w:p>
      <w:pPr>
        <w:spacing w:after="130" w:line="276"/>
        <w:jc w:val="both"/>
      </w:pPr>
      <w:r>
        <w:rPr>
          <w:b w:val="false"/>
          <w:bCs w:val="false"/>
          <w:i w:val="false"/>
          <w:iCs w:val="false"/>
          <w:sz w:val="21"/>
          <w:szCs w:val="21"/>
        </w:rPr>
        <w:t xml:space="preserve">The map follows the first indicator displayed. Overlaying several indicators on one colour scale would make no sense, as the units are not comparable.</w:t>
      </w:r>
    </w:p>
    <w:p>
      <w:pPr>
        <w:pStyle w:val="Heading2"/>
      </w:pPr>
      <w:r>
        <w:t xml:space="preserve">4.1. Reading the scale</w:t>
      </w:r>
    </w:p>
    <w:p>
      <w:pPr>
        <w:spacing w:after="130" w:line="276"/>
        <w:jc w:val="both"/>
      </w:pPr>
      <w:r>
        <w:rPr>
          <w:b w:val="false"/>
          <w:bCs w:val="false"/>
          <w:i w:val="false"/>
          <w:iCs w:val="false"/>
          <w:sz w:val="21"/>
          <w:szCs w:val="21"/>
        </w:rPr>
        <w:t xml:space="preserve">The scale is capped at the 2nd and 98th percentiles of the distribution. Without that precaution, a handful of extreme values would give every other country the same shade. The tooltip always shows the real, uncapped value.</w:t>
      </w:r>
    </w:p>
    <w:p>
      <w:pPr>
        <w:spacing w:after="130" w:line="276"/>
        <w:jc w:val="both"/>
      </w:pPr>
      <w:r>
        <w:rPr>
          <w:b w:val="false"/>
          <w:bCs w:val="false"/>
          <w:i w:val="false"/>
          <w:iCs w:val="false"/>
          <w:sz w:val="21"/>
          <w:szCs w:val="21"/>
        </w:rPr>
        <w:t xml:space="preserve">Countries in your selection are outlined more heavily so they stay identifiable.</w:t>
      </w:r>
    </w:p>
    <w:p>
      <w:pPr>
        <w:pStyle w:val="Heading2"/>
      </w:pPr>
      <w:r>
        <w:t xml:space="preserve">4.2. The country profile</w:t>
      </w:r>
    </w:p>
    <w:p>
      <w:pPr>
        <w:spacing w:after="130" w:line="276"/>
        <w:jc w:val="both"/>
      </w:pPr>
      <w:r>
        <w:rPr>
          <w:b w:val="false"/>
          <w:bCs w:val="false"/>
          <w:i w:val="false"/>
          <w:iCs w:val="false"/>
          <w:sz w:val="21"/>
          <w:szCs w:val="21"/>
        </w:rPr>
        <w:t xml:space="preserve">Clicking a country opens its panel on the right: flag, official language, region, income group, indicator value and world rank for the displayed year. The "Ranking" button exports the full ranking for that year.</w:t>
      </w:r>
    </w:p>
    <w:p>
      <w:pPr>
        <w:pStyle w:val="Heading1"/>
      </w:pPr>
      <w:r>
        <w:t xml:space="preserve">5. The database</w:t>
      </w:r>
    </w:p>
    <w:p>
      <w:pPr>
        <w:spacing w:after="130" w:line="276"/>
        <w:jc w:val="both"/>
      </w:pPr>
      <w:r>
        <w:rPr>
          <w:b w:val="false"/>
          <w:bCs w:val="false"/>
          <w:i w:val="false"/>
          <w:iCs w:val="false"/>
          <w:sz w:val="21"/>
          <w:szCs w:val="21"/>
        </w:rPr>
        <w:t xml:space="preserve">This tab gives access to the database without going through a chart. Filters cover category, indicators, countries, frequency and years.</w:t>
      </w:r>
    </w:p>
    <w:p>
      <w:pPr>
        <w:spacing w:after="130" w:line="276"/>
        <w:jc w:val="both"/>
      </w:pPr>
      <w:r>
        <w:rPr>
          <w:b w:val="false"/>
          <w:bCs w:val="false"/>
          <w:i w:val="false"/>
          <w:iCs w:val="false"/>
          <w:sz w:val="21"/>
          <w:szCs w:val="21"/>
        </w:rPr>
        <w:t xml:space="preserve">The table shows the first thousand rows; the download covers the whole selection. Spreadsheet is the only download format offered, in two layouts.</w:t>
      </w:r>
    </w:p>
    <w:p>
      <w:pPr>
        <w:pStyle w:val="ListParagraph"/>
        <w:numPr>
          <w:ilvl w:val="0"/>
          <w:numId w:val="2"/>
        </w:numPr>
        <w:spacing w:after="90" w:line="276"/>
        <w:jc w:val="both"/>
      </w:pPr>
      <w:r>
        <w:rPr>
          <w:sz w:val="21"/>
          <w:szCs w:val="21"/>
        </w:rPr>
        <w:t xml:space="preserve">Long format: one row per observation. The format to prefer for statistical processing.</w:t>
      </w:r>
    </w:p>
    <w:p>
      <w:pPr>
        <w:pStyle w:val="ListParagraph"/>
        <w:numPr>
          <w:ilvl w:val="0"/>
          <w:numId w:val="2"/>
        </w:numPr>
        <w:spacing w:after="90" w:line="276"/>
        <w:jc w:val="both"/>
      </w:pPr>
      <w:r>
        <w:rPr>
          <w:sz w:val="21"/>
          <w:szCs w:val="21"/>
        </w:rPr>
        <w:t xml:space="preserve">Cross table: one row per country and period, one column per indicator. The format an economist expects before running a regression.</w:t>
      </w:r>
    </w:p>
    <w:p>
      <w:pPr>
        <w:pStyle w:val="Heading1"/>
      </w:pPr>
      <w:r>
        <w:t xml:space="preserve">6. Data collection</w:t>
      </w:r>
    </w:p>
    <w:p>
      <w:pPr>
        <w:spacing w:after="130" w:line="276"/>
        <w:jc w:val="both"/>
      </w:pPr>
      <w:r>
        <w:rPr>
          <w:b w:val="false"/>
          <w:bCs w:val="false"/>
          <w:i w:val="false"/>
          <w:iCs w:val="false"/>
          <w:sz w:val="21"/>
          <w:szCs w:val="21"/>
        </w:rPr>
        <w:t xml:space="preserve">The platform updates itself by querying its providers' public interfaces. Every run is logged: without that log, a silently empty collection would go unnoticed for months.</w:t>
      </w:r>
    </w:p>
    <w:p>
      <w:pPr>
        <w:spacing w:after="130" w:line="276"/>
        <w:jc w:val="both"/>
      </w:pPr>
      <w:r>
        <w:rPr>
          <w:b w:val="false"/>
          <w:bCs w:val="false"/>
          <w:i w:val="false"/>
          <w:iCs w:val="false"/>
          <w:sz w:val="21"/>
          <w:szCs w:val="21"/>
        </w:rPr>
        <w:t xml:space="preserve">Updates are triggered from this tab, for one category or for the whole catalogue. A full collection means several hundred calls and takes thirty to forty-five minutes: it is better to proceed one category at a time.</w:t>
      </w:r>
    </w:p>
    <w:p>
      <w:pPr>
        <w:spacing w:after="130" w:line="276"/>
        <w:jc w:val="both"/>
      </w:pPr>
      <w:r>
        <w:rPr>
          <w:b w:val="false"/>
          <w:bCs w:val="false"/>
          <w:i w:val="false"/>
          <w:iCs w:val="false"/>
          <w:sz w:val="21"/>
          <w:szCs w:val="21"/>
        </w:rPr>
        <w:t xml:space="preserve">The "Refresh data" button on the dashboard updates only the displayed indicators, which is far quicker.</w:t>
      </w:r>
    </w:p>
    <w:p>
      <w:pPr>
        <w:pStyle w:val="Heading2"/>
      </w:pPr>
      <w:r>
        <w:t xml:space="preserve">6.1. Recommended rhythm</w:t>
      </w:r>
    </w:p>
    <w:p>
      <w:pPr>
        <w:spacing w:after="130" w:line="276"/>
        <w:jc w:val="both"/>
      </w:pPr>
      <w:r>
        <w:rPr>
          <w:b w:val="false"/>
          <w:bCs w:val="false"/>
          <w:i w:val="false"/>
          <w:iCs w:val="false"/>
          <w:sz w:val="21"/>
          <w:szCs w:val="21"/>
        </w:rPr>
        <w:t xml:space="preserve">Macroeconomic data do not change from hour to hour. A price index appears once a month, the International Monetary Fund's World Economic Outlook twice a year, and the World Development Indicators are revised two to four times a year. Weekly updates of monthly series and monthly updates of the rest of the catalogue are ample.</w:t>
      </w:r>
    </w:p>
    <w:p>
      <w:pPr>
        <w:pStyle w:val="Heading1"/>
      </w:pPr>
      <w:r>
        <w:t xml:space="preserve">7. Sources</w:t>
      </w:r>
    </w:p>
    <w:p>
      <w:pPr>
        <w:spacing w:after="130" w:line="276"/>
        <w:jc w:val="both"/>
      </w:pPr>
      <w:r>
        <w:rPr>
          <w:b w:val="false"/>
          <w:bCs w:val="false"/>
          <w:i w:val="false"/>
          <w:iCs w:val="false"/>
          <w:sz w:val="21"/>
          <w:szCs w:val="21"/>
        </w:rPr>
        <w:t xml:space="preserve">Four providers feed the active catalogue. All expose public, free interfaces with no access key.</w:t>
      </w:r>
    </w:p>
    <w:p>
      <w:pPr>
        <w:pStyle w:val="ListParagraph"/>
        <w:numPr>
          <w:ilvl w:val="0"/>
          <w:numId w:val="2"/>
        </w:numPr>
        <w:spacing w:after="90" w:line="276"/>
        <w:jc w:val="both"/>
      </w:pPr>
      <w:r>
        <w:rPr>
          <w:sz w:val="21"/>
          <w:szCs w:val="21"/>
        </w:rPr>
        <w:t xml:space="preserve">World Bank: World Development Indicators, International Debt Statistics, Worldwide Governance Indicators, Poverty and Inequality Platform, Global Findex, Logistics Performance Index, and the Pink Sheet world commodity prices.</w:t>
      </w:r>
    </w:p>
    <w:p>
      <w:pPr>
        <w:pStyle w:val="ListParagraph"/>
        <w:numPr>
          <w:ilvl w:val="0"/>
          <w:numId w:val="2"/>
        </w:numPr>
        <w:spacing w:after="90" w:line="276"/>
        <w:jc w:val="both"/>
      </w:pPr>
      <w:r>
        <w:rPr>
          <w:sz w:val="21"/>
          <w:szCs w:val="21"/>
        </w:rPr>
        <w:t xml:space="preserve">International Monetary Fund: World Economic Outlook and Fiscal Monitor, through the SDMX portal.</w:t>
      </w:r>
    </w:p>
    <w:p>
      <w:pPr>
        <w:pStyle w:val="ListParagraph"/>
        <w:numPr>
          <w:ilvl w:val="0"/>
          <w:numId w:val="2"/>
        </w:numPr>
        <w:spacing w:after="90" w:line="276"/>
        <w:jc w:val="both"/>
      </w:pPr>
      <w:r>
        <w:rPr>
          <w:sz w:val="21"/>
          <w:szCs w:val="21"/>
        </w:rPr>
        <w:t xml:space="preserve">Growth Lab, Harvard University: Economic Complexity Index and Complexity Outlook Index, through a GraphQL interface.</w:t>
      </w:r>
    </w:p>
    <w:p>
      <w:pPr>
        <w:pStyle w:val="ListParagraph"/>
        <w:numPr>
          <w:ilvl w:val="0"/>
          <w:numId w:val="2"/>
        </w:numPr>
        <w:spacing w:after="90" w:line="276"/>
        <w:jc w:val="both"/>
      </w:pPr>
      <w:r>
        <w:rPr>
          <w:sz w:val="21"/>
          <w:szCs w:val="21"/>
        </w:rPr>
        <w:t xml:space="preserve">Other providers appear in the catalogue but are not yet connected: their indicators are deactivated rather than left visible and silent.</w:t>
      </w:r>
    </w:p>
    <w:p>
      <w:pPr>
        <w:pStyle w:val="Heading1"/>
      </w:pPr>
      <w:r>
        <w:t xml:space="preserve">8. Indicator catalogue</w:t>
      </w:r>
    </w:p>
    <w:p>
      <w:pPr>
        <w:spacing w:after="130" w:line="276"/>
        <w:jc w:val="both"/>
      </w:pPr>
      <w:r>
        <w:rPr>
          <w:b w:val="false"/>
          <w:bCs w:val="false"/>
          <w:i w:val="false"/>
          <w:iCs w:val="false"/>
          <w:sz w:val="21"/>
          <w:szCs w:val="21"/>
        </w:rPr>
        <w:t xml:space="preserve">The tables below list the 233 active indicators by category. The collection code is the one used with the provider: it must not be altered.</w:t>
      </w:r>
    </w:p>
    <w:p>
      <w:pPr>
        <w:spacing w:after="130" w:line="276"/>
        <w:jc w:val="both"/>
      </w:pPr>
      <w:r>
        <w:rPr>
          <w:b w:val="false"/>
          <w:bCs w:val="false"/>
          <w:i w:val="false"/>
          <w:iCs w:val="false"/>
          <w:sz w:val="21"/>
          <w:szCs w:val="21"/>
        </w:rPr>
        <w:t xml:space="preserve">Unless stated otherwise, the frequency is annual. Commodity prices are monthly and are also aggregated into annual averages.</w:t>
      </w:r>
    </w:p>
    <w:p>
      <w:pPr>
        <w:pStyle w:val="Heading2"/>
      </w:pPr>
      <w:r>
        <w:t xml:space="preserve">C01. Commodities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Aluminium</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PALUM</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Bananas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PBANSOP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Wheat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PWHEAMT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Cocoa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PCOCO</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Coffee, Arabica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PCOFFOTM</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Coffee, Robusta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PCOFFROB</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Rubber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PRUBB</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Coal, Australia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PCOALAU</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Cotton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PCOTTIND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cents US / livre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Crude oil, average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POILAPSP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Copper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PCOPP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Natural gas, Europe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PNGASEU</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MBtu</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Logs, Cameroon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PLOGSK</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m3</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Palm oil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PPOIL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Food price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PFANDBW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Non-energy price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PALLFNFW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Agricultural raw materials price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PRAWMW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Metals and minerals price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PMETAW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Energy price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PNRGW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Maize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PMAIZMT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Iron ore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PIORECR</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Gold</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PGOLD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once troy</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Crude oil, Brent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POILBRE</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Crude oil, Dubai</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POILDUB</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Crude oil, WTI</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POILWTI</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baril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Rice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PRICENPQ</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 tonne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Sawnwood, Cameroon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PSAWMAL</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 m3</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Sugar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PSUGAISA</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Pink Sheet</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cents US / livre</w:t>
            </w:r>
          </w:p>
        </w:tc>
      </w:tr>
    </w:tbl>
    <w:p>
      <w:pPr>
        <w:spacing w:after="190" w:line="276"/>
        <w:jc w:val="both"/>
      </w:pPr>
      <w:r>
        <w:rPr>
          <w:b w:val="false"/>
          <w:bCs w:val="false"/>
          <w:i w:val="false"/>
          <w:iCs w:val="false"/>
          <w:sz w:val="21"/>
          <w:szCs w:val="21"/>
        </w:rPr>
        <w:t xml:space="preserve"/>
      </w:r>
    </w:p>
    <w:p>
      <w:pPr>
        <w:pStyle w:val="Heading2"/>
      </w:pPr>
      <w:r>
        <w:t xml:space="preserve">C02. Real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consumption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NE.CON.GOVT.ZS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Household final consumption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NE.CON.PRVT.ZS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per capita growth</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NY.GDP.PCAP.KD.ZG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deflator, annual change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NY.GDP.DEFL.KD.ZG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Exports of goods and services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NE.EXP.GNFS.ZS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Gross capital formation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NE.GDI.TOTL.ZS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Gross fixed capital formation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NE.GDI.FTOT.ZS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Imports of goods and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NE.IMP.GNFS.ZS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Total investment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NID_NGDP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national currency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Mds LCU</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US dollars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NGDPD</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Mds USD</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per capita, PPP</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NY.GDP.PCAP.PP.CD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PPA</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per capita, constant prices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per capita, current prices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NY.GDP.PCAP.CD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PPP</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PPPGDP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Mds USD PPA</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Share of world GDP (PPP)</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PPPSH</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constant prices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current prices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GNI per capita, Atlas method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NY.GNP.PCAP.CD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GDP growth</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NY.GDP.MKTP.KD.ZG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Real GDP growth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NGDP_RPCH</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Agriculture, value added</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NV.AGR.TOTL.ZS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Industry, value added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NV.IND.TOTL.ZS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Manufacturing, value added</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NV.IND.MANF.ZS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Services, value added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NV.SRV.TOTL.ZS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Gross domestic savings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NY.GNS.ICTR.ZS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Gross national savings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NGSD_NGDP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bl>
    <w:p>
      <w:pPr>
        <w:spacing w:after="190" w:line="276"/>
        <w:jc w:val="both"/>
      </w:pPr>
      <w:r>
        <w:rPr>
          <w:b w:val="false"/>
          <w:bCs w:val="false"/>
          <w:i w:val="false"/>
          <w:iCs w:val="false"/>
          <w:sz w:val="21"/>
          <w:szCs w:val="21"/>
        </w:rPr>
        <w:t xml:space="preserve"/>
      </w:r>
    </w:p>
    <w:p>
      <w:pPr>
        <w:pStyle w:val="Heading2"/>
      </w:pPr>
      <w:r>
        <w:t xml:space="preserve">C03. Public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Net lending/borrowing</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GC.NLD.TOTL.GD.ZS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Interest payments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GC.XPN.INTP.RV.ZS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Military expenditure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MS.MIL.XPND.GD.ZS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Central government expense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expenditure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Taxes on income and profits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GC.TAX.YPKG.RV.ZS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Compensation of employees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GC.XPN.COMP.ZS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dépenses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Tax revenue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Revenue excluding grants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GC.REV.XGRT.GD.ZS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General government revenue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GGR_NGDP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net lending/borrowing</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GGXCNL_NGDP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General government primary balance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GGXONLB_NGDP</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structural balance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GGSB_NPGDP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 pot.</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Subsidies and other transfers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GC.XPN.TRFT.ZS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dépenses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Taxes on international trade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GC.TAX.INTT.RV.ZS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recettes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Taxes on goods and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GC.TAX.GSRV.RV.ZS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recettes</w:t>
            </w:r>
          </w:p>
        </w:tc>
      </w:tr>
    </w:tbl>
    <w:p>
      <w:pPr>
        <w:spacing w:after="190" w:line="276"/>
        <w:jc w:val="both"/>
      </w:pPr>
      <w:r>
        <w:rPr>
          <w:b w:val="false"/>
          <w:bCs w:val="false"/>
          <w:i w:val="false"/>
          <w:iCs w:val="false"/>
          <w:sz w:val="21"/>
          <w:szCs w:val="21"/>
        </w:rPr>
        <w:t xml:space="preserve"/>
      </w:r>
    </w:p>
    <w:p>
      <w:pPr>
        <w:pStyle w:val="Heading2"/>
      </w:pPr>
      <w:r>
        <w:t xml:space="preserve">C04. Monetary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Commercial bank branches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FB.CBK.BRCH.P5</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100 000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Market capitalization of listed companies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CM.MKT.LCAP.GD.ZS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Account ownership at a financial institution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FX.OWN.TOTL.ZS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Findex</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Broad money growth</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FM.LBL.BMNY.ZG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Domestic credit to private sector by banks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FD.AST.PRVT.GD.ZS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Domestic credit to private sector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FS.AST.PRVT.GD.ZS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Net domestic credit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FS.AST.DOMS.GD.ZS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Broad money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FM.LBL.BMNY.GD.ZS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Bank non-performing loans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FB.AST.NPER.ZS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prêts bruts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Bank capital to assets ratio</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FB.BNK.CAPA.ZS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C05. External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Net official development assistance received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DT.ODA.ODAT.GN.ZS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Exports of goods and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BX.GSR.GNFS.CD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Merchandise exports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TX.VAL.MRCH.CD.WT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Imports of goods and services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BM.GSR.GNFS.CD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Merchandise imports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TM.VAL.MRCH.CD.WT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Foreign direct investment, net outflows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BM.KLT.DINV.WD.GD.ZS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Foreign direct investment, net inflows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BX.KLT.DINV.WD.GD.ZS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Foreign direct investment, value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BX.KLT.DINV.CD.WD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Trade openness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NE.TRD.GNFS.ZS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Manufactures exports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TX.VAL.MANF.ZS.UN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Food exports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TX.VAL.FOOD.ZS.UN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Total reserves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FI.RES.TOTL.CD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Total reserves in months of imports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FI.RES.TOTL.MO</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Mois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Current account balance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BN.CAB.XOKA.GD.ZS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Current account balance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BCA_NGDPD</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Current account balance, value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BN.CAB.XOKA.CD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Applied tariff rate, weighted mean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TM.TAX.MRCH.WM.AR.ZS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Net barter terms of trade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TT.PRI.MRCH.XD.WD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2015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Personal remittances received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BX.TRF.PWKR.CD.DT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Personal remittances received</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BX.TRF.PWKR.DT.GD.ZS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bl>
    <w:p>
      <w:pPr>
        <w:spacing w:after="190" w:line="276"/>
        <w:jc w:val="both"/>
      </w:pPr>
      <w:r>
        <w:rPr>
          <w:b w:val="false"/>
          <w:bCs w:val="false"/>
          <w:i w:val="false"/>
          <w:iCs w:val="false"/>
          <w:sz w:val="21"/>
          <w:szCs w:val="21"/>
        </w:rPr>
        <w:t xml:space="preserve"/>
      </w:r>
    </w:p>
    <w:p>
      <w:pPr>
        <w:pStyle w:val="Heading2"/>
      </w:pPr>
      <w:r>
        <w:t xml:space="preserve">C06. Exchange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PPP conversion factor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PA.NUS.PPP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LCU / USD int.</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Real effective exchange rate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PX.REX.REER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2010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Official exchange rate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PA.NUS.FCRF</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LCU / USD</w:t>
            </w:r>
          </w:p>
        </w:tc>
      </w:tr>
    </w:tbl>
    <w:p>
      <w:pPr>
        <w:spacing w:after="190" w:line="276"/>
        <w:jc w:val="both"/>
      </w:pPr>
      <w:r>
        <w:rPr>
          <w:b w:val="false"/>
          <w:bCs w:val="false"/>
          <w:i w:val="false"/>
          <w:iCs w:val="false"/>
          <w:sz w:val="21"/>
          <w:szCs w:val="21"/>
        </w:rPr>
        <w:t xml:space="preserve"/>
      </w:r>
    </w:p>
    <w:p>
      <w:pPr>
        <w:pStyle w:val="Heading2"/>
      </w:pPr>
      <w:r>
        <w:t xml:space="preserve">C07. Interest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Interest rate spread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FR.INR.LNDP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Points de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Deposit interest rate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FR.INR.DPST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Lending interest rate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FR.INR.LEND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Real interest rate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FR.INR.RINR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C08. Prices and inflation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deflator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NY.GDP.DEFL.ZS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Consumer price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FP.CPI.TOTL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2010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End-of-period inflation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PCPIEPCH</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Average consumer price inflation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PCPIPCH</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Inflation, consumer prices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FP.CPI.TOTL.ZG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annuel</w:t>
            </w:r>
          </w:p>
        </w:tc>
      </w:tr>
    </w:tbl>
    <w:p>
      <w:pPr>
        <w:spacing w:after="190" w:line="276"/>
        <w:jc w:val="both"/>
      </w:pPr>
      <w:r>
        <w:rPr>
          <w:b w:val="false"/>
          <w:bCs w:val="false"/>
          <w:i w:val="false"/>
          <w:iCs w:val="false"/>
          <w:sz w:val="21"/>
          <w:szCs w:val="21"/>
        </w:rPr>
        <w:t xml:space="preserve"/>
      </w:r>
    </w:p>
    <w:p>
      <w:pPr>
        <w:pStyle w:val="Heading2"/>
      </w:pPr>
      <w:r>
        <w:t xml:space="preserve">C09. Public and external debt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gross debt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GGXWDG_NGDP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Central government debt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GC.DOD.TOTL.GD.ZS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External debt stocks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DT.DOD.DECT.GN.ZS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Short-term external debt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DT.DOD.DSTC.CD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General government net debt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GGXWDN_NGDP</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FM</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Public and publicly guaranteed debt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DT.DOD.DPPG.CD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Short-term debt to reserves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DT.DOD.DSTC.IR.ZS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réserves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Disbursements on new loans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DT.DIS.DPPG.CD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Average maturity on new commitments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DT.MAT.DPPG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Années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Total debt service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DT.TDS.DECT.EX.ZS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exportations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Public debt service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DT.TDS.DPPG.GN.ZS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External debt stocks, total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DT.DOD.DECT.CD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Average interest on new commitments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DT.INR.DPPG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Net transfers on debt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DT.NTR.DECT.CD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Average grant element on new commitments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DT.GRE.DPPG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IDS</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C10. Labour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Employment in agriculture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SL.AGR.EMPL.ZS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Employment in industry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SL.IND.EMPL.ZS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Employment in services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SL.SRV.EMPL.ZS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Wage and salaried workers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SL.EMP.WORK.ZS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Vulnerable employment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SL.EMP.VULN.ZS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l'emploi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Youth not in education, employment or training</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SL.UEM.NEET.ZS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jeunes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GDP per person employed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SL.GDP.PCAP.EM.KD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PPA 2021</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Labour force, total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SL.TLF.TOTL.IN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Employment to population ratio</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SL.EMP.TOTL.SP.ZS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Labour force participation rate, female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SL.TLF.CACT.FE.ZS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femmes 15 ans +</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Labour force participation rate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SL.TLF.CACT.ZS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Unemployment, total (national estimate)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SL.UEM.TOTL.NE.ZS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 active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Unemployment rate (projections)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LUR</w:t>
            </w:r>
          </w:p>
        </w:tc>
        <w:tc>
          <w:tcPr>
            <w:tcW w:type="dxa" w:w="1250"/>
            <w:tcMar>
              <w:top w:type="dxa" w:w="55"/>
              <w:left w:type="dxa" w:w="85"/>
              <w:bottom w:type="dxa" w:w="55"/>
              <w:right w:type="dxa" w:w="85"/>
            </w:tcMar>
          </w:tcPr>
          <w:p>
            <w:pPr>
              <w:spacing w:after="0"/>
            </w:pPr>
            <w:r>
              <w:rPr>
                <w:b w:val="false"/>
                <w:bCs w:val="false"/>
                <w:color w:val="000000"/>
                <w:sz w:val="15"/>
                <w:szCs w:val="15"/>
              </w:rPr>
              <w:t xml:space="preserve">FMI · WEO</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Youth unemployment (15-24)</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SL.UEM.1524.ZS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15-24 ans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Unemployment, total (ILO estimate)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SL.UEM.TOTL.ZS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 active</w:t>
            </w:r>
          </w:p>
        </w:tc>
      </w:tr>
    </w:tbl>
    <w:p>
      <w:pPr>
        <w:spacing w:after="190" w:line="276"/>
        <w:jc w:val="both"/>
      </w:pPr>
      <w:r>
        <w:rPr>
          <w:b w:val="false"/>
          <w:bCs w:val="false"/>
          <w:i w:val="false"/>
          <w:iCs w:val="false"/>
          <w:sz w:val="21"/>
          <w:szCs w:val="21"/>
        </w:rPr>
        <w:t xml:space="preserve"/>
      </w:r>
    </w:p>
    <w:p>
      <w:pPr>
        <w:pStyle w:val="Heading2"/>
      </w:pPr>
      <w:r>
        <w:t xml:space="preserve">C11. Demography and living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People using at least basic drinking water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SH.H2O.BASW.ZS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People using at least basic sanitation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SH.STA.BASS.ZS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Survey mean consumption, bottom 40%</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SI.SPR.PC40</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PPA / jour</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Coverage of social protection programmes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per_allsp.cov_pop_tot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ASPIRE</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Urban population growth</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SP.URB.GROW</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growth</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SP.POP.GROW</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annuel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Population density</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EN.POP.DNST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Hab. / km²</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Current health expenditure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SH.XPD.CHEX.GD.ZS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Current health expenditure per capita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SH.XPD.CHEX.PC.CD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USD courants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Out-of-pocket health expenditure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SH.XPD.OOPC.CH.ZS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dép. de santé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Government expenditure on education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SE.XPD.TOTL.GD.ZS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Life expectancy at birth</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SP.DYN.LE00.IN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Années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Gini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SI.POV.GINI</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 0-100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Human capital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HD.HCI.OVRL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0-1</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Fertility rate, total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SP.DYN.TFRT.IN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Naissances / femme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Net migration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SM.POP.NETM</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Mortality rate, under-5</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SH.DYN.MORT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nais. viv.</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Mortality rate, infant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SP.DYN.IMRT.IN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1 000 nais. viv.</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Physicians per 1,000 people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SH.MED.PHYS.ZS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Income share held by highest 10%</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SI.DST.10TH.10</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Income share held by lowest 20%</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SI.DST.FRST.20</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total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SP.POP.TOTL</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Personnes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Urban population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SP.URB.TOTL.IN.ZS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ages 0-14</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SP.POP.0014.TO.ZS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Population ages 15-64</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SP.POP.1564.TO.ZS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Population ages 65 and above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SP.POP.65UP.TO.ZS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total</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Prevalence of undernourishment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SN.ITK.DEFC.ZS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Age dependency ratio</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SP.POP.DPND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15-64 ans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Maternal mortality ratio</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SH.STA.MMRT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100 000 nais.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Pupil-teacher ratio, primary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SE.PRM.ENRL.TC.ZS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Ratio</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Prevalence of stunting, under-5</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SH.STA.STNT.ZS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moins de 5 ans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Death rate, crude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SP.DYN.CDRT.IN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Birth rate, crude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SP.DYN.CBRT.IN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1 000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School enrolment, tertiary (gross)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SE.TER.ENRR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Primary completion rate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SE.PRM.CMPT.ZS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groupe d'âge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Adult literacy rate</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SE.ADT.LITR.ZS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15 ans et +</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Poverty headcount at $2.15 a day</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SI.POV.DDAY</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Poverty headcount at $3.65 a day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SI.POV.LMIC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Poverty headcount at $6.85 a day</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SI.POV.UMIC</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Poverty headcount at national lines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SI.POV.NAHC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School enrolment, primary (net)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SE.PRM.NENR</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School enrolment, secondary (net)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SE.SEC.NENR</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Poverty gap at $2.15 a day</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SI.POV.GAPS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PIP</w:t>
            </w:r>
          </w:p>
        </w:tc>
        <w:tc>
          <w:tcPr>
            <w:tcW w:type="dxa" w:w="2026"/>
            <w:tcMar>
              <w:top w:type="dxa" w:w="55"/>
              <w:left w:type="dxa" w:w="85"/>
              <w:bottom w:type="dxa" w:w="55"/>
              <w:right w:type="dxa" w:w="85"/>
            </w:tcMar>
          </w:tcPr>
          <w:p>
            <w:pPr>
              <w:spacing w:after="0"/>
            </w:pPr>
            <w:r>
              <w:rPr>
                <w:b w:val="false"/>
                <w:bCs w:val="false"/>
                <w:color w:val="000000"/>
                <w:sz w:val="15"/>
                <w:szCs w:val="15"/>
              </w:rPr>
              <w:t xml:space="preserve">%</w:t>
            </w:r>
          </w:p>
        </w:tc>
      </w:tr>
    </w:tbl>
    <w:p>
      <w:pPr>
        <w:spacing w:after="190" w:line="276"/>
        <w:jc w:val="both"/>
      </w:pPr>
      <w:r>
        <w:rPr>
          <w:b w:val="false"/>
          <w:bCs w:val="false"/>
          <w:i w:val="false"/>
          <w:iCs w:val="false"/>
          <w:sz w:val="21"/>
          <w:szCs w:val="21"/>
        </w:rPr>
        <w:t xml:space="preserve"/>
      </w:r>
    </w:p>
    <w:p>
      <w:pPr>
        <w:pStyle w:val="Heading2"/>
      </w:pPr>
      <w:r>
        <w:t xml:space="preserve">C12. Economic complexity and productive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Economic Complexity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eci</w:t>
            </w:r>
          </w:p>
        </w:tc>
        <w:tc>
          <w:tcPr>
            <w:tcW w:type="dxa" w:w="1250"/>
            <w:tcMar>
              <w:top w:type="dxa" w:w="55"/>
              <w:left w:type="dxa" w:w="85"/>
              <w:bottom w:type="dxa" w:w="55"/>
              <w:right w:type="dxa" w:w="85"/>
            </w:tcMar>
          </w:tcPr>
          <w:p>
            <w:pPr>
              <w:spacing w:after="0"/>
            </w:pPr>
            <w:r>
              <w:rPr>
                <w:b w:val="false"/>
                <w:bCs w:val="false"/>
                <w:color w:val="000000"/>
                <w:sz w:val="15"/>
                <w:szCs w:val="15"/>
              </w:rPr>
              <w:t xml:space="preserve">Harvard · Atlas</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standardisé</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Complexity Outlook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coi</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Harvard · Atlas</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standardisé</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High-technology exports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TX.VAL.TECH.MF.ZS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exp. manuf.</w:t>
            </w:r>
          </w:p>
        </w:tc>
      </w:tr>
    </w:tbl>
    <w:p>
      <w:pPr>
        <w:spacing w:after="190" w:line="276"/>
        <w:jc w:val="both"/>
      </w:pPr>
      <w:r>
        <w:rPr>
          <w:b w:val="false"/>
          <w:bCs w:val="false"/>
          <w:i w:val="false"/>
          <w:iCs w:val="false"/>
          <w:sz w:val="21"/>
          <w:szCs w:val="21"/>
        </w:rPr>
        <w:t xml:space="preserve"/>
      </w:r>
    </w:p>
    <w:p>
      <w:pPr>
        <w:pStyle w:val="Heading2"/>
      </w:pPr>
      <w:r>
        <w:t xml:space="preserve">C13. Governance and business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Government effectiveness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GE.EST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Voice and accountability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VA.EST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Business Ready, regulatory pillar</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BREADY_REG</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B-READY</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0-100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Control of corruption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CC.EST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CPIA public sector management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IQ.CPA.PUBS.XQ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CPIA economic management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IQ.CPA.ECON.XQ</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CPIA transparency and corruption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IQ.CPA.TRAN.XQ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1-6</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Regulatory quality</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RQ.EST</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Political stability and absence of violence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PV.EST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Time to prepare and pay taxes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IC.TAX.DURS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Heures / an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Rule of law</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RL.EST</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WGI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-2,5 à 2,5</w:t>
            </w:r>
          </w:p>
        </w:tc>
      </w:tr>
    </w:tbl>
    <w:p>
      <w:pPr>
        <w:spacing w:after="190" w:line="276"/>
        <w:jc w:val="both"/>
      </w:pPr>
      <w:r>
        <w:rPr>
          <w:b w:val="false"/>
          <w:bCs w:val="false"/>
          <w:i w:val="false"/>
          <w:iCs w:val="false"/>
          <w:sz w:val="21"/>
          <w:szCs w:val="21"/>
        </w:rPr>
        <w:t xml:space="preserve"/>
      </w:r>
    </w:p>
    <w:p>
      <w:pPr>
        <w:pStyle w:val="Heading2"/>
      </w:pPr>
      <w:r>
        <w:t xml:space="preserve">C14. Energy, environment and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50"/>
        <w:gridCol w:w="1250"/>
        <w:gridCol w:w="2026"/>
      </w:tblGrid>
      <w:tr>
        <w:trPr>
          <w:tblHeader/>
        </w:trPr>
        <w:tc>
          <w:tcPr>
            <w:tcW w:type="dxa" w:w="3700"/>
            <w:shd w:fill="1F3864" w:color="auto" w:val="clear"/>
            <w:tcMar>
              <w:top w:type="dxa" w:w="55"/>
              <w:left w:type="dxa" w:w="85"/>
              <w:bottom w:type="dxa" w:w="55"/>
              <w:right w:type="dxa" w:w="85"/>
            </w:tcMar>
          </w:tcPr>
          <w:p>
            <w:pPr>
              <w:spacing w:after="0"/>
            </w:pPr>
            <w:r>
              <w:rPr>
                <w:b/>
                <w:bCs/>
                <w:color w:val="FFFFFF"/>
                <w:sz w:val="17"/>
                <w:szCs w:val="17"/>
              </w:rPr>
              <w:t xml:space="preserve">Indicator</w:t>
            </w:r>
          </w:p>
        </w:tc>
        <w:tc>
          <w:tcPr>
            <w:tcW w:type="dxa" w:w="2050"/>
            <w:shd w:fill="1F3864" w:color="auto" w:val="clear"/>
            <w:tcMar>
              <w:top w:type="dxa" w:w="55"/>
              <w:left w:type="dxa" w:w="85"/>
              <w:bottom w:type="dxa" w:w="55"/>
              <w:right w:type="dxa" w:w="85"/>
            </w:tcMar>
          </w:tcPr>
          <w:p>
            <w:pPr>
              <w:spacing w:after="0"/>
            </w:pPr>
            <w:r>
              <w:rPr>
                <w:b/>
                <w:bCs/>
                <w:color w:val="FFFFFF"/>
                <w:sz w:val="17"/>
                <w:szCs w:val="17"/>
              </w:rPr>
              <w:t xml:space="preserve">Collection code</w:t>
            </w:r>
          </w:p>
        </w:tc>
        <w:tc>
          <w:tcPr>
            <w:tcW w:type="dxa" w:w="1250"/>
            <w:shd w:fill="1F3864" w:color="auto" w:val="clear"/>
            <w:tcMar>
              <w:top w:type="dxa" w:w="55"/>
              <w:left w:type="dxa" w:w="85"/>
              <w:bottom w:type="dxa" w:w="55"/>
              <w:right w:type="dxa" w:w="85"/>
            </w:tcMar>
          </w:tcPr>
          <w:p>
            <w:pPr>
              <w:spacing w:after="0"/>
            </w:pPr>
            <w:r>
              <w:rPr>
                <w:b/>
                <w:bCs/>
                <w:color w:val="FFFFFF"/>
                <w:sz w:val="17"/>
                <w:szCs w:val="17"/>
              </w:rPr>
              <w:t xml:space="preserve">Source</w:t>
            </w:r>
          </w:p>
        </w:tc>
        <w:tc>
          <w:tcPr>
            <w:tcW w:type="dxa" w:w="2026"/>
            <w:shd w:fill="1F3864" w:color="auto" w:val="clear"/>
            <w:tcMar>
              <w:top w:type="dxa" w:w="55"/>
              <w:left w:type="dxa" w:w="85"/>
              <w:bottom w:type="dxa" w:w="55"/>
              <w:right w:type="dxa" w:w="85"/>
            </w:tcMar>
          </w:tcPr>
          <w:p>
            <w:pPr>
              <w:spacing w:after="0"/>
            </w:pPr>
            <w:r>
              <w:rPr>
                <w:b/>
                <w:bCs/>
                <w:color w:val="FFFFFF"/>
                <w:sz w:val="17"/>
                <w:szCs w:val="17"/>
              </w:rPr>
              <w:t xml:space="preserve">Unit</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Fixed broadband subscriptions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IT.NET.BBND.P2</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Pour 100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Mobile cellular subscriptions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IT.CEL.SETS.P2</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Pour 100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Access to electricity</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EG.ELC.ACCS.ZS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Fertilizer consumption</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AG.CON.FERT.ZS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 ha de terres arables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Electric power consumption per capita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EG.USE.ELEC.KH.PC</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kWh /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Energy use per capita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EG.USE.PCAP.KG.OE</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équiv. pétrole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Agricultural raw materials exports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TX.VAL.AGRI.ZS.UN</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exp. de march.</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ICT service exports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BX.GSR.CCIS.ZS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exp. de services</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PM2.5 air pollution exposure</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EN.ATM.PM25.MC.M3</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µg / m³</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Food imports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TM.VAL.FOOD.ZS.UN</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des imp. de march.</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Logistics performance index, overall</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LP.LPI.OVRL.XQ</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LPI</w:t>
            </w:r>
          </w:p>
        </w:tc>
        <w:tc>
          <w:tcPr>
            <w:tcW w:type="dxa" w:w="2026"/>
            <w:tcMar>
              <w:top w:type="dxa" w:w="55"/>
              <w:left w:type="dxa" w:w="85"/>
              <w:bottom w:type="dxa" w:w="55"/>
              <w:right w:type="dxa" w:w="85"/>
            </w:tcMar>
          </w:tcPr>
          <w:p>
            <w:pPr>
              <w:spacing w:after="0"/>
            </w:pPr>
            <w:r>
              <w:rPr>
                <w:b w:val="false"/>
                <w:bCs w:val="false"/>
                <w:color w:val="000000"/>
                <w:sz w:val="15"/>
                <w:szCs w:val="15"/>
              </w:rPr>
              <w:t xml:space="preserve">Score 1-5</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Food production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AG.PRD.FOOD.XD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Livestock production index</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AG.PRD.LVSK.XD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Crop production index</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AG.PRD.CROP.XD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Indice 2014-2016 = 100</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CO2 emissions per unit of GDP</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EN.GHG.CO2.RT.GDP.PP.KD</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kg / USD PPA</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Energy intensity of GDP</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EG.EGY.PRIM.PP.KD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MJ / USD PPA 2017</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Renewable energy consumption</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EG.FEC.RNEW.ZS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conso finale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Electric power transmission and distribution losses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EG.ELC.LOSS.ZS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de la production</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Annual freshwater withdrawals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ER.H2O.FWTL.ZS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des ressources</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Cereal yield</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AG.YLD.CREL.KG</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kg / hectare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Mineral rents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NY.GDP.MINR.RT.ZS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Oil rents</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NY.GDP.PETR.RT.ZS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Total natural resources rents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NY.GDP.TOTL.RT.ZS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PIB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Forest area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AG.LND.FRST.ZS</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 du territoire</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Agricultural land</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AG.LND.AGRI.ZS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territoire</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Arable land per capita</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AG.LND.ARBL.HA.PC</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Hectares / hab.</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Container port traffic</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IS.SHP.GOOD.TU</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EVP</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Air transport, freight</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IS.AIR.GOOD.MT.K1</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Millions t-km</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Individuals using the Internet</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IT.NET.USER.ZS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de la population</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Agriculture value added per worker</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NV.AGR.EMPL.KD</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USD constants 2015</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CO2 emissions per capita</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EN.GHG.CO2.PC.CE.AR5</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t équiv. CO2 / hab.</w:t>
            </w:r>
          </w:p>
        </w:tc>
      </w:tr>
      <w:tr>
        <w:tc>
          <w:tcPr>
            <w:tcW w:type="dxa" w:w="3700"/>
            <w:shd w:fill="F4F6F9" w:color="auto" w:val="clear"/>
            <w:tcMar>
              <w:top w:type="dxa" w:w="55"/>
              <w:left w:type="dxa" w:w="85"/>
              <w:bottom w:type="dxa" w:w="55"/>
              <w:right w:type="dxa" w:w="85"/>
            </w:tcMar>
          </w:tcPr>
          <w:p>
            <w:pPr>
              <w:spacing w:after="0"/>
            </w:pPr>
            <w:r>
              <w:rPr>
                <w:b w:val="false"/>
                <w:bCs w:val="false"/>
                <w:color w:val="000000"/>
                <w:sz w:val="17"/>
                <w:szCs w:val="17"/>
              </w:rPr>
              <w:t xml:space="preserve">CO2 emissions, total</w:t>
            </w:r>
          </w:p>
        </w:tc>
        <w:tc>
          <w:tcPr>
            <w:tcW w:type="dxa" w:w="2050"/>
            <w:shd w:fill="F4F6F9" w:color="auto" w:val="clear"/>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EN.GHG.CO2.MT.CE.AR5</w:t>
            </w:r>
          </w:p>
        </w:tc>
        <w:tc>
          <w:tcPr>
            <w:tcW w:type="dxa" w:w="1250"/>
            <w:shd w:fill="F4F6F9" w:color="auto" w:val="clear"/>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shd w:fill="F4F6F9" w:color="auto" w:val="clear"/>
            <w:tcMar>
              <w:top w:type="dxa" w:w="55"/>
              <w:left w:type="dxa" w:w="85"/>
              <w:bottom w:type="dxa" w:w="55"/>
              <w:right w:type="dxa" w:w="85"/>
            </w:tcMar>
          </w:tcPr>
          <w:p>
            <w:pPr>
              <w:spacing w:after="0"/>
            </w:pPr>
            <w:r>
              <w:rPr>
                <w:b w:val="false"/>
                <w:bCs w:val="false"/>
                <w:color w:val="000000"/>
                <w:sz w:val="15"/>
                <w:szCs w:val="15"/>
              </w:rPr>
              <w:t xml:space="preserve">Mt équiv. CO2</w:t>
            </w:r>
          </w:p>
        </w:tc>
      </w:tr>
      <w:tr>
        <w:tc>
          <w:tcPr>
            <w:tcW w:type="dxa" w:w="3700"/>
            <w:tcMar>
              <w:top w:type="dxa" w:w="55"/>
              <w:left w:type="dxa" w:w="85"/>
              <w:bottom w:type="dxa" w:w="55"/>
              <w:right w:type="dxa" w:w="85"/>
            </w:tcMar>
          </w:tcPr>
          <w:p>
            <w:pPr>
              <w:spacing w:after="0"/>
            </w:pPr>
            <w:r>
              <w:rPr>
                <w:b w:val="false"/>
                <w:bCs w:val="false"/>
                <w:color w:val="000000"/>
                <w:sz w:val="17"/>
                <w:szCs w:val="17"/>
              </w:rPr>
              <w:t xml:space="preserve">Adjusted net savings</w:t>
            </w:r>
          </w:p>
        </w:tc>
        <w:tc>
          <w:tcPr>
            <w:tcW w:type="dxa" w:w="2050"/>
            <w:tcMar>
              <w:top w:type="dxa" w:w="55"/>
              <w:left w:type="dxa" w:w="85"/>
              <w:bottom w:type="dxa" w:w="55"/>
              <w:right w:type="dxa" w:w="85"/>
            </w:tcMar>
          </w:tcPr>
          <w:p>
            <w:pPr>
              <w:spacing w:after="0"/>
            </w:pPr>
            <w:r>
              <w:rPr>
                <w:rFonts w:ascii="Consolas" w:cs="Consolas" w:eastAsia="Consolas" w:hAnsi="Consolas"/>
                <w:b w:val="false"/>
                <w:bCs w:val="false"/>
                <w:color w:val="000000"/>
                <w:sz w:val="15"/>
                <w:szCs w:val="15"/>
              </w:rPr>
              <w:t xml:space="preserve">NY.ADJ.SVNG.GN.ZS</w:t>
            </w:r>
          </w:p>
        </w:tc>
        <w:tc>
          <w:tcPr>
            <w:tcW w:type="dxa" w:w="1250"/>
            <w:tcMar>
              <w:top w:type="dxa" w:w="55"/>
              <w:left w:type="dxa" w:w="85"/>
              <w:bottom w:type="dxa" w:w="55"/>
              <w:right w:type="dxa" w:w="85"/>
            </w:tcMar>
          </w:tcPr>
          <w:p>
            <w:pPr>
              <w:spacing w:after="0"/>
            </w:pPr>
            <w:r>
              <w:rPr>
                <w:b w:val="false"/>
                <w:bCs w:val="false"/>
                <w:color w:val="000000"/>
                <w:sz w:val="15"/>
                <w:szCs w:val="15"/>
              </w:rPr>
              <w:t xml:space="preserve">BM · WDI</w:t>
            </w:r>
          </w:p>
        </w:tc>
        <w:tc>
          <w:tcPr>
            <w:tcW w:type="dxa" w:w="2026"/>
            <w:tcMar>
              <w:top w:type="dxa" w:w="55"/>
              <w:left w:type="dxa" w:w="85"/>
              <w:bottom w:type="dxa" w:w="55"/>
              <w:right w:type="dxa" w:w="85"/>
            </w:tcMar>
          </w:tcPr>
          <w:p>
            <w:pPr>
              <w:spacing w:after="0"/>
            </w:pPr>
            <w:r>
              <w:rPr>
                <w:b w:val="false"/>
                <w:bCs w:val="false"/>
                <w:color w:val="000000"/>
                <w:sz w:val="15"/>
                <w:szCs w:val="15"/>
              </w:rPr>
              <w:t xml:space="preserve">% du RNB</w:t>
            </w:r>
          </w:p>
        </w:tc>
      </w:tr>
    </w:tbl>
    <w:p>
      <w:pPr>
        <w:spacing w:after="190" w:line="276"/>
        <w:jc w:val="both"/>
      </w:pPr>
      <w:r>
        <w:rPr>
          <w:b w:val="false"/>
          <w:bCs w:val="false"/>
          <w:i w:val="false"/>
          <w:iCs w:val="false"/>
          <w:sz w:val="21"/>
          <w:szCs w:val="21"/>
        </w:rPr>
        <w:t xml:space="preserve"/>
      </w:r>
    </w:p>
    <w:p>
      <w:pPr>
        <w:spacing w:after="130" w:line="276"/>
        <w:jc w:val="both"/>
      </w:pPr>
      <w:r>
        <w:rPr>
          <w:b w:val="false"/>
          <w:bCs w:val="false"/>
          <w:i/>
          <w:iCs/>
          <w:sz w:val="18"/>
          <w:szCs w:val="18"/>
        </w:rPr>
        <w:t xml:space="preserve">Frequencies: A annual, T quarterly, M monthly.</w:t>
      </w:r>
    </w:p>
    <w:p>
      <w:pPr>
        <w:pStyle w:val="Heading1"/>
      </w:pPr>
      <w:r>
        <w:t xml:space="preserve">9. Points to watch</w:t>
      </w:r>
    </w:p>
    <w:p>
      <w:pPr>
        <w:pStyle w:val="Heading2"/>
      </w:pPr>
      <w:r>
        <w:t xml:space="preserve">9.1. Country coding</w:t>
      </w:r>
    </w:p>
    <w:p>
      <w:pPr>
        <w:spacing w:after="130" w:line="276"/>
        <w:jc w:val="both"/>
      </w:pPr>
      <w:r>
        <w:rPr>
          <w:b w:val="false"/>
          <w:bCs w:val="false"/>
          <w:i w:val="false"/>
          <w:iCs w:val="false"/>
          <w:sz w:val="21"/>
          <w:szCs w:val="21"/>
        </w:rPr>
        <w:t xml:space="preserve">Providers do not use the same coding. The country table keeps, for each economy, the reference identifier and those specific to each source. Without that mapping, joins would produce incomplete series with no error raised.</w:t>
      </w:r>
    </w:p>
    <w:p>
      <w:pPr>
        <w:pStyle w:val="Heading2"/>
      </w:pPr>
      <w:r>
        <w:t xml:space="preserve">9.2. Revisions</w:t>
      </w:r>
    </w:p>
    <w:p>
      <w:pPr>
        <w:spacing w:after="130" w:line="276"/>
        <w:jc w:val="both"/>
      </w:pPr>
      <w:r>
        <w:rPr>
          <w:b w:val="false"/>
          <w:bCs w:val="false"/>
          <w:i w:val="false"/>
          <w:iCs w:val="false"/>
          <w:sz w:val="21"/>
          <w:szCs w:val="21"/>
        </w:rPr>
        <w:t xml:space="preserve">Macroeconomic data are revised. A 2023 gross domestic product figure collected in January may differ from the same figure collected in June. The platform keeps the latest known value and the collection date, with no vintage history.</w:t>
      </w:r>
    </w:p>
    <w:p>
      <w:pPr>
        <w:pStyle w:val="Heading2"/>
      </w:pPr>
      <w:r>
        <w:t xml:space="preserve">9.3. Economic complexity</w:t>
      </w:r>
    </w:p>
    <w:p>
      <w:pPr>
        <w:spacing w:after="130" w:line="276"/>
        <w:jc w:val="both"/>
      </w:pPr>
      <w:r>
        <w:rPr>
          <w:b w:val="false"/>
          <w:bCs w:val="false"/>
          <w:i w:val="false"/>
          <w:iCs w:val="false"/>
          <w:sz w:val="21"/>
          <w:szCs w:val="21"/>
        </w:rPr>
        <w:t xml:space="preserve">The Economic Complexity Index is not measured but computed across all countries and products. A revision to one large exporter's trade data mechanically shifts every other country's index. Values are therefore not comparable from one Atlas release to the next.</w:t>
      </w:r>
    </w:p>
    <w:p>
      <w:pPr>
        <w:spacing w:after="130" w:line="276"/>
        <w:jc w:val="both"/>
      </w:pPr>
      <w:r>
        <w:rPr>
          <w:b w:val="false"/>
          <w:bCs w:val="false"/>
          <w:i w:val="false"/>
          <w:iCs w:val="false"/>
          <w:sz w:val="21"/>
          <w:szCs w:val="21"/>
        </w:rPr>
        <w:t xml:space="preserve">Furthermore, a year's trade data only reach the Atlas two years later: the latest available year will always lag the rest of the dashboard.</w:t>
      </w:r>
    </w:p>
    <w:p>
      <w:pPr>
        <w:pStyle w:val="Heading2"/>
      </w:pPr>
      <w:r>
        <w:t xml:space="preserve">9.4. Comparing commodity prices</w:t>
      </w:r>
    </w:p>
    <w:p>
      <w:pPr>
        <w:spacing w:after="130" w:line="276"/>
        <w:jc w:val="both"/>
      </w:pPr>
      <w:r>
        <w:rPr>
          <w:b w:val="false"/>
          <w:bCs w:val="false"/>
          <w:i w:val="false"/>
          <w:iCs w:val="false"/>
          <w:sz w:val="21"/>
          <w:szCs w:val="21"/>
        </w:rPr>
        <w:t xml:space="preserve">Commodity price units are read directly from the provider's workbook rather than copied. They may therefore differ from other publications: cocoa is quoted per kilogram in the Pink Sheet and per tonne in some sources. Always check the unit shown on the axis.</w:t>
      </w:r>
    </w:p>
    <w:p>
      <w:pPr>
        <w:pStyle w:val="Heading2"/>
      </w:pPr>
      <w:r>
        <w:t xml:space="preserve">9.5. Fine frequencies</w:t>
      </w:r>
    </w:p>
    <w:p>
      <w:pPr>
        <w:spacing w:after="130" w:line="276"/>
        <w:jc w:val="both"/>
      </w:pPr>
      <w:r>
        <w:rPr>
          <w:b w:val="false"/>
          <w:bCs w:val="false"/>
          <w:i w:val="false"/>
          <w:iCs w:val="false"/>
          <w:sz w:val="21"/>
          <w:szCs w:val="21"/>
        </w:rPr>
        <w:t xml:space="preserve">The schema provides for weekly, daily and intraday steps, but no catalogue source feeds them. This is not a limitation of the tool: a quarterly gross domestic product has no daily value. Those steps only make sense for market data, which come from other providers and are often paid.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OPESc+ : user manual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OPESc+ : User Manual</dc:title>
  <dc:creator>OPESc+</dc:creator>
  <cp:lastModifiedBy>Un-named</cp:lastModifiedBy>
  <cp:revision>1</cp:revision>
  <dcterms:created xsi:type="dcterms:W3CDTF">2026-08-29T08:58:13.130Z</dcterms:created>
  <dcterms:modified xsi:type="dcterms:W3CDTF">2026-08-29T08:58:13.130Z</dcterms:modified>
</cp:coreProperties>
</file>

<file path=docProps/custom.xml><?xml version="1.0" encoding="utf-8"?>
<Properties xmlns="http://schemas.openxmlformats.org/officeDocument/2006/custom-properties" xmlns:vt="http://schemas.openxmlformats.org/officeDocument/2006/docPropsVTypes"/>
</file>