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500"/>
      </w:pPr>
    </w:p>
    <w:p>
      <w:pPr>
        <w:spacing w:after="90"/>
        <w:jc w:val="center"/>
      </w:pPr>
      <w:r>
        <w:rPr>
          <w:b/>
          <w:bCs/>
          <w:color w:val="1F3864"/>
          <w:sz w:val="66"/>
          <w:szCs w:val="66"/>
        </w:rPr>
        <w:t xml:space="preserve">OPESc+</w:t>
      </w:r>
    </w:p>
    <w:p>
      <w:pPr>
        <w:spacing w:after="640"/>
        <w:jc w:val="center"/>
      </w:pPr>
      <w:r>
        <w:rPr>
          <w:color w:val="1F3864"/>
          <w:sz w:val="27"/>
          <w:szCs w:val="27"/>
        </w:rPr>
        <w:t xml:space="preserve">Observatory of Economic Outlook</w:t>
      </w:r>
    </w:p>
    <w:p>
      <w:pPr>
        <w:pBdr>
          <w:top w:val="single" w:color="C8A24A" w:sz="12"/>
          <w:bottom w:val="single" w:color="C8A24A" w:sz="12"/>
        </w:pBdr>
        <w:spacing w:after="200"/>
        <w:jc w:val="center"/>
      </w:pPr>
      <w:r>
        <w:rPr>
          <w:b/>
          <w:bCs/>
          <w:sz w:val="36"/>
          <w:szCs w:val="36"/>
        </w:rPr>
        <w:t xml:space="preserve">OPESc+ User Manual</w:t>
      </w:r>
    </w:p>
    <w:p>
      <w:pPr>
        <w:spacing w:after="1800"/>
        <w:jc w:val="center"/>
      </w:pPr>
      <w:r>
        <w:rPr>
          <w:i/>
          <w:iCs/>
          <w:sz w:val="23"/>
          <w:szCs w:val="23"/>
        </w:rPr>
        <w:t xml:space="preserve">Version 1.0</w:t>
      </w:r>
    </w:p>
    <w:p>
      <w:pPr>
        <w:spacing w:after="60"/>
        <w:jc w:val="center"/>
      </w:pPr>
      <w:r>
        <w:rPr>
          <w:b/>
          <w:bCs/>
          <w:sz w:val="21"/>
          <w:szCs w:val="21"/>
        </w:rPr>
        <w:t xml:space="preserve">Economic Analysis and Policy Division</w:t>
      </w:r>
    </w:p>
    <w:p>
      <w:pPr>
        <w:spacing w:after="60"/>
        <w:jc w:val="center"/>
      </w:pPr>
      <w:r>
        <w:rPr>
          <w:sz w:val="21"/>
          <w:szCs w:val="21"/>
        </w:rPr>
        <w:t xml:space="preserve">MINEPAT</w:t>
      </w:r>
    </w:p>
    <w:p>
      <w:pPr>
        <w:jc w:val="center"/>
      </w:pPr>
      <w:r>
        <w:rPr>
          <w:sz w:val="21"/>
          <w:szCs w:val="21"/>
        </w:rPr>
        <w:t xml:space="preserve">August 2026</w:t>
      </w:r>
    </w:p>
    <w:p>
      <w:r>
        <w:br w:type="page"/>
      </w:r>
    </w:p>
    <w:p>
      <w:pPr>
        <w:pStyle w:val="Heading1"/>
        <w:spacing w:after="220" w:before="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20" w:before="0"/>
      </w:pPr>
      <w:r>
        <w:t xml:space="preserve">List of tables</w:t>
      </w:r>
    </w:p>
    <w:p>
      <w:pPr>
        <w:spacing w:after="70" w:line="288"/>
        <w:jc w:val="left"/>
      </w:pPr>
      <w:r>
        <w:rPr>
          <w:b w:val="false"/>
          <w:bCs w:val="false"/>
          <w:i w:val="false"/>
          <w:iCs w:val="false"/>
          <w:sz w:val="21"/>
          <w:szCs w:val="21"/>
        </w:rPr>
        <w:t xml:space="preserve">Table 1 – Scope of the database</w:t>
      </w:r>
    </w:p>
    <w:p>
      <w:pPr>
        <w:spacing w:after="70" w:line="288"/>
        <w:jc w:val="left"/>
      </w:pPr>
      <w:r>
        <w:rPr>
          <w:b w:val="false"/>
          <w:bCs w:val="false"/>
          <w:i w:val="false"/>
          <w:iCs w:val="false"/>
          <w:sz w:val="21"/>
          <w:szCs w:val="21"/>
        </w:rPr>
        <w:t xml:space="preserve">Table 2 – Providers and databases used</w:t>
      </w:r>
    </w:p>
    <w:p>
      <w:pPr>
        <w:spacing w:after="70" w:line="288"/>
        <w:jc w:val="left"/>
      </w:pPr>
      <w:r>
        <w:rPr>
          <w:b w:val="false"/>
          <w:bCs w:val="false"/>
          <w:i w:val="false"/>
          <w:iCs w:val="false"/>
          <w:sz w:val="21"/>
          <w:szCs w:val="21"/>
        </w:rPr>
        <w:t xml:space="preserve">Table 3 – Purpose of each tab</w:t>
      </w:r>
    </w:p>
    <w:p>
      <w:pPr>
        <w:spacing w:after="70" w:line="288"/>
        <w:jc w:val="left"/>
      </w:pPr>
      <w:r>
        <w:rPr>
          <w:b w:val="false"/>
          <w:bCs w:val="false"/>
          <w:i w:val="false"/>
          <w:iCs w:val="false"/>
          <w:sz w:val="21"/>
          <w:szCs w:val="21"/>
        </w:rPr>
        <w:t xml:space="preserve">Table 4 – Chart types and recommended use</w:t>
      </w:r>
    </w:p>
    <w:p>
      <w:pPr>
        <w:spacing w:after="70" w:line="288"/>
        <w:jc w:val="left"/>
      </w:pPr>
      <w:r>
        <w:rPr>
          <w:b w:val="false"/>
          <w:bCs w:val="false"/>
          <w:i w:val="false"/>
          <w:iCs w:val="false"/>
          <w:sz w:val="21"/>
          <w:szCs w:val="21"/>
        </w:rPr>
        <w:t xml:space="preserve">Table 5 – Projection methods</w:t>
      </w:r>
    </w:p>
    <w:p>
      <w:pPr>
        <w:spacing w:after="70" w:line="288"/>
        <w:jc w:val="left"/>
      </w:pPr>
      <w:r>
        <w:rPr>
          <w:b w:val="false"/>
          <w:bCs w:val="false"/>
          <w:i w:val="false"/>
          <w:iCs w:val="false"/>
          <w:sz w:val="21"/>
          <w:szCs w:val="21"/>
        </w:rPr>
        <w:t xml:space="preserve">Table 6 – The two export layouts</w:t>
      </w:r>
    </w:p>
    <w:p>
      <w:pPr>
        <w:spacing w:after="70" w:line="288"/>
        <w:jc w:val="left"/>
      </w:pPr>
      <w:r>
        <w:rPr>
          <w:b w:val="false"/>
          <w:bCs w:val="false"/>
          <w:i w:val="false"/>
          <w:iCs w:val="false"/>
          <w:sz w:val="21"/>
          <w:szCs w:val="21"/>
        </w:rPr>
        <w:t xml:space="preserve">Table 7 – Publication rhythm of the sources</w:t>
      </w:r>
    </w:p>
    <w:p>
      <w:pPr>
        <w:spacing w:after="70" w:line="288"/>
        <w:jc w:val="left"/>
      </w:pPr>
      <w:r>
        <w:rPr>
          <w:b w:val="false"/>
          <w:bCs w:val="false"/>
          <w:i w:val="false"/>
          <w:iCs w:val="false"/>
          <w:sz w:val="21"/>
          <w:szCs w:val="21"/>
        </w:rPr>
        <w:t xml:space="preserve">Table 8 – Commodities</w:t>
      </w:r>
    </w:p>
    <w:p>
      <w:pPr>
        <w:spacing w:after="70" w:line="288"/>
        <w:jc w:val="left"/>
      </w:pPr>
      <w:r>
        <w:rPr>
          <w:b w:val="false"/>
          <w:bCs w:val="false"/>
          <w:i w:val="false"/>
          <w:iCs w:val="false"/>
          <w:sz w:val="21"/>
          <w:szCs w:val="21"/>
        </w:rPr>
        <w:t xml:space="preserve">Table 9 – Real sector</w:t>
      </w:r>
    </w:p>
    <w:p>
      <w:pPr>
        <w:spacing w:after="70" w:line="288"/>
        <w:jc w:val="left"/>
      </w:pPr>
      <w:r>
        <w:rPr>
          <w:b w:val="false"/>
          <w:bCs w:val="false"/>
          <w:i w:val="false"/>
          <w:iCs w:val="false"/>
          <w:sz w:val="21"/>
          <w:szCs w:val="21"/>
        </w:rPr>
        <w:t xml:space="preserve">Table 10 – Public finance</w:t>
      </w:r>
    </w:p>
    <w:p>
      <w:pPr>
        <w:spacing w:after="70" w:line="288"/>
        <w:jc w:val="left"/>
      </w:pPr>
      <w:r>
        <w:rPr>
          <w:b w:val="false"/>
          <w:bCs w:val="false"/>
          <w:i w:val="false"/>
          <w:iCs w:val="false"/>
          <w:sz w:val="21"/>
          <w:szCs w:val="21"/>
        </w:rPr>
        <w:t xml:space="preserve">Table 11 – Monetary sector</w:t>
      </w:r>
    </w:p>
    <w:p>
      <w:pPr>
        <w:spacing w:after="70" w:line="288"/>
        <w:jc w:val="left"/>
      </w:pPr>
      <w:r>
        <w:rPr>
          <w:b w:val="false"/>
          <w:bCs w:val="false"/>
          <w:i w:val="false"/>
          <w:iCs w:val="false"/>
          <w:sz w:val="21"/>
          <w:szCs w:val="21"/>
        </w:rPr>
        <w:t xml:space="preserve">Table 12 – External sector</w:t>
      </w:r>
    </w:p>
    <w:p>
      <w:pPr>
        <w:spacing w:after="70" w:line="288"/>
        <w:jc w:val="left"/>
      </w:pPr>
      <w:r>
        <w:rPr>
          <w:b w:val="false"/>
          <w:bCs w:val="false"/>
          <w:i w:val="false"/>
          <w:iCs w:val="false"/>
          <w:sz w:val="21"/>
          <w:szCs w:val="21"/>
        </w:rPr>
        <w:t xml:space="preserve">Table 13 – Exchange rates</w:t>
      </w:r>
    </w:p>
    <w:p>
      <w:pPr>
        <w:spacing w:after="70" w:line="288"/>
        <w:jc w:val="left"/>
      </w:pPr>
      <w:r>
        <w:rPr>
          <w:b w:val="false"/>
          <w:bCs w:val="false"/>
          <w:i w:val="false"/>
          <w:iCs w:val="false"/>
          <w:sz w:val="21"/>
          <w:szCs w:val="21"/>
        </w:rPr>
        <w:t xml:space="preserve">Table 14 – Interest rates</w:t>
      </w:r>
    </w:p>
    <w:p>
      <w:pPr>
        <w:spacing w:after="70" w:line="288"/>
        <w:jc w:val="left"/>
      </w:pPr>
      <w:r>
        <w:rPr>
          <w:b w:val="false"/>
          <w:bCs w:val="false"/>
          <w:i w:val="false"/>
          <w:iCs w:val="false"/>
          <w:sz w:val="21"/>
          <w:szCs w:val="21"/>
        </w:rPr>
        <w:t xml:space="preserve">Table 15 – Prices and inflation</w:t>
      </w:r>
    </w:p>
    <w:p>
      <w:pPr>
        <w:spacing w:after="70" w:line="288"/>
        <w:jc w:val="left"/>
      </w:pPr>
      <w:r>
        <w:rPr>
          <w:b w:val="false"/>
          <w:bCs w:val="false"/>
          <w:i w:val="false"/>
          <w:iCs w:val="false"/>
          <w:sz w:val="21"/>
          <w:szCs w:val="21"/>
        </w:rPr>
        <w:t xml:space="preserve">Table 16 – Public and external debt</w:t>
      </w:r>
    </w:p>
    <w:p>
      <w:pPr>
        <w:spacing w:after="70" w:line="288"/>
        <w:jc w:val="left"/>
      </w:pPr>
      <w:r>
        <w:rPr>
          <w:b w:val="false"/>
          <w:bCs w:val="false"/>
          <w:i w:val="false"/>
          <w:iCs w:val="false"/>
          <w:sz w:val="21"/>
          <w:szCs w:val="21"/>
        </w:rPr>
        <w:t xml:space="preserve">Table 17 – Labour market</w:t>
      </w:r>
    </w:p>
    <w:p>
      <w:pPr>
        <w:spacing w:after="70" w:line="288"/>
        <w:jc w:val="left"/>
      </w:pPr>
      <w:r>
        <w:rPr>
          <w:b w:val="false"/>
          <w:bCs w:val="false"/>
          <w:i w:val="false"/>
          <w:iCs w:val="false"/>
          <w:sz w:val="21"/>
          <w:szCs w:val="21"/>
        </w:rPr>
        <w:t xml:space="preserve">Table 18 – Demography and living conditions</w:t>
      </w:r>
    </w:p>
    <w:p>
      <w:pPr>
        <w:spacing w:after="70" w:line="288"/>
        <w:jc w:val="left"/>
      </w:pPr>
      <w:r>
        <w:rPr>
          <w:b w:val="false"/>
          <w:bCs w:val="false"/>
          <w:i w:val="false"/>
          <w:iCs w:val="false"/>
          <w:sz w:val="21"/>
          <w:szCs w:val="21"/>
        </w:rPr>
        <w:t xml:space="preserve">Table 19 – Economic complexity and productive structure</w:t>
      </w:r>
    </w:p>
    <w:p>
      <w:pPr>
        <w:spacing w:after="70" w:line="288"/>
        <w:jc w:val="left"/>
      </w:pPr>
      <w:r>
        <w:rPr>
          <w:b w:val="false"/>
          <w:bCs w:val="false"/>
          <w:i w:val="false"/>
          <w:iCs w:val="false"/>
          <w:sz w:val="21"/>
          <w:szCs w:val="21"/>
        </w:rPr>
        <w:t xml:space="preserve">Table 20 – Governance and business environment</w:t>
      </w:r>
    </w:p>
    <w:p>
      <w:pPr>
        <w:spacing w:after="70" w:line="288"/>
        <w:jc w:val="left"/>
      </w:pPr>
      <w:r>
        <w:rPr>
          <w:b w:val="false"/>
          <w:bCs w:val="false"/>
          <w:i w:val="false"/>
          <w:iCs w:val="false"/>
          <w:sz w:val="21"/>
          <w:szCs w:val="21"/>
        </w:rPr>
        <w:t xml:space="preserve">Table 21 – Energy, environment and agriculture</w:t>
      </w:r>
    </w:p>
    <w:p>
      <w:pPr>
        <w:spacing w:after="70" w:line="288"/>
        <w:jc w:val="left"/>
      </w:pPr>
      <w:r>
        <w:rPr>
          <w:b w:val="false"/>
          <w:bCs w:val="false"/>
          <w:i w:val="false"/>
          <w:iCs w:val="false"/>
          <w:sz w:val="21"/>
          <w:szCs w:val="21"/>
        </w:rPr>
        <w:t xml:space="preserve">Table 22 – Recognised frequencies</w:t>
      </w:r>
    </w:p>
    <w:p>
      <w:pPr>
        <w:spacing w:after="70" w:line="288"/>
        <w:jc w:val="left"/>
      </w:pPr>
      <w:r>
        <w:rPr>
          <w:b w:val="false"/>
          <w:bCs w:val="false"/>
          <w:i w:val="false"/>
          <w:iCs w:val="false"/>
          <w:sz w:val="21"/>
          <w:szCs w:val="21"/>
        </w:rPr>
        <w:t xml:space="preserve">Table 23 – Terms used in this manual</w:t>
      </w:r>
    </w:p>
    <w:p>
      <w:r>
        <w:br w:type="page"/>
      </w:r>
    </w:p>
    <w:p>
      <w:pPr>
        <w:pStyle w:val="Heading1"/>
        <w:spacing w:after="220" w:before="0"/>
      </w:pPr>
      <w:r>
        <w:t xml:space="preserve">Executive summary</w:t>
      </w:r>
    </w:p>
    <w:p>
      <w:pPr>
        <w:spacing w:after="140" w:line="288"/>
        <w:jc w:val="both"/>
      </w:pPr>
      <w:r>
        <w:rPr>
          <w:b w:val="false"/>
          <w:bCs w:val="false"/>
          <w:i w:val="false"/>
          <w:iCs w:val="false"/>
          <w:sz w:val="21"/>
          <w:szCs w:val="21"/>
        </w:rPr>
        <w:t xml:space="preserve">OPESc+ is an observatory of world economic indicators. It collects, harmonises and makes available the series published by the major international statistical institutions, so that analysis carried out within the ministry rests on a common, traceable and up-to-date base.</w:t>
      </w:r>
    </w:p>
    <w:p>
      <w:pPr>
        <w:spacing w:after="140" w:line="288"/>
        <w:jc w:val="both"/>
      </w:pPr>
      <w:r>
        <w:rPr>
          <w:b w:val="false"/>
          <w:bCs w:val="false"/>
          <w:i w:val="false"/>
          <w:iCs w:val="false"/>
          <w:sz w:val="21"/>
          <w:szCs w:val="21"/>
        </w:rPr>
        <w:t xml:space="preserve">The tool rests on five principles.</w:t>
      </w:r>
    </w:p>
    <w:p>
      <w:pPr>
        <w:pStyle w:val="ListParagraph"/>
        <w:numPr>
          <w:ilvl w:val="0"/>
          <w:numId w:val="2"/>
        </w:numPr>
        <w:spacing w:after="90" w:line="288"/>
        <w:jc w:val="both"/>
      </w:pPr>
      <w:r>
        <w:rPr>
          <w:sz w:val="21"/>
          <w:szCs w:val="21"/>
        </w:rPr>
        <w:t xml:space="preserve">No locally produced data. The platform computes and estimates nothing. It passes on what the World Bank, the International Monetary Fund and Harvard University's Growth Lab publish, unaltered.</w:t>
      </w:r>
    </w:p>
    <w:p>
      <w:pPr>
        <w:pStyle w:val="ListParagraph"/>
        <w:numPr>
          <w:ilvl w:val="0"/>
          <w:numId w:val="2"/>
        </w:numPr>
        <w:spacing w:after="90" w:line="288"/>
        <w:jc w:val="both"/>
      </w:pPr>
      <w:r>
        <w:rPr>
          <w:sz w:val="21"/>
          <w:szCs w:val="21"/>
        </w:rPr>
        <w:t xml:space="preserve">Never offer a filter that leads nowhere. The frequencies offered, the countries listed and the period bounds are those that actually exist in the database for the chosen indicator.</w:t>
      </w:r>
    </w:p>
    <w:p>
      <w:pPr>
        <w:pStyle w:val="ListParagraph"/>
        <w:numPr>
          <w:ilvl w:val="0"/>
          <w:numId w:val="2"/>
        </w:numPr>
        <w:spacing w:after="90" w:line="288"/>
        <w:jc w:val="both"/>
      </w:pPr>
      <w:r>
        <w:rPr>
          <w:sz w:val="21"/>
          <w:szCs w:val="21"/>
        </w:rPr>
        <w:t xml:space="preserve">A missing value is information. It is never stored as zero, never interpolated, and a series with gaps is drawn as a dashed line.</w:t>
      </w:r>
    </w:p>
    <w:p>
      <w:pPr>
        <w:pStyle w:val="ListParagraph"/>
        <w:numPr>
          <w:ilvl w:val="0"/>
          <w:numId w:val="2"/>
        </w:numPr>
        <w:spacing w:after="90" w:line="288"/>
        <w:jc w:val="both"/>
      </w:pPr>
      <w:r>
        <w:rPr>
          <w:sz w:val="21"/>
          <w:szCs w:val="21"/>
        </w:rPr>
        <w:t xml:space="preserve">Traceable collection. Every run is logged, and every export carries its sources and retrieval date.</w:t>
      </w:r>
    </w:p>
    <w:p>
      <w:pPr>
        <w:pStyle w:val="ListParagraph"/>
        <w:numPr>
          <w:ilvl w:val="0"/>
          <w:numId w:val="2"/>
        </w:numPr>
        <w:spacing w:after="90" w:line="288"/>
        <w:jc w:val="both"/>
      </w:pPr>
      <w:r>
        <w:rPr>
          <w:sz w:val="21"/>
          <w:szCs w:val="21"/>
        </w:rPr>
        <w:t xml:space="preserve">Data and interpretation kept apart. The projections offered are mechanical extensions, explicitly presented as such.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left w:val="single" w:color="C8A24A" w:sz="18"/>
              <w:bottom w:val="none"/>
              <w:right w:val="none"/>
            </w:tcBorders>
            <w:shd w:fill="EEF2F8" w:color="auto" w:val="clear"/>
            <w:tcMar>
              <w:top w:type="dxa" w:w="60"/>
              <w:left w:type="dxa" w:w="90"/>
              <w:bottom w:type="dxa" w:w="60"/>
              <w:right w:type="dxa" w:w="90"/>
            </w:tcMar>
          </w:tcPr>
          <w:p>
            <w:pPr>
              <w:spacing w:after="70" w:line="276"/>
              <w:jc w:val="left"/>
            </w:pPr>
            <w:r>
              <w:rPr>
                <w:b/>
                <w:bCs/>
                <w:color w:val="1F3864"/>
                <w:sz w:val="19"/>
                <w:szCs w:val="19"/>
              </w:rPr>
              <w:t xml:space="preserve">What OPESc+ is, and what it is not</w:t>
            </w:r>
          </w:p>
          <w:p>
            <w:pPr>
              <w:spacing w:after="0" w:line="276"/>
              <w:jc w:val="both"/>
            </w:pPr>
            <w:r>
              <w:rPr>
                <w:b w:val="false"/>
                <w:bCs w:val="false"/>
                <w:color w:val="000000"/>
                <w:sz w:val="19"/>
                <w:szCs w:val="19"/>
              </w:rPr>
              <w:t xml:space="preserve">OPESc+ is a tool for consulting, comparing and reporting. It is not a macroeconomic model: it simulates no shock, computes no scenario and produces no institutional forecast. The three projection methods it offers are statistical extensions of the observed series, with no policy assumption. For shock simulation and reference projections, the tool is OPESc, which OPESc+ complements.</w:t>
            </w:r>
          </w:p>
        </w:tc>
      </w:tr>
    </w:tbl>
    <w:p>
      <w:pPr>
        <w:spacing w:after="200" w:line="288"/>
        <w:jc w:val="both"/>
      </w:pPr>
      <w:r>
        <w:rPr>
          <w:b w:val="false"/>
          <w:bCs w:val="false"/>
          <w:i w:val="false"/>
          <w:iCs w:val="false"/>
          <w:sz w:val="21"/>
          <w:szCs w:val="21"/>
        </w:rPr>
        <w:t xml:space="preserve"/>
      </w:r>
    </w:p>
    <w:p>
      <w:r>
        <w:br w:type="page"/>
      </w:r>
    </w:p>
    <w:p>
      <w:pPr>
        <w:spacing w:after="60" w:before="0"/>
      </w:pPr>
      <w:r>
        <w:rPr>
          <w:b/>
          <w:bCs/>
          <w:color w:val="C8A24A"/>
          <w:sz w:val="20"/>
          <w:szCs w:val="20"/>
        </w:rPr>
        <w:t xml:space="preserve">Chapter 1</w:t>
      </w:r>
    </w:p>
    <w:p>
      <w:pPr>
        <w:pStyle w:val="Heading1"/>
        <w:spacing w:after="220" w:before="0"/>
      </w:pPr>
      <w:r>
        <w:t xml:space="preserve">General presentation</w:t>
      </w:r>
    </w:p>
    <w:p>
      <w:pPr>
        <w:pStyle w:val="Heading2"/>
      </w:pPr>
      <w:r>
        <w:t xml:space="preserve">Purpose</w:t>
      </w:r>
    </w:p>
    <w:p>
      <w:pPr>
        <w:spacing w:after="140" w:line="288"/>
        <w:jc w:val="both"/>
      </w:pPr>
      <w:r>
        <w:rPr>
          <w:b w:val="false"/>
          <w:bCs w:val="false"/>
          <w:i w:val="false"/>
          <w:iCs w:val="false"/>
          <w:sz w:val="21"/>
          <w:szCs w:val="21"/>
        </w:rPr>
        <w:t xml:space="preserve">OPESc+ is used to:</w:t>
      </w:r>
    </w:p>
    <w:p>
      <w:pPr>
        <w:pStyle w:val="ListParagraph"/>
        <w:numPr>
          <w:ilvl w:val="0"/>
          <w:numId w:val="3"/>
        </w:numPr>
        <w:spacing w:after="90" w:line="288"/>
        <w:jc w:val="both"/>
      </w:pPr>
      <w:r>
        <w:rPr>
          <w:sz w:val="21"/>
          <w:szCs w:val="21"/>
        </w:rPr>
        <w:t xml:space="preserve">consult economic series for every economy in the world;</w:t>
      </w:r>
    </w:p>
    <w:p>
      <w:pPr>
        <w:pStyle w:val="ListParagraph"/>
        <w:numPr>
          <w:ilvl w:val="0"/>
          <w:numId w:val="3"/>
        </w:numPr>
        <w:spacing w:after="90" w:line="288"/>
        <w:jc w:val="both"/>
      </w:pPr>
      <w:r>
        <w:rPr>
          <w:sz w:val="21"/>
          <w:szCs w:val="21"/>
        </w:rPr>
        <w:t xml:space="preserve">compare several countries or several indicators on one chart;</w:t>
      </w:r>
    </w:p>
    <w:p>
      <w:pPr>
        <w:pStyle w:val="ListParagraph"/>
        <w:numPr>
          <w:ilvl w:val="0"/>
          <w:numId w:val="3"/>
        </w:numPr>
        <w:spacing w:after="90" w:line="288"/>
        <w:jc w:val="both"/>
      </w:pPr>
      <w:r>
        <w:rPr>
          <w:sz w:val="21"/>
          <w:szCs w:val="21"/>
        </w:rPr>
        <w:t xml:space="preserve">read a geographic distribution on a world map;</w:t>
      </w:r>
    </w:p>
    <w:p>
      <w:pPr>
        <w:pStyle w:val="ListParagraph"/>
        <w:numPr>
          <w:ilvl w:val="0"/>
          <w:numId w:val="3"/>
        </w:numPr>
        <w:spacing w:after="90" w:line="288"/>
        <w:jc w:val="both"/>
      </w:pPr>
      <w:r>
        <w:rPr>
          <w:sz w:val="21"/>
          <w:szCs w:val="21"/>
        </w:rPr>
        <w:t xml:space="preserve">extend a series using three documented statistical methods;</w:t>
      </w:r>
    </w:p>
    <w:p>
      <w:pPr>
        <w:pStyle w:val="ListParagraph"/>
        <w:numPr>
          <w:ilvl w:val="0"/>
          <w:numId w:val="3"/>
        </w:numPr>
        <w:spacing w:after="90" w:line="288"/>
        <w:jc w:val="both"/>
      </w:pPr>
      <w:r>
        <w:rPr>
          <w:sz w:val="21"/>
          <w:szCs w:val="21"/>
        </w:rPr>
        <w:t xml:space="preserve">export charts, maps and data for use in a note;</w:t>
      </w:r>
    </w:p>
    <w:p>
      <w:pPr>
        <w:pStyle w:val="ListParagraph"/>
        <w:numPr>
          <w:ilvl w:val="0"/>
          <w:numId w:val="3"/>
        </w:numPr>
        <w:spacing w:after="90" w:line="288"/>
        <w:jc w:val="both"/>
      </w:pPr>
      <w:r>
        <w:rPr>
          <w:sz w:val="21"/>
          <w:szCs w:val="21"/>
        </w:rPr>
        <w:t xml:space="preserve">maintain a base updated automatically from the providers.</w:t>
      </w:r>
    </w:p>
    <w:p>
      <w:pPr>
        <w:pStyle w:val="Heading2"/>
      </w:pPr>
      <w:r>
        <w:t xml:space="preserve">Functional architecture</w:t>
      </w:r>
    </w:p>
    <w:p>
      <w:pPr>
        <w:spacing w:after="140" w:line="288"/>
        <w:jc w:val="both"/>
      </w:pPr>
      <w:r>
        <w:rPr>
          <w:b w:val="false"/>
          <w:bCs w:val="false"/>
          <w:i w:val="false"/>
          <w:iCs w:val="false"/>
          <w:sz w:val="21"/>
          <w:szCs w:val="21"/>
        </w:rPr>
        <w:t xml:space="preserve">The chain has four stages. Connectors query the providers' public interfaces. The collection engine harmonises country codes, periods and units, then writes to a single database. The interface reads that database and never writes to it. Exports produce standalone files carrying their sources.</w:t>
      </w:r>
    </w:p>
    <w:p>
      <w:pPr>
        <w:spacing w:after="140" w:line="288"/>
        <w:jc w:val="both"/>
      </w:pPr>
      <w:r>
        <w:rPr>
          <w:b w:val="false"/>
          <w:bCs w:val="false"/>
          <w:i w:val="false"/>
          <w:iCs w:val="false"/>
          <w:sz w:val="21"/>
          <w:szCs w:val="21"/>
        </w:rPr>
        <w:t xml:space="preserve">This separation has a practical consequence: consulting the platform can never alter the data, and a collection in progress does not prevent consultation.</w:t>
      </w:r>
    </w:p>
    <w:p>
      <w:pPr>
        <w:pStyle w:val="Heading2"/>
      </w:pPr>
      <w:r>
        <w:t xml:space="preserve">Scope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6070"/>
      </w:tblGrid>
      <w:tr>
        <w:trPr>
          <w:tblHeader/>
        </w:trPr>
        <w:tc>
          <w:tcPr>
            <w:tcW w:type="dxa" w:w="3000"/>
            <w:shd w:fill="1F3864" w:color="auto" w:val="clear"/>
            <w:tcMar>
              <w:top w:type="dxa" w:w="60"/>
              <w:left w:type="dxa" w:w="90"/>
              <w:bottom w:type="dxa" w:w="60"/>
              <w:right w:type="dxa" w:w="90"/>
            </w:tcMar>
          </w:tcPr>
          <w:p>
            <w:pPr>
              <w:spacing w:after="0" w:line="240"/>
              <w:jc w:val="left"/>
            </w:pPr>
            <w:r>
              <w:rPr>
                <w:b/>
                <w:bCs/>
                <w:color w:val="FFFFFF"/>
                <w:sz w:val="18"/>
                <w:szCs w:val="18"/>
              </w:rPr>
              <w:t xml:space="preserve">Dimension</w:t>
            </w:r>
          </w:p>
        </w:tc>
        <w:tc>
          <w:tcPr>
            <w:tcW w:type="dxa" w:w="6070"/>
            <w:shd w:fill="1F3864" w:color="auto" w:val="clear"/>
            <w:tcMar>
              <w:top w:type="dxa" w:w="60"/>
              <w:left w:type="dxa" w:w="90"/>
              <w:bottom w:type="dxa" w:w="60"/>
              <w:right w:type="dxa" w:w="90"/>
            </w:tcMar>
          </w:tcPr>
          <w:p>
            <w:pPr>
              <w:spacing w:after="0" w:line="240"/>
              <w:jc w:val="left"/>
            </w:pPr>
            <w:r>
              <w:rPr>
                <w:b/>
                <w:bCs/>
                <w:color w:val="FFFFFF"/>
                <w:sz w:val="18"/>
                <w:szCs w:val="18"/>
              </w:rPr>
              <w:t xml:space="preserve">Value</w:t>
            </w:r>
          </w:p>
        </w:tc>
      </w:tr>
      <w:tr>
        <w:tc>
          <w:tcPr>
            <w:tcW w:type="dxa" w:w="3000"/>
            <w:tcMar>
              <w:top w:type="dxa" w:w="60"/>
              <w:left w:type="dxa" w:w="90"/>
              <w:bottom w:type="dxa" w:w="60"/>
              <w:right w:type="dxa" w:w="90"/>
            </w:tcMar>
          </w:tcPr>
          <w:p>
            <w:pPr>
              <w:spacing w:after="0" w:line="240"/>
              <w:jc w:val="left"/>
            </w:pPr>
            <w:r>
              <w:rPr>
                <w:color w:val="000000"/>
                <w:sz w:val="18"/>
                <w:szCs w:val="18"/>
              </w:rPr>
              <w:t xml:space="preserve">Active indicators</w:t>
            </w:r>
          </w:p>
        </w:tc>
        <w:tc>
          <w:tcPr>
            <w:tcW w:type="dxa" w:w="6070"/>
            <w:tcMar>
              <w:top w:type="dxa" w:w="60"/>
              <w:left w:type="dxa" w:w="90"/>
              <w:bottom w:type="dxa" w:w="60"/>
              <w:right w:type="dxa" w:w="90"/>
            </w:tcMar>
          </w:tcPr>
          <w:p>
            <w:pPr>
              <w:spacing w:after="0" w:line="240"/>
              <w:jc w:val="left"/>
            </w:pPr>
            <w:r>
              <w:rPr>
                <w:color w:val="000000"/>
                <w:sz w:val="18"/>
                <w:szCs w:val="18"/>
              </w:rPr>
              <w:t xml:space="preserve">233</w:t>
            </w:r>
          </w:p>
        </w:tc>
      </w:tr>
      <w:tr>
        <w:tc>
          <w:tcPr>
            <w:tcW w:type="dxa" w:w="3000"/>
            <w:shd w:fill="F4F6F9" w:color="auto" w:val="clear"/>
            <w:tcMar>
              <w:top w:type="dxa" w:w="60"/>
              <w:left w:type="dxa" w:w="90"/>
              <w:bottom w:type="dxa" w:w="60"/>
              <w:right w:type="dxa" w:w="90"/>
            </w:tcMar>
          </w:tcPr>
          <w:p>
            <w:pPr>
              <w:spacing w:after="0" w:line="240"/>
              <w:jc w:val="left"/>
            </w:pPr>
            <w:r>
              <w:rPr>
                <w:color w:val="000000"/>
                <w:sz w:val="18"/>
                <w:szCs w:val="18"/>
              </w:rPr>
              <w:t xml:space="preserve">Categories</w:t>
            </w:r>
          </w:p>
        </w:tc>
        <w:tc>
          <w:tcPr>
            <w:tcW w:type="dxa" w:w="6070"/>
            <w:shd w:fill="F4F6F9" w:color="auto" w:val="clear"/>
            <w:tcMar>
              <w:top w:type="dxa" w:w="60"/>
              <w:left w:type="dxa" w:w="90"/>
              <w:bottom w:type="dxa" w:w="60"/>
              <w:right w:type="dxa" w:w="90"/>
            </w:tcMar>
          </w:tcPr>
          <w:p>
            <w:pPr>
              <w:spacing w:after="0" w:line="240"/>
              <w:jc w:val="left"/>
            </w:pPr>
            <w:r>
              <w:rPr>
                <w:color w:val="000000"/>
                <w:sz w:val="18"/>
                <w:szCs w:val="18"/>
              </w:rPr>
              <w:t xml:space="preserve">14</w:t>
            </w:r>
          </w:p>
        </w:tc>
      </w:tr>
      <w:tr>
        <w:tc>
          <w:tcPr>
            <w:tcW w:type="dxa" w:w="3000"/>
            <w:tcMar>
              <w:top w:type="dxa" w:w="60"/>
              <w:left w:type="dxa" w:w="90"/>
              <w:bottom w:type="dxa" w:w="60"/>
              <w:right w:type="dxa" w:w="90"/>
            </w:tcMar>
          </w:tcPr>
          <w:p>
            <w:pPr>
              <w:spacing w:after="0" w:line="240"/>
              <w:jc w:val="left"/>
            </w:pPr>
            <w:r>
              <w:rPr>
                <w:color w:val="000000"/>
                <w:sz w:val="18"/>
                <w:szCs w:val="18"/>
              </w:rPr>
              <w:t xml:space="preserve">Economies covered</w:t>
            </w:r>
          </w:p>
        </w:tc>
        <w:tc>
          <w:tcPr>
            <w:tcW w:type="dxa" w:w="6070"/>
            <w:tcMar>
              <w:top w:type="dxa" w:w="60"/>
              <w:left w:type="dxa" w:w="90"/>
              <w:bottom w:type="dxa" w:w="60"/>
              <w:right w:type="dxa" w:w="90"/>
            </w:tcMar>
          </w:tcPr>
          <w:p>
            <w:pPr>
              <w:spacing w:after="0" w:line="240"/>
              <w:jc w:val="left"/>
            </w:pPr>
            <w:r>
              <w:rPr>
                <w:color w:val="000000"/>
                <w:sz w:val="18"/>
                <w:szCs w:val="18"/>
              </w:rPr>
              <w:t xml:space="preserve">about 217</w:t>
            </w:r>
          </w:p>
        </w:tc>
      </w:tr>
      <w:tr>
        <w:tc>
          <w:tcPr>
            <w:tcW w:type="dxa" w:w="3000"/>
            <w:shd w:fill="F4F6F9" w:color="auto" w:val="clear"/>
            <w:tcMar>
              <w:top w:type="dxa" w:w="60"/>
              <w:left w:type="dxa" w:w="90"/>
              <w:bottom w:type="dxa" w:w="60"/>
              <w:right w:type="dxa" w:w="90"/>
            </w:tcMar>
          </w:tcPr>
          <w:p>
            <w:pPr>
              <w:spacing w:after="0" w:line="240"/>
              <w:jc w:val="left"/>
            </w:pPr>
            <w:r>
              <w:rPr>
                <w:color w:val="000000"/>
                <w:sz w:val="18"/>
                <w:szCs w:val="18"/>
              </w:rPr>
              <w:t xml:space="preserve">Regional aggregates and income groups</w:t>
            </w:r>
          </w:p>
        </w:tc>
        <w:tc>
          <w:tcPr>
            <w:tcW w:type="dxa" w:w="6070"/>
            <w:shd w:fill="F4F6F9" w:color="auto" w:val="clear"/>
            <w:tcMar>
              <w:top w:type="dxa" w:w="60"/>
              <w:left w:type="dxa" w:w="90"/>
              <w:bottom w:type="dxa" w:w="60"/>
              <w:right w:type="dxa" w:w="90"/>
            </w:tcMar>
          </w:tcPr>
          <w:p>
            <w:pPr>
              <w:spacing w:after="0" w:line="240"/>
              <w:jc w:val="left"/>
            </w:pPr>
            <w:r>
              <w:rPr>
                <w:color w:val="000000"/>
                <w:sz w:val="18"/>
                <w:szCs w:val="18"/>
              </w:rPr>
              <w:t xml:space="preserve">about 40</w:t>
            </w:r>
          </w:p>
        </w:tc>
      </w:tr>
      <w:tr>
        <w:tc>
          <w:tcPr>
            <w:tcW w:type="dxa" w:w="3000"/>
            <w:tcMar>
              <w:top w:type="dxa" w:w="60"/>
              <w:left w:type="dxa" w:w="90"/>
              <w:bottom w:type="dxa" w:w="60"/>
              <w:right w:type="dxa" w:w="90"/>
            </w:tcMar>
          </w:tcPr>
          <w:p>
            <w:pPr>
              <w:spacing w:after="0" w:line="240"/>
              <w:jc w:val="left"/>
            </w:pPr>
            <w:r>
              <w:rPr>
                <w:color w:val="000000"/>
                <w:sz w:val="18"/>
                <w:szCs w:val="18"/>
              </w:rPr>
              <w:t xml:space="preserve">Time coverage</w:t>
            </w:r>
          </w:p>
        </w:tc>
        <w:tc>
          <w:tcPr>
            <w:tcW w:type="dxa" w:w="6070"/>
            <w:tcMar>
              <w:top w:type="dxa" w:w="60"/>
              <w:left w:type="dxa" w:w="90"/>
              <w:bottom w:type="dxa" w:w="60"/>
              <w:right w:type="dxa" w:w="90"/>
            </w:tcMar>
          </w:tcPr>
          <w:p>
            <w:pPr>
              <w:spacing w:after="0" w:line="240"/>
              <w:jc w:val="left"/>
            </w:pPr>
            <w:r>
              <w:rPr>
                <w:color w:val="000000"/>
                <w:sz w:val="18"/>
                <w:szCs w:val="18"/>
              </w:rPr>
              <w:t xml:space="preserve">1960 to the current year</w:t>
            </w:r>
          </w:p>
        </w:tc>
      </w:tr>
      <w:tr>
        <w:tc>
          <w:tcPr>
            <w:tcW w:type="dxa" w:w="3000"/>
            <w:shd w:fill="F4F6F9" w:color="auto" w:val="clear"/>
            <w:tcMar>
              <w:top w:type="dxa" w:w="60"/>
              <w:left w:type="dxa" w:w="90"/>
              <w:bottom w:type="dxa" w:w="60"/>
              <w:right w:type="dxa" w:w="90"/>
            </w:tcMar>
          </w:tcPr>
          <w:p>
            <w:pPr>
              <w:spacing w:after="0" w:line="240"/>
              <w:jc w:val="left"/>
            </w:pPr>
            <w:r>
              <w:rPr>
                <w:color w:val="000000"/>
                <w:sz w:val="18"/>
                <w:szCs w:val="18"/>
              </w:rPr>
              <w:t xml:space="preserve">Connected providers</w:t>
            </w:r>
          </w:p>
        </w:tc>
        <w:tc>
          <w:tcPr>
            <w:tcW w:type="dxa" w:w="6070"/>
            <w:shd w:fill="F4F6F9" w:color="auto" w:val="clear"/>
            <w:tcMar>
              <w:top w:type="dxa" w:w="60"/>
              <w:left w:type="dxa" w:w="90"/>
              <w:bottom w:type="dxa" w:w="60"/>
              <w:right w:type="dxa" w:w="90"/>
            </w:tcMar>
          </w:tcPr>
          <w:p>
            <w:pPr>
              <w:spacing w:after="0" w:line="240"/>
              <w:jc w:val="left"/>
            </w:pPr>
            <w:r>
              <w:rPr>
                <w:color w:val="000000"/>
                <w:sz w:val="18"/>
                <w:szCs w:val="18"/>
              </w:rPr>
              <w:t xml:space="preserve">4</w:t>
            </w:r>
          </w:p>
        </w:tc>
      </w:tr>
    </w:tbl>
    <w:p>
      <w:pPr>
        <w:spacing w:after="220" w:before="90"/>
        <w:jc w:val="center"/>
      </w:pPr>
      <w:r>
        <w:rPr>
          <w:i/>
          <w:iCs/>
          <w:color w:val="5C6672"/>
          <w:sz w:val="17"/>
          <w:szCs w:val="17"/>
        </w:rPr>
        <w:t xml:space="preserve">Table 1 – Scope of the database</w:t>
      </w:r>
    </w:p>
    <w:p>
      <w:pPr>
        <w:spacing w:after="140" w:line="288"/>
        <w:jc w:val="both"/>
      </w:pPr>
      <w:r>
        <w:rPr>
          <w:b w:val="false"/>
          <w:bCs w:val="false"/>
          <w:i w:val="false"/>
          <w:iCs w:val="false"/>
          <w:sz w:val="21"/>
          <w:szCs w:val="21"/>
        </w:rPr>
        <w:t xml:space="preserve">Further indicators appear in the catalogue without being active: their provider has no connector yet. They are deactivated at load time rather than left visible and silent in the interface.</w:t>
      </w:r>
    </w:p>
    <w:p>
      <w:pPr>
        <w:pStyle w:val="Heading2"/>
      </w:pPr>
      <w:r>
        <w:t xml:space="preserve">Sources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70"/>
      </w:tblGrid>
      <w:tr>
        <w:trPr>
          <w:tblHeader/>
        </w:trPr>
        <w:tc>
          <w:tcPr>
            <w:tcW w:type="dxa" w:w="2400"/>
            <w:shd w:fill="1F3864" w:color="auto" w:val="clear"/>
            <w:tcMar>
              <w:top w:type="dxa" w:w="60"/>
              <w:left w:type="dxa" w:w="90"/>
              <w:bottom w:type="dxa" w:w="60"/>
              <w:right w:type="dxa" w:w="90"/>
            </w:tcMar>
          </w:tcPr>
          <w:p>
            <w:pPr>
              <w:spacing w:after="0" w:line="240"/>
              <w:jc w:val="left"/>
            </w:pPr>
            <w:r>
              <w:rPr>
                <w:b/>
                <w:bCs/>
                <w:color w:val="FFFFFF"/>
                <w:sz w:val="18"/>
                <w:szCs w:val="18"/>
              </w:rPr>
              <w:t xml:space="preserve">Provider</w:t>
            </w:r>
          </w:p>
        </w:tc>
        <w:tc>
          <w:tcPr>
            <w:tcW w:type="dxa" w:w="3400"/>
            <w:shd w:fill="1F3864" w:color="auto" w:val="clear"/>
            <w:tcMar>
              <w:top w:type="dxa" w:w="60"/>
              <w:left w:type="dxa" w:w="90"/>
              <w:bottom w:type="dxa" w:w="60"/>
              <w:right w:type="dxa" w:w="90"/>
            </w:tcMar>
          </w:tcPr>
          <w:p>
            <w:pPr>
              <w:spacing w:after="0" w:line="240"/>
              <w:jc w:val="left"/>
            </w:pPr>
            <w:r>
              <w:rPr>
                <w:b/>
                <w:bCs/>
                <w:color w:val="FFFFFF"/>
                <w:sz w:val="18"/>
                <w:szCs w:val="18"/>
              </w:rPr>
              <w:t xml:space="preserve">Databases</w:t>
            </w:r>
          </w:p>
        </w:tc>
        <w:tc>
          <w:tcPr>
            <w:tcW w:type="dxa" w:w="3270"/>
            <w:shd w:fill="1F3864" w:color="auto" w:val="clear"/>
            <w:tcMar>
              <w:top w:type="dxa" w:w="60"/>
              <w:left w:type="dxa" w:w="90"/>
              <w:bottom w:type="dxa" w:w="60"/>
              <w:right w:type="dxa" w:w="90"/>
            </w:tcMar>
          </w:tcPr>
          <w:p>
            <w:pPr>
              <w:spacing w:after="0" w:line="240"/>
              <w:jc w:val="left"/>
            </w:pPr>
            <w:r>
              <w:rPr>
                <w:b/>
                <w:bCs/>
                <w:color w:val="FFFFFF"/>
                <w:sz w:val="18"/>
                <w:szCs w:val="18"/>
              </w:rPr>
              <w:t xml:space="preserve">Access</w:t>
            </w:r>
          </w:p>
        </w:tc>
      </w:tr>
      <w:tr>
        <w:tc>
          <w:tcPr>
            <w:tcW w:type="dxa" w:w="2400"/>
            <w:tcMar>
              <w:top w:type="dxa" w:w="60"/>
              <w:left w:type="dxa" w:w="90"/>
              <w:bottom w:type="dxa" w:w="60"/>
              <w:right w:type="dxa" w:w="90"/>
            </w:tcMar>
          </w:tcPr>
          <w:p>
            <w:pPr>
              <w:spacing w:after="0" w:line="240"/>
              <w:jc w:val="left"/>
            </w:pPr>
            <w:r>
              <w:rPr>
                <w:color w:val="000000"/>
                <w:sz w:val="18"/>
                <w:szCs w:val="18"/>
              </w:rPr>
              <w:t xml:space="preserve">World Bank</w:t>
            </w:r>
          </w:p>
        </w:tc>
        <w:tc>
          <w:tcPr>
            <w:tcW w:type="dxa" w:w="3400"/>
            <w:tcMar>
              <w:top w:type="dxa" w:w="60"/>
              <w:left w:type="dxa" w:w="90"/>
              <w:bottom w:type="dxa" w:w="60"/>
              <w:right w:type="dxa" w:w="90"/>
            </w:tcMar>
          </w:tcPr>
          <w:p>
            <w:pPr>
              <w:spacing w:after="0" w:line="240"/>
              <w:jc w:val="left"/>
            </w:pPr>
            <w:r>
              <w:rPr>
                <w:color w:val="000000"/>
                <w:sz w:val="18"/>
                <w:szCs w:val="18"/>
              </w:rPr>
              <w:t xml:space="preserve">World Development Indicators, International Debt Statistics, governance, poverty, Findex, logistics performance</w:t>
            </w:r>
          </w:p>
        </w:tc>
        <w:tc>
          <w:tcPr>
            <w:tcW w:type="dxa" w:w="3270"/>
            <w:tcMar>
              <w:top w:type="dxa" w:w="60"/>
              <w:left w:type="dxa" w:w="90"/>
              <w:bottom w:type="dxa" w:w="60"/>
              <w:right w:type="dxa" w:w="90"/>
            </w:tcMar>
          </w:tcPr>
          <w:p>
            <w:pPr>
              <w:spacing w:after="0" w:line="240"/>
              <w:jc w:val="left"/>
            </w:pPr>
            <w:r>
              <w:rPr>
                <w:color w:val="000000"/>
                <w:sz w:val="18"/>
                <w:szCs w:val="18"/>
              </w:rPr>
              <w:t xml:space="preserve">Public interface</w:t>
            </w:r>
          </w:p>
        </w:tc>
      </w:tr>
      <w:tr>
        <w:tc>
          <w:tcPr>
            <w:tcW w:type="dxa" w:w="2400"/>
            <w:shd w:fill="F4F6F9" w:color="auto" w:val="clear"/>
            <w:tcMar>
              <w:top w:type="dxa" w:w="60"/>
              <w:left w:type="dxa" w:w="90"/>
              <w:bottom w:type="dxa" w:w="60"/>
              <w:right w:type="dxa" w:w="90"/>
            </w:tcMar>
          </w:tcPr>
          <w:p>
            <w:pPr>
              <w:spacing w:after="0" w:line="240"/>
              <w:jc w:val="left"/>
            </w:pPr>
            <w:r>
              <w:rPr>
                <w:color w:val="000000"/>
                <w:sz w:val="18"/>
                <w:szCs w:val="18"/>
              </w:rPr>
              <w:t xml:space="preserve">World Bank</w:t>
            </w:r>
          </w:p>
        </w:tc>
        <w:tc>
          <w:tcPr>
            <w:tcW w:type="dxa" w:w="3400"/>
            <w:shd w:fill="F4F6F9" w:color="auto" w:val="clear"/>
            <w:tcMar>
              <w:top w:type="dxa" w:w="60"/>
              <w:left w:type="dxa" w:w="90"/>
              <w:bottom w:type="dxa" w:w="60"/>
              <w:right w:type="dxa" w:w="90"/>
            </w:tcMar>
          </w:tcPr>
          <w:p>
            <w:pPr>
              <w:spacing w:after="0" w:line="240"/>
              <w:jc w:val="left"/>
            </w:pPr>
            <w:r>
              <w:rPr>
                <w:color w:val="000000"/>
                <w:sz w:val="18"/>
                <w:szCs w:val="18"/>
              </w:rPr>
              <w:t xml:space="preserve">Pink Sheet, world commodity prices</w:t>
            </w:r>
          </w:p>
        </w:tc>
        <w:tc>
          <w:tcPr>
            <w:tcW w:type="dxa" w:w="3270"/>
            <w:shd w:fill="F4F6F9" w:color="auto" w:val="clear"/>
            <w:tcMar>
              <w:top w:type="dxa" w:w="60"/>
              <w:left w:type="dxa" w:w="90"/>
              <w:bottom w:type="dxa" w:w="60"/>
              <w:right w:type="dxa" w:w="90"/>
            </w:tcMar>
          </w:tcPr>
          <w:p>
            <w:pPr>
              <w:spacing w:after="0" w:line="240"/>
              <w:jc w:val="left"/>
            </w:pPr>
            <w:r>
              <w:rPr>
                <w:color w:val="000000"/>
                <w:sz w:val="18"/>
                <w:szCs w:val="18"/>
              </w:rPr>
              <w:t xml:space="preserve">Monthly workbook</w:t>
            </w:r>
          </w:p>
        </w:tc>
      </w:tr>
      <w:tr>
        <w:tc>
          <w:tcPr>
            <w:tcW w:type="dxa" w:w="2400"/>
            <w:tcMar>
              <w:top w:type="dxa" w:w="60"/>
              <w:left w:type="dxa" w:w="90"/>
              <w:bottom w:type="dxa" w:w="60"/>
              <w:right w:type="dxa" w:w="90"/>
            </w:tcMar>
          </w:tcPr>
          <w:p>
            <w:pPr>
              <w:spacing w:after="0" w:line="240"/>
              <w:jc w:val="left"/>
            </w:pPr>
            <w:r>
              <w:rPr>
                <w:color w:val="000000"/>
                <w:sz w:val="18"/>
                <w:szCs w:val="18"/>
              </w:rPr>
              <w:t xml:space="preserve">International Monetary Fund</w:t>
            </w:r>
          </w:p>
        </w:tc>
        <w:tc>
          <w:tcPr>
            <w:tcW w:type="dxa" w:w="3400"/>
            <w:tcMar>
              <w:top w:type="dxa" w:w="60"/>
              <w:left w:type="dxa" w:w="90"/>
              <w:bottom w:type="dxa" w:w="60"/>
              <w:right w:type="dxa" w:w="90"/>
            </w:tcMar>
          </w:tcPr>
          <w:p>
            <w:pPr>
              <w:spacing w:after="0" w:line="240"/>
              <w:jc w:val="left"/>
            </w:pPr>
            <w:r>
              <w:rPr>
                <w:color w:val="000000"/>
                <w:sz w:val="18"/>
                <w:szCs w:val="18"/>
              </w:rPr>
              <w:t xml:space="preserve">World Economic Outlook, Fiscal Monitor</w:t>
            </w:r>
          </w:p>
        </w:tc>
        <w:tc>
          <w:tcPr>
            <w:tcW w:type="dxa" w:w="3270"/>
            <w:tcMar>
              <w:top w:type="dxa" w:w="60"/>
              <w:left w:type="dxa" w:w="90"/>
              <w:bottom w:type="dxa" w:w="60"/>
              <w:right w:type="dxa" w:w="90"/>
            </w:tcMar>
          </w:tcPr>
          <w:p>
            <w:pPr>
              <w:spacing w:after="0" w:line="240"/>
              <w:jc w:val="left"/>
            </w:pPr>
            <w:r>
              <w:rPr>
                <w:color w:val="000000"/>
                <w:sz w:val="18"/>
                <w:szCs w:val="18"/>
              </w:rPr>
              <w:t xml:space="preserve">SDMX portal</w:t>
            </w:r>
          </w:p>
        </w:tc>
      </w:tr>
      <w:tr>
        <w:tc>
          <w:tcPr>
            <w:tcW w:type="dxa" w:w="2400"/>
            <w:shd w:fill="F4F6F9" w:color="auto" w:val="clear"/>
            <w:tcMar>
              <w:top w:type="dxa" w:w="60"/>
              <w:left w:type="dxa" w:w="90"/>
              <w:bottom w:type="dxa" w:w="60"/>
              <w:right w:type="dxa" w:w="90"/>
            </w:tcMar>
          </w:tcPr>
          <w:p>
            <w:pPr>
              <w:spacing w:after="0" w:line="240"/>
              <w:jc w:val="left"/>
            </w:pPr>
            <w:r>
              <w:rPr>
                <w:color w:val="000000"/>
                <w:sz w:val="18"/>
                <w:szCs w:val="18"/>
              </w:rPr>
              <w:t xml:space="preserve">Growth Lab, Harvard</w:t>
            </w:r>
          </w:p>
        </w:tc>
        <w:tc>
          <w:tcPr>
            <w:tcW w:type="dxa" w:w="3400"/>
            <w:shd w:fill="F4F6F9" w:color="auto" w:val="clear"/>
            <w:tcMar>
              <w:top w:type="dxa" w:w="60"/>
              <w:left w:type="dxa" w:w="90"/>
              <w:bottom w:type="dxa" w:w="60"/>
              <w:right w:type="dxa" w:w="90"/>
            </w:tcMar>
          </w:tcPr>
          <w:p>
            <w:pPr>
              <w:spacing w:after="0" w:line="240"/>
              <w:jc w:val="left"/>
            </w:pPr>
            <w:r>
              <w:rPr>
                <w:color w:val="000000"/>
                <w:sz w:val="18"/>
                <w:szCs w:val="18"/>
              </w:rPr>
              <w:t xml:space="preserve">Atlas of Economic Complexity</w:t>
            </w:r>
          </w:p>
        </w:tc>
        <w:tc>
          <w:tcPr>
            <w:tcW w:type="dxa" w:w="3270"/>
            <w:shd w:fill="F4F6F9" w:color="auto" w:val="clear"/>
            <w:tcMar>
              <w:top w:type="dxa" w:w="60"/>
              <w:left w:type="dxa" w:w="90"/>
              <w:bottom w:type="dxa" w:w="60"/>
              <w:right w:type="dxa" w:w="90"/>
            </w:tcMar>
          </w:tcPr>
          <w:p>
            <w:pPr>
              <w:spacing w:after="0" w:line="240"/>
              <w:jc w:val="left"/>
            </w:pPr>
            <w:r>
              <w:rPr>
                <w:color w:val="000000"/>
                <w:sz w:val="18"/>
                <w:szCs w:val="18"/>
              </w:rPr>
              <w:t xml:space="preserve">GraphQL interface</w:t>
            </w:r>
          </w:p>
        </w:tc>
      </w:tr>
    </w:tbl>
    <w:p>
      <w:pPr>
        <w:spacing w:after="220" w:before="90"/>
        <w:jc w:val="center"/>
      </w:pPr>
      <w:r>
        <w:rPr>
          <w:i/>
          <w:iCs/>
          <w:color w:val="5C6672"/>
          <w:sz w:val="17"/>
          <w:szCs w:val="17"/>
        </w:rPr>
        <w:t xml:space="preserve">Table 2 – Providers and databases used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left w:val="single" w:color="C8A24A" w:sz="18"/>
              <w:bottom w:val="none"/>
              <w:right w:val="none"/>
            </w:tcBorders>
            <w:shd w:fill="EEF2F8" w:color="auto" w:val="clear"/>
            <w:tcMar>
              <w:top w:type="dxa" w:w="60"/>
              <w:left w:type="dxa" w:w="90"/>
              <w:bottom w:type="dxa" w:w="60"/>
              <w:right w:type="dxa" w:w="90"/>
            </w:tcMar>
          </w:tcPr>
          <w:p>
            <w:pPr>
              <w:spacing w:after="70" w:line="276"/>
              <w:jc w:val="left"/>
            </w:pPr>
            <w:r>
              <w:rPr>
                <w:b/>
                <w:bCs/>
                <w:color w:val="1F3864"/>
                <w:sz w:val="19"/>
                <w:szCs w:val="19"/>
              </w:rPr>
              <w:t xml:space="preserve">Ownership and citation</w:t>
            </w:r>
          </w:p>
          <w:p>
            <w:pPr>
              <w:spacing w:after="0" w:line="276"/>
              <w:jc w:val="both"/>
            </w:pPr>
            <w:r>
              <w:rPr>
                <w:b w:val="false"/>
                <w:bCs w:val="false"/>
                <w:color w:val="000000"/>
                <w:sz w:val="19"/>
                <w:szCs w:val="19"/>
              </w:rPr>
              <w:t xml:space="preserve">The data remain the property of their producers. Harvard University's Growth Lab, the OECD and the International Monetary Fund explicitly require attribution. Every exported workbook carries a Sources sheet stating, for each indicator, its origin and the retrieval date. Never circulate an extract without that sheet.</w:t>
            </w:r>
          </w:p>
        </w:tc>
      </w:tr>
    </w:tbl>
    <w:p>
      <w:pPr>
        <w:spacing w:after="200" w:line="288"/>
        <w:jc w:val="both"/>
      </w:pPr>
      <w:r>
        <w:rPr>
          <w:b w:val="false"/>
          <w:bCs w:val="false"/>
          <w:i w:val="false"/>
          <w:iCs w:val="false"/>
          <w:sz w:val="21"/>
          <w:szCs w:val="21"/>
        </w:rPr>
        <w:t xml:space="preserve"/>
      </w:r>
    </w:p>
    <w:p>
      <w:r>
        <w:br w:type="page"/>
      </w:r>
    </w:p>
    <w:p>
      <w:pPr>
        <w:spacing w:after="60" w:before="0"/>
      </w:pPr>
      <w:r>
        <w:rPr>
          <w:b/>
          <w:bCs/>
          <w:color w:val="C8A24A"/>
          <w:sz w:val="20"/>
          <w:szCs w:val="20"/>
        </w:rPr>
        <w:t xml:space="preserve">Chapter 2</w:t>
      </w:r>
    </w:p>
    <w:p>
      <w:pPr>
        <w:pStyle w:val="Heading1"/>
        <w:spacing w:after="220" w:before="0"/>
      </w:pPr>
      <w:r>
        <w:t xml:space="preserve">Getting started</w:t>
      </w:r>
    </w:p>
    <w:p>
      <w:pPr>
        <w:pStyle w:val="Heading2"/>
      </w:pPr>
      <w:r>
        <w:t xml:space="preserve">The banner</w:t>
      </w:r>
    </w:p>
    <w:p>
      <w:pPr>
        <w:spacing w:after="140" w:line="288"/>
        <w:jc w:val="both"/>
      </w:pPr>
      <w:r>
        <w:rPr>
          <w:b w:val="false"/>
          <w:bCs w:val="false"/>
          <w:i w:val="false"/>
          <w:iCs w:val="false"/>
          <w:sz w:val="21"/>
          <w:szCs w:val="21"/>
        </w:rPr>
        <w:t xml:space="preserve">The banner stays visible at all times, including when scrolling a long page. It carries the arms of the Republic, the platform name, the language selector and the ministry logo. A discreet strip lists Cameroon's ten main trading partners.</w:t>
      </w:r>
    </w:p>
    <w:p>
      <w:pPr>
        <w:pStyle w:val="Heading2"/>
      </w:pPr>
      <w:r>
        <w:t xml:space="preserve">The four tabs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6070"/>
      </w:tblGrid>
      <w:tr>
        <w:trPr>
          <w:tblHeader/>
        </w:trPr>
        <w:tc>
          <w:tcPr>
            <w:tcW w:type="dxa" w:w="3000"/>
            <w:shd w:fill="1F3864" w:color="auto" w:val="clear"/>
            <w:tcMar>
              <w:top w:type="dxa" w:w="60"/>
              <w:left w:type="dxa" w:w="90"/>
              <w:bottom w:type="dxa" w:w="60"/>
              <w:right w:type="dxa" w:w="90"/>
            </w:tcMar>
          </w:tcPr>
          <w:p>
            <w:pPr>
              <w:spacing w:after="0" w:line="240"/>
              <w:jc w:val="left"/>
            </w:pPr>
            <w:r>
              <w:rPr>
                <w:b/>
                <w:bCs/>
                <w:color w:val="FFFFFF"/>
                <w:sz w:val="18"/>
                <w:szCs w:val="18"/>
              </w:rPr>
              <w:t xml:space="preserve">Tab</w:t>
            </w:r>
          </w:p>
        </w:tc>
        <w:tc>
          <w:tcPr>
            <w:tcW w:type="dxa" w:w="6070"/>
            <w:shd w:fill="1F3864" w:color="auto" w:val="clear"/>
            <w:tcMar>
              <w:top w:type="dxa" w:w="60"/>
              <w:left w:type="dxa" w:w="90"/>
              <w:bottom w:type="dxa" w:w="60"/>
              <w:right w:type="dxa" w:w="90"/>
            </w:tcMar>
          </w:tcPr>
          <w:p>
            <w:pPr>
              <w:spacing w:after="0" w:line="240"/>
              <w:jc w:val="left"/>
            </w:pPr>
            <w:r>
              <w:rPr>
                <w:b/>
                <w:bCs/>
                <w:color w:val="FFFFFF"/>
                <w:sz w:val="18"/>
                <w:szCs w:val="18"/>
              </w:rPr>
              <w:t xml:space="preserve">Use</w:t>
            </w:r>
          </w:p>
        </w:tc>
      </w:tr>
      <w:tr>
        <w:tc>
          <w:tcPr>
            <w:tcW w:type="dxa" w:w="3000"/>
            <w:tcMar>
              <w:top w:type="dxa" w:w="60"/>
              <w:left w:type="dxa" w:w="90"/>
              <w:bottom w:type="dxa" w:w="60"/>
              <w:right w:type="dxa" w:w="90"/>
            </w:tcMar>
          </w:tcPr>
          <w:p>
            <w:pPr>
              <w:spacing w:after="0" w:line="240"/>
              <w:jc w:val="left"/>
            </w:pPr>
            <w:r>
              <w:rPr>
                <w:color w:val="000000"/>
                <w:sz w:val="18"/>
                <w:szCs w:val="18"/>
              </w:rPr>
              <w:t xml:space="preserve">Home</w:t>
            </w:r>
          </w:p>
        </w:tc>
        <w:tc>
          <w:tcPr>
            <w:tcW w:type="dxa" w:w="6070"/>
            <w:tcMar>
              <w:top w:type="dxa" w:w="60"/>
              <w:left w:type="dxa" w:w="90"/>
              <w:bottom w:type="dxa" w:w="60"/>
              <w:right w:type="dxa" w:w="90"/>
            </w:tcMar>
          </w:tcPr>
          <w:p>
            <w:pPr>
              <w:spacing w:after="0" w:line="240"/>
              <w:jc w:val="left"/>
            </w:pPr>
            <w:r>
              <w:rPr>
                <w:color w:val="000000"/>
                <w:sz w:val="18"/>
                <w:szCs w:val="18"/>
              </w:rPr>
              <w:t xml:space="preserve">Overview, database figures, links to reference sites, manual download</w:t>
            </w:r>
          </w:p>
        </w:tc>
      </w:tr>
      <w:tr>
        <w:tc>
          <w:tcPr>
            <w:tcW w:type="dxa" w:w="3000"/>
            <w:shd w:fill="F4F6F9" w:color="auto" w:val="clear"/>
            <w:tcMar>
              <w:top w:type="dxa" w:w="60"/>
              <w:left w:type="dxa" w:w="90"/>
              <w:bottom w:type="dxa" w:w="60"/>
              <w:right w:type="dxa" w:w="90"/>
            </w:tcMar>
          </w:tcPr>
          <w:p>
            <w:pPr>
              <w:spacing w:after="0" w:line="240"/>
              <w:jc w:val="left"/>
            </w:pPr>
            <w:r>
              <w:rPr>
                <w:color w:val="000000"/>
                <w:sz w:val="18"/>
                <w:szCs w:val="18"/>
              </w:rPr>
              <w:t xml:space="preserve">Dashboard</w:t>
            </w:r>
          </w:p>
        </w:tc>
        <w:tc>
          <w:tcPr>
            <w:tcW w:type="dxa" w:w="6070"/>
            <w:shd w:fill="F4F6F9" w:color="auto" w:val="clear"/>
            <w:tcMar>
              <w:top w:type="dxa" w:w="60"/>
              <w:left w:type="dxa" w:w="90"/>
              <w:bottom w:type="dxa" w:w="60"/>
              <w:right w:type="dxa" w:w="90"/>
            </w:tcMar>
          </w:tcPr>
          <w:p>
            <w:pPr>
              <w:spacing w:after="0" w:line="240"/>
              <w:jc w:val="left"/>
            </w:pPr>
            <w:r>
              <w:rPr>
                <w:color w:val="000000"/>
                <w:sz w:val="18"/>
                <w:szCs w:val="18"/>
              </w:rPr>
              <w:t xml:space="preserve">Charts and maps, projections, exports</w:t>
            </w:r>
          </w:p>
        </w:tc>
      </w:tr>
      <w:tr>
        <w:tc>
          <w:tcPr>
            <w:tcW w:type="dxa" w:w="3000"/>
            <w:tcMar>
              <w:top w:type="dxa" w:w="60"/>
              <w:left w:type="dxa" w:w="90"/>
              <w:bottom w:type="dxa" w:w="60"/>
              <w:right w:type="dxa" w:w="90"/>
            </w:tcMar>
          </w:tcPr>
          <w:p>
            <w:pPr>
              <w:spacing w:after="0" w:line="240"/>
              <w:jc w:val="left"/>
            </w:pPr>
            <w:r>
              <w:rPr>
                <w:color w:val="000000"/>
                <w:sz w:val="18"/>
                <w:szCs w:val="18"/>
              </w:rPr>
              <w:t xml:space="preserve">Database</w:t>
            </w:r>
          </w:p>
        </w:tc>
        <w:tc>
          <w:tcPr>
            <w:tcW w:type="dxa" w:w="6070"/>
            <w:tcMar>
              <w:top w:type="dxa" w:w="60"/>
              <w:left w:type="dxa" w:w="90"/>
              <w:bottom w:type="dxa" w:w="60"/>
              <w:right w:type="dxa" w:w="90"/>
            </w:tcMar>
          </w:tcPr>
          <w:p>
            <w:pPr>
              <w:spacing w:after="0" w:line="240"/>
              <w:jc w:val="left"/>
            </w:pPr>
            <w:r>
              <w:rPr>
                <w:color w:val="000000"/>
                <w:sz w:val="18"/>
                <w:szCs w:val="18"/>
              </w:rPr>
              <w:t xml:space="preserve">Tabular browsing and spreadsheet download</w:t>
            </w:r>
          </w:p>
        </w:tc>
      </w:tr>
      <w:tr>
        <w:tc>
          <w:tcPr>
            <w:tcW w:type="dxa" w:w="3000"/>
            <w:shd w:fill="F4F6F9" w:color="auto" w:val="clear"/>
            <w:tcMar>
              <w:top w:type="dxa" w:w="60"/>
              <w:left w:type="dxa" w:w="90"/>
              <w:bottom w:type="dxa" w:w="60"/>
              <w:right w:type="dxa" w:w="90"/>
            </w:tcMar>
          </w:tcPr>
          <w:p>
            <w:pPr>
              <w:spacing w:after="0" w:line="240"/>
              <w:jc w:val="left"/>
            </w:pPr>
            <w:r>
              <w:rPr>
                <w:color w:val="000000"/>
                <w:sz w:val="18"/>
                <w:szCs w:val="18"/>
              </w:rPr>
              <w:t xml:space="preserve">Data collection</w:t>
            </w:r>
          </w:p>
        </w:tc>
        <w:tc>
          <w:tcPr>
            <w:tcW w:type="dxa" w:w="6070"/>
            <w:shd w:fill="F4F6F9" w:color="auto" w:val="clear"/>
            <w:tcMar>
              <w:top w:type="dxa" w:w="60"/>
              <w:left w:type="dxa" w:w="90"/>
              <w:bottom w:type="dxa" w:w="60"/>
              <w:right w:type="dxa" w:w="90"/>
            </w:tcMar>
          </w:tcPr>
          <w:p>
            <w:pPr>
              <w:spacing w:after="0" w:line="240"/>
              <w:jc w:val="left"/>
            </w:pPr>
            <w:r>
              <w:rPr>
                <w:color w:val="000000"/>
                <w:sz w:val="18"/>
                <w:szCs w:val="18"/>
              </w:rPr>
              <w:t xml:space="preserve">Update log and manual refresh</w:t>
            </w:r>
          </w:p>
        </w:tc>
      </w:tr>
    </w:tbl>
    <w:p>
      <w:pPr>
        <w:spacing w:after="220" w:before="90"/>
        <w:jc w:val="center"/>
      </w:pPr>
      <w:r>
        <w:rPr>
          <w:i/>
          <w:iCs/>
          <w:color w:val="5C6672"/>
          <w:sz w:val="17"/>
          <w:szCs w:val="17"/>
        </w:rPr>
        <w:t xml:space="preserve">Table 3 – Purpose of each tab</w:t>
      </w:r>
    </w:p>
    <w:p>
      <w:pPr>
        <w:pStyle w:val="Heading2"/>
      </w:pPr>
      <w:r>
        <w:t xml:space="preserve">Switching language</w:t>
      </w:r>
    </w:p>
    <w:p>
      <w:pPr>
        <w:spacing w:after="140" w:line="288"/>
        <w:jc w:val="both"/>
      </w:pPr>
      <w:r>
        <w:rPr>
          <w:b w:val="false"/>
          <w:bCs w:val="false"/>
          <w:i w:val="false"/>
          <w:iCs w:val="false"/>
          <w:sz w:val="21"/>
          <w:szCs w:val="21"/>
        </w:rPr>
        <w:t xml:space="preserve">The selector on the right of the banner switches between French and English. Switching reloads the page, which is what allows the entire interface to be translated, including labels built once at start-up. A selection in progress is not preserved across that reload, so switch language before composing a chart.</w:t>
      </w:r>
    </w:p>
    <w:p>
      <w:pPr>
        <w:spacing w:after="140" w:line="288"/>
        <w:jc w:val="both"/>
      </w:pPr>
      <w:r>
        <w:rPr>
          <w:b w:val="false"/>
          <w:bCs w:val="false"/>
          <w:i w:val="false"/>
          <w:iCs w:val="false"/>
          <w:sz w:val="21"/>
          <w:szCs w:val="21"/>
        </w:rPr>
        <w:t xml:space="preserve">The translation covers the interface, the labels of the fourteen categories, those of the 233 indicators and their units. Country names are supplied in English by the World Bank.</w:t>
      </w:r>
    </w:p>
    <w:p>
      <w:pPr>
        <w:pStyle w:val="Heading2"/>
      </w:pPr>
      <w:r>
        <w:t xml:space="preserve">Downloading the manual</w:t>
      </w:r>
    </w:p>
    <w:p>
      <w:pPr>
        <w:spacing w:after="140" w:line="288"/>
        <w:jc w:val="both"/>
      </w:pPr>
      <w:r>
        <w:rPr>
          <w:b w:val="false"/>
          <w:bCs w:val="false"/>
          <w:i w:val="false"/>
          <w:iCs w:val="false"/>
          <w:sz w:val="21"/>
          <w:szCs w:val="21"/>
        </w:rPr>
        <w:t xml:space="preserve">The button is on the Home tab, after Browse the database. A form asks for the language and the format, and the download starts on validation. Four versions ship with the platform: French and English, in PDF and Word.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left w:val="single" w:color="C8A24A" w:sz="18"/>
              <w:bottom w:val="none"/>
              <w:right w:val="none"/>
            </w:tcBorders>
            <w:shd w:fill="EEF2F8" w:color="auto" w:val="clear"/>
            <w:tcMar>
              <w:top w:type="dxa" w:w="60"/>
              <w:left w:type="dxa" w:w="90"/>
              <w:bottom w:type="dxa" w:w="60"/>
              <w:right w:type="dxa" w:w="90"/>
            </w:tcMar>
          </w:tcPr>
          <w:p>
            <w:pPr>
              <w:spacing w:after="70" w:line="276"/>
              <w:jc w:val="left"/>
            </w:pPr>
            <w:r>
              <w:rPr>
                <w:b/>
                <w:bCs/>
                <w:color w:val="1F3864"/>
                <w:sz w:val="19"/>
                <w:szCs w:val="19"/>
              </w:rPr>
              <w:t xml:space="preserve">Why the manual language is asked for</w:t>
            </w:r>
          </w:p>
          <w:p>
            <w:pPr>
              <w:spacing w:after="0" w:line="276"/>
              <w:jc w:val="both"/>
            </w:pPr>
            <w:r>
              <w:rPr>
                <w:b w:val="false"/>
                <w:bCs w:val="false"/>
                <w:color w:val="000000"/>
                <w:sz w:val="19"/>
                <w:szCs w:val="19"/>
              </w:rPr>
              <w:t xml:space="preserve">It is not inferred from the interface language. A staff member using the platform in French may need the English version for a technical or financial partner, and the other way round. The form offers the current language by default, without imposing it.</w:t>
            </w:r>
          </w:p>
        </w:tc>
      </w:tr>
    </w:tbl>
    <w:p>
      <w:pPr>
        <w:spacing w:after="200" w:line="288"/>
        <w:jc w:val="both"/>
      </w:pPr>
      <w:r>
        <w:rPr>
          <w:b w:val="false"/>
          <w:bCs w:val="false"/>
          <w:i w:val="false"/>
          <w:iCs w:val="false"/>
          <w:sz w:val="21"/>
          <w:szCs w:val="21"/>
        </w:rPr>
        <w:t xml:space="preserve"/>
      </w:r>
    </w:p>
    <w:p>
      <w:r>
        <w:br w:type="page"/>
      </w:r>
    </w:p>
    <w:p>
      <w:pPr>
        <w:spacing w:after="60" w:before="0"/>
      </w:pPr>
      <w:r>
        <w:rPr>
          <w:b/>
          <w:bCs/>
          <w:color w:val="C8A24A"/>
          <w:sz w:val="20"/>
          <w:szCs w:val="20"/>
        </w:rPr>
        <w:t xml:space="preserve">Chapter 3</w:t>
      </w:r>
    </w:p>
    <w:p>
      <w:pPr>
        <w:pStyle w:val="Heading1"/>
        <w:spacing w:after="220" w:before="0"/>
      </w:pPr>
      <w:r>
        <w:t xml:space="preserve">The Home tab</w:t>
      </w:r>
    </w:p>
    <w:p>
      <w:pPr>
        <w:spacing w:after="140" w:line="288"/>
        <w:jc w:val="both"/>
      </w:pPr>
      <w:r>
        <w:rPr>
          <w:b w:val="false"/>
          <w:bCs w:val="false"/>
          <w:i w:val="false"/>
          <w:iCs w:val="false"/>
          <w:sz w:val="21"/>
          <w:szCs w:val="21"/>
        </w:rPr>
        <w:t xml:space="preserve">The Home tab is the entry point and a reminder of scope. It has four blocks.</w:t>
      </w:r>
    </w:p>
    <w:p>
      <w:pPr>
        <w:pStyle w:val="ListParagraph"/>
        <w:numPr>
          <w:ilvl w:val="0"/>
          <w:numId w:val="3"/>
        </w:numPr>
        <w:spacing w:after="90" w:line="288"/>
        <w:jc w:val="both"/>
      </w:pPr>
      <w:r>
        <w:rPr>
          <w:sz w:val="21"/>
          <w:szCs w:val="21"/>
        </w:rPr>
        <w:t xml:space="preserve">A banner with the two main entry points, the dashboard and the database.</w:t>
      </w:r>
    </w:p>
    <w:p>
      <w:pPr>
        <w:pStyle w:val="ListParagraph"/>
        <w:numPr>
          <w:ilvl w:val="0"/>
          <w:numId w:val="3"/>
        </w:numPr>
        <w:spacing w:after="90" w:line="288"/>
        <w:jc w:val="both"/>
      </w:pPr>
      <w:r>
        <w:rPr>
          <w:sz w:val="21"/>
          <w:szCs w:val="21"/>
        </w:rPr>
        <w:t xml:space="preserve">The real figures of the database: number of active indicators, categories, economies, observations, and the date of the last successful collection.</w:t>
      </w:r>
    </w:p>
    <w:p>
      <w:pPr>
        <w:pStyle w:val="ListParagraph"/>
        <w:numPr>
          <w:ilvl w:val="0"/>
          <w:numId w:val="3"/>
        </w:numPr>
        <w:spacing w:after="90" w:line="288"/>
        <w:jc w:val="both"/>
      </w:pPr>
      <w:r>
        <w:rPr>
          <w:sz w:val="21"/>
          <w:szCs w:val="21"/>
        </w:rPr>
        <w:t xml:space="preserve">Six cards detailing the features and the tab where they are found.</w:t>
      </w:r>
    </w:p>
    <w:p>
      <w:pPr>
        <w:pStyle w:val="ListParagraph"/>
        <w:numPr>
          <w:ilvl w:val="0"/>
          <w:numId w:val="3"/>
        </w:numPr>
        <w:spacing w:after="90" w:line="288"/>
        <w:jc w:val="both"/>
      </w:pPr>
      <w:r>
        <w:rPr>
          <w:sz w:val="21"/>
          <w:szCs w:val="21"/>
        </w:rPr>
        <w:t xml:space="preserve">Links to the institutions and to the providers' official sites.</w:t>
      </w:r>
    </w:p>
    <w:p>
      <w:pPr>
        <w:spacing w:after="140" w:line="288"/>
        <w:jc w:val="both"/>
      </w:pPr>
      <w:r>
        <w:rPr>
          <w:b w:val="false"/>
          <w:bCs w:val="false"/>
          <w:i w:val="false"/>
          <w:iCs w:val="false"/>
          <w:sz w:val="21"/>
          <w:szCs w:val="21"/>
        </w:rPr>
        <w:t xml:space="preserve">The figures shown are queried from the database each time the tab opens. If they look low, the collection is incomplete: check the log in the Data collection tab.</w:t>
      </w:r>
    </w:p>
    <w:p>
      <w:r>
        <w:br w:type="page"/>
      </w:r>
    </w:p>
    <w:p>
      <w:pPr>
        <w:spacing w:after="60" w:before="0"/>
      </w:pPr>
      <w:r>
        <w:rPr>
          <w:b/>
          <w:bCs/>
          <w:color w:val="C8A24A"/>
          <w:sz w:val="20"/>
          <w:szCs w:val="20"/>
        </w:rPr>
        <w:t xml:space="preserve">Chapter 4</w:t>
      </w:r>
    </w:p>
    <w:p>
      <w:pPr>
        <w:pStyle w:val="Heading1"/>
        <w:spacing w:after="220" w:before="0"/>
      </w:pPr>
      <w:r>
        <w:t xml:space="preserve">The dashboard</w:t>
      </w:r>
    </w:p>
    <w:p>
      <w:pPr>
        <w:spacing w:after="140" w:line="288"/>
        <w:jc w:val="both"/>
      </w:pPr>
      <w:r>
        <w:rPr>
          <w:b w:val="false"/>
          <w:bCs w:val="false"/>
          <w:i w:val="false"/>
          <w:iCs w:val="false"/>
          <w:sz w:val="21"/>
          <w:szCs w:val="21"/>
        </w:rPr>
        <w:t xml:space="preserve">The dashboard reads from top to bottom: pick a category, refine in the filter bar, read the chart and then the map.</w:t>
      </w:r>
    </w:p>
    <w:p>
      <w:pPr>
        <w:pStyle w:val="Heading2"/>
      </w:pPr>
      <w:r>
        <w:t xml:space="preserve">Choosing a category</w:t>
      </w:r>
    </w:p>
    <w:p>
      <w:pPr>
        <w:spacing w:after="140" w:line="288"/>
        <w:jc w:val="both"/>
      </w:pPr>
      <w:r>
        <w:rPr>
          <w:b w:val="false"/>
          <w:bCs w:val="false"/>
          <w:i w:val="false"/>
          <w:iCs w:val="false"/>
          <w:sz w:val="21"/>
          <w:szCs w:val="21"/>
        </w:rPr>
        <w:t xml:space="preserve">The first panel shows the fourteen categories, ordered to follow the logic of an economic outlook note: commodities first, then the real sector, public finance, the monetary sector, the external sector, exchange rates and interest rates.</w:t>
      </w:r>
    </w:p>
    <w:p>
      <w:pPr>
        <w:spacing w:after="140" w:line="288"/>
        <w:jc w:val="both"/>
      </w:pPr>
      <w:r>
        <w:rPr>
          <w:b w:val="false"/>
          <w:bCs w:val="false"/>
          <w:i w:val="false"/>
          <w:iCs w:val="false"/>
          <w:sz w:val="21"/>
          <w:szCs w:val="21"/>
        </w:rPr>
        <w:t xml:space="preserve">Each tile states how many indicators it holds and how many have been collected. A category with nothing collected is flagged in orange.</w:t>
      </w:r>
    </w:p>
    <w:p>
      <w:pPr>
        <w:pStyle w:val="Heading2"/>
      </w:pPr>
      <w:r>
        <w:t xml:space="preserve">The filter bar</w:t>
      </w:r>
    </w:p>
    <w:p>
      <w:pPr>
        <w:spacing w:after="140" w:line="288"/>
        <w:jc w:val="both"/>
      </w:pPr>
      <w:r>
        <w:rPr>
          <w:b w:val="false"/>
          <w:bCs w:val="false"/>
          <w:i w:val="false"/>
          <w:iCs w:val="false"/>
          <w:sz w:val="21"/>
          <w:szCs w:val="21"/>
        </w:rPr>
        <w:t xml:space="preserve">Five settings, in this order, each narrowing the next.</w:t>
      </w:r>
    </w:p>
    <w:p>
      <w:pPr>
        <w:pStyle w:val="ListParagraph"/>
        <w:numPr>
          <w:ilvl w:val="0"/>
          <w:numId w:val="2"/>
        </w:numPr>
        <w:spacing w:after="90" w:line="288"/>
        <w:jc w:val="both"/>
      </w:pPr>
      <w:r>
        <w:rPr>
          <w:sz w:val="21"/>
          <w:szCs w:val="21"/>
        </w:rPr>
        <w:t xml:space="preserve">Indicator. The list holds only indicators from the category. Those already collected come first; the others are marked as not collected. Up to six indicators may be selected.</w:t>
      </w:r>
    </w:p>
    <w:p>
      <w:pPr>
        <w:pStyle w:val="ListParagraph"/>
        <w:numPr>
          <w:ilvl w:val="0"/>
          <w:numId w:val="2"/>
        </w:numPr>
        <w:spacing w:after="90" w:line="288"/>
        <w:jc w:val="both"/>
      </w:pPr>
      <w:r>
        <w:rPr>
          <w:sz w:val="21"/>
          <w:szCs w:val="21"/>
        </w:rPr>
        <w:t xml:space="preserve">Frequency. Only frequencies actually present in the database are offered. It adjusts to the first indicator chosen.</w:t>
      </w:r>
    </w:p>
    <w:p>
      <w:pPr>
        <w:pStyle w:val="ListParagraph"/>
        <w:numPr>
          <w:ilvl w:val="0"/>
          <w:numId w:val="2"/>
        </w:numPr>
        <w:spacing w:after="90" w:line="288"/>
        <w:jc w:val="both"/>
      </w:pPr>
      <w:r>
        <w:rPr>
          <w:sz w:val="21"/>
          <w:szCs w:val="21"/>
        </w:rPr>
        <w:t xml:space="preserve">Period. The bounds match the indicator's effective coverage at the chosen frequency.</w:t>
      </w:r>
    </w:p>
    <w:p>
      <w:pPr>
        <w:pStyle w:val="ListParagraph"/>
        <w:numPr>
          <w:ilvl w:val="0"/>
          <w:numId w:val="2"/>
        </w:numPr>
        <w:spacing w:after="90" w:line="288"/>
        <w:jc w:val="both"/>
      </w:pPr>
      <w:r>
        <w:rPr>
          <w:sz w:val="21"/>
          <w:szCs w:val="21"/>
        </w:rPr>
        <w:t xml:space="preserve">Countries. Only countries for which the indicator is populated appear, eight at most on one chart.</w:t>
      </w:r>
    </w:p>
    <w:p>
      <w:pPr>
        <w:pStyle w:val="ListParagraph"/>
        <w:numPr>
          <w:ilvl w:val="0"/>
          <w:numId w:val="2"/>
        </w:numPr>
        <w:spacing w:after="90" w:line="288"/>
        <w:jc w:val="both"/>
      </w:pPr>
      <w:r>
        <w:rPr>
          <w:sz w:val="21"/>
          <w:szCs w:val="21"/>
        </w:rPr>
        <w:t xml:space="preserve">Apply filter. Nothing is redrawn before that click.</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left w:val="single" w:color="C8A24A" w:sz="18"/>
              <w:bottom w:val="none"/>
              <w:right w:val="none"/>
            </w:tcBorders>
            <w:shd w:fill="EEF2F8" w:color="auto" w:val="clear"/>
            <w:tcMar>
              <w:top w:type="dxa" w:w="60"/>
              <w:left w:type="dxa" w:w="90"/>
              <w:bottom w:type="dxa" w:w="60"/>
              <w:right w:type="dxa" w:w="90"/>
            </w:tcMar>
          </w:tcPr>
          <w:p>
            <w:pPr>
              <w:spacing w:after="70" w:line="276"/>
              <w:jc w:val="left"/>
            </w:pPr>
            <w:r>
              <w:rPr>
                <w:b/>
                <w:bCs/>
                <w:color w:val="1F3864"/>
                <w:sz w:val="19"/>
                <w:szCs w:val="19"/>
              </w:rPr>
              <w:t xml:space="preserve">Why the cascades follow the first indicator</w:t>
            </w:r>
          </w:p>
          <w:p>
            <w:pPr>
              <w:spacing w:after="0" w:line="276"/>
              <w:jc w:val="both"/>
            </w:pPr>
            <w:r>
              <w:rPr>
                <w:b w:val="false"/>
                <w:bCs w:val="false"/>
                <w:color w:val="000000"/>
                <w:sz w:val="19"/>
                <w:szCs w:val="19"/>
              </w:rPr>
              <w:t xml:space="preserve">When several indicators are selected, the frequency, period and country list follow the first one. Combining them across all indicators would produce intersections that are often empty, and an empty filter is more confusing than a truncated secondary series. Check that your main indicator comes first in the selection.</w:t>
            </w:r>
          </w:p>
        </w:tc>
      </w:tr>
    </w:tbl>
    <w:p>
      <w:pPr>
        <w:spacing w:after="200" w:line="288"/>
        <w:jc w:val="both"/>
      </w:pPr>
      <w:r>
        <w:rPr>
          <w:b w:val="false"/>
          <w:bCs w:val="false"/>
          <w:i w:val="false"/>
          <w:iCs w:val="false"/>
          <w:sz w:val="21"/>
          <w:szCs w:val="21"/>
        </w:rPr>
        <w:t xml:space="preserve"/>
      </w:r>
    </w:p>
    <w:p>
      <w:pPr>
        <w:pStyle w:val="Heading2"/>
      </w:pPr>
      <w:r>
        <w:t xml:space="preserve">Overlaying series</w:t>
      </w:r>
    </w:p>
    <w:p>
      <w:pPr>
        <w:spacing w:after="140" w:line="288"/>
        <w:jc w:val="both"/>
      </w:pPr>
      <w:r>
        <w:rPr>
          <w:b w:val="false"/>
          <w:bCs w:val="false"/>
          <w:i w:val="false"/>
          <w:iCs w:val="false"/>
          <w:sz w:val="21"/>
          <w:szCs w:val="21"/>
        </w:rPr>
        <w:t xml:space="preserve">Two routes lead to the same result. Select several indicators at once in the list, then apply. Or build a selection, add it to the chart, compose another and add it in turn: that is the route for crossing indicators from different categories.</w:t>
      </w:r>
    </w:p>
    <w:p>
      <w:pPr>
        <w:spacing w:after="140" w:line="288"/>
        <w:jc w:val="both"/>
      </w:pPr>
      <w:r>
        <w:rPr>
          <w:b w:val="false"/>
          <w:bCs w:val="false"/>
          <w:i w:val="false"/>
          <w:iCs w:val="false"/>
          <w:sz w:val="21"/>
          <w:szCs w:val="21"/>
        </w:rPr>
        <w:t xml:space="preserve">Each displayed series appears as a chip, removed with one click on the cross. The ceiling is six series.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left w:val="single" w:color="C8A24A" w:sz="18"/>
              <w:bottom w:val="none"/>
              <w:right w:val="none"/>
            </w:tcBorders>
            <w:shd w:fill="EEF2F8" w:color="auto" w:val="clear"/>
            <w:tcMar>
              <w:top w:type="dxa" w:w="60"/>
              <w:left w:type="dxa" w:w="90"/>
              <w:bottom w:type="dxa" w:w="60"/>
              <w:right w:type="dxa" w:w="90"/>
            </w:tcMar>
          </w:tcPr>
          <w:p>
            <w:pPr>
              <w:spacing w:after="70" w:line="276"/>
              <w:jc w:val="left"/>
            </w:pPr>
            <w:r>
              <w:rPr>
                <w:b/>
                <w:bCs/>
                <w:color w:val="1F3864"/>
                <w:sz w:val="19"/>
                <w:szCs w:val="19"/>
              </w:rPr>
              <w:t xml:space="preserve">Rebasing to 100 is sometimes imposed</w:t>
            </w:r>
          </w:p>
          <w:p>
            <w:pPr>
              <w:spacing w:after="0" w:line="276"/>
              <w:jc w:val="both"/>
            </w:pPr>
            <w:r>
              <w:rPr>
                <w:b w:val="false"/>
                <w:bCs w:val="false"/>
                <w:color w:val="000000"/>
                <w:sz w:val="19"/>
                <w:szCs w:val="19"/>
              </w:rPr>
              <w:t xml:space="preserve">When the displayed series do not share a unit, they are automatically rebased to 100 at their first observation. Overlaying a share of gross domestic product and a price in dollars per tonne on one axis would flatten one of the two beyond readability. The Base 100 box forces that treatment even when units agree, to compare relative movements rather than levels.</w:t>
            </w:r>
          </w:p>
        </w:tc>
      </w:tr>
    </w:tbl>
    <w:p>
      <w:pPr>
        <w:spacing w:after="200" w:line="288"/>
        <w:jc w:val="both"/>
      </w:pPr>
      <w:r>
        <w:rPr>
          <w:b w:val="false"/>
          <w:bCs w:val="false"/>
          <w:i w:val="false"/>
          <w:iCs w:val="false"/>
          <w:sz w:val="21"/>
          <w:szCs w:val="21"/>
        </w:rPr>
        <w:t xml:space="preserve"/>
      </w:r>
    </w:p>
    <w:p>
      <w:pPr>
        <w:pStyle w:val="Heading2"/>
      </w:pPr>
      <w:r>
        <w:t xml:space="preserve">The four representations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70"/>
      </w:tblGrid>
      <w:tr>
        <w:trPr>
          <w:tblHeader/>
        </w:trPr>
        <w:tc>
          <w:tcPr>
            <w:tcW w:type="dxa" w:w="2400"/>
            <w:shd w:fill="1F3864" w:color="auto" w:val="clear"/>
            <w:tcMar>
              <w:top w:type="dxa" w:w="60"/>
              <w:left w:type="dxa" w:w="90"/>
              <w:bottom w:type="dxa" w:w="60"/>
              <w:right w:type="dxa" w:w="90"/>
            </w:tcMar>
          </w:tcPr>
          <w:p>
            <w:pPr>
              <w:spacing w:after="0" w:line="240"/>
              <w:jc w:val="left"/>
            </w:pPr>
            <w:r>
              <w:rPr>
                <w:b/>
                <w:bCs/>
                <w:color w:val="FFFFFF"/>
                <w:sz w:val="18"/>
                <w:szCs w:val="18"/>
              </w:rPr>
              <w:t xml:space="preserve">Type</w:t>
            </w:r>
          </w:p>
        </w:tc>
        <w:tc>
          <w:tcPr>
            <w:tcW w:type="dxa" w:w="3400"/>
            <w:shd w:fill="1F3864" w:color="auto" w:val="clear"/>
            <w:tcMar>
              <w:top w:type="dxa" w:w="60"/>
              <w:left w:type="dxa" w:w="90"/>
              <w:bottom w:type="dxa" w:w="60"/>
              <w:right w:type="dxa" w:w="90"/>
            </w:tcMar>
          </w:tcPr>
          <w:p>
            <w:pPr>
              <w:spacing w:after="0" w:line="240"/>
              <w:jc w:val="left"/>
            </w:pPr>
            <w:r>
              <w:rPr>
                <w:b/>
                <w:bCs/>
                <w:color w:val="FFFFFF"/>
                <w:sz w:val="18"/>
                <w:szCs w:val="18"/>
              </w:rPr>
              <w:t xml:space="preserve">Recommended use</w:t>
            </w:r>
          </w:p>
        </w:tc>
        <w:tc>
          <w:tcPr>
            <w:tcW w:type="dxa" w:w="3270"/>
            <w:shd w:fill="1F3864" w:color="auto" w:val="clear"/>
            <w:tcMar>
              <w:top w:type="dxa" w:w="60"/>
              <w:left w:type="dxa" w:w="90"/>
              <w:bottom w:type="dxa" w:w="60"/>
              <w:right w:type="dxa" w:w="90"/>
            </w:tcMar>
          </w:tcPr>
          <w:p>
            <w:pPr>
              <w:spacing w:after="0" w:line="240"/>
              <w:jc w:val="left"/>
            </w:pPr>
            <w:r>
              <w:rPr>
                <w:b/>
                <w:bCs/>
                <w:color w:val="FFFFFF"/>
                <w:sz w:val="18"/>
                <w:szCs w:val="18"/>
              </w:rPr>
              <w:t xml:space="preserve">Avoid for</w:t>
            </w:r>
          </w:p>
        </w:tc>
      </w:tr>
      <w:tr>
        <w:tc>
          <w:tcPr>
            <w:tcW w:type="dxa" w:w="2400"/>
            <w:tcMar>
              <w:top w:type="dxa" w:w="60"/>
              <w:left w:type="dxa" w:w="90"/>
              <w:bottom w:type="dxa" w:w="60"/>
              <w:right w:type="dxa" w:w="90"/>
            </w:tcMar>
          </w:tcPr>
          <w:p>
            <w:pPr>
              <w:spacing w:after="0" w:line="240"/>
              <w:jc w:val="left"/>
            </w:pPr>
            <w:r>
              <w:rPr>
                <w:color w:val="000000"/>
                <w:sz w:val="18"/>
                <w:szCs w:val="18"/>
              </w:rPr>
              <w:t xml:space="preserve">Lines</w:t>
            </w:r>
          </w:p>
        </w:tc>
        <w:tc>
          <w:tcPr>
            <w:tcW w:type="dxa" w:w="3400"/>
            <w:tcMar>
              <w:top w:type="dxa" w:w="60"/>
              <w:left w:type="dxa" w:w="90"/>
              <w:bottom w:type="dxa" w:w="60"/>
              <w:right w:type="dxa" w:w="90"/>
            </w:tcMar>
          </w:tcPr>
          <w:p>
            <w:pPr>
              <w:spacing w:after="0" w:line="240"/>
              <w:jc w:val="left"/>
            </w:pPr>
            <w:r>
              <w:rPr>
                <w:color w:val="000000"/>
                <w:sz w:val="18"/>
                <w:szCs w:val="18"/>
              </w:rPr>
              <w:t xml:space="preserve">Movement of one or more series over time</w:t>
            </w:r>
          </w:p>
        </w:tc>
        <w:tc>
          <w:tcPr>
            <w:tcW w:type="dxa" w:w="3270"/>
            <w:tcMar>
              <w:top w:type="dxa" w:w="60"/>
              <w:left w:type="dxa" w:w="90"/>
              <w:bottom w:type="dxa" w:w="60"/>
              <w:right w:type="dxa" w:w="90"/>
            </w:tcMar>
          </w:tcPr>
          <w:p>
            <w:pPr>
              <w:spacing w:after="0" w:line="240"/>
              <w:jc w:val="left"/>
            </w:pPr>
            <w:r>
              <w:rPr>
                <w:color w:val="000000"/>
                <w:sz w:val="18"/>
                <w:szCs w:val="18"/>
              </w:rPr>
              <w:t xml:space="preserve">Series with many gaps</w:t>
            </w:r>
          </w:p>
        </w:tc>
      </w:tr>
      <w:tr>
        <w:tc>
          <w:tcPr>
            <w:tcW w:type="dxa" w:w="2400"/>
            <w:shd w:fill="F4F6F9" w:color="auto" w:val="clear"/>
            <w:tcMar>
              <w:top w:type="dxa" w:w="60"/>
              <w:left w:type="dxa" w:w="90"/>
              <w:bottom w:type="dxa" w:w="60"/>
              <w:right w:type="dxa" w:w="90"/>
            </w:tcMar>
          </w:tcPr>
          <w:p>
            <w:pPr>
              <w:spacing w:after="0" w:line="240"/>
              <w:jc w:val="left"/>
            </w:pPr>
            <w:r>
              <w:rPr>
                <w:color w:val="000000"/>
                <w:sz w:val="18"/>
                <w:szCs w:val="18"/>
              </w:rPr>
              <w:t xml:space="preserve">Bars</w:t>
            </w:r>
          </w:p>
        </w:tc>
        <w:tc>
          <w:tcPr>
            <w:tcW w:type="dxa" w:w="3400"/>
            <w:shd w:fill="F4F6F9" w:color="auto" w:val="clear"/>
            <w:tcMar>
              <w:top w:type="dxa" w:w="60"/>
              <w:left w:type="dxa" w:w="90"/>
              <w:bottom w:type="dxa" w:w="60"/>
              <w:right w:type="dxa" w:w="90"/>
            </w:tcMar>
          </w:tcPr>
          <w:p>
            <w:pPr>
              <w:spacing w:after="0" w:line="240"/>
              <w:jc w:val="left"/>
            </w:pPr>
            <w:r>
              <w:rPr>
                <w:color w:val="000000"/>
                <w:sz w:val="18"/>
                <w:szCs w:val="18"/>
              </w:rPr>
              <w:t xml:space="preserve">Comparing levels over few periods</w:t>
            </w:r>
          </w:p>
        </w:tc>
        <w:tc>
          <w:tcPr>
            <w:tcW w:type="dxa" w:w="3270"/>
            <w:shd w:fill="F4F6F9" w:color="auto" w:val="clear"/>
            <w:tcMar>
              <w:top w:type="dxa" w:w="60"/>
              <w:left w:type="dxa" w:w="90"/>
              <w:bottom w:type="dxa" w:w="60"/>
              <w:right w:type="dxa" w:w="90"/>
            </w:tcMar>
          </w:tcPr>
          <w:p>
            <w:pPr>
              <w:spacing w:after="0" w:line="240"/>
              <w:jc w:val="left"/>
            </w:pPr>
            <w:r>
              <w:rPr>
                <w:color w:val="000000"/>
                <w:sz w:val="18"/>
                <w:szCs w:val="18"/>
              </w:rPr>
              <w:t xml:space="preserve">Long series, unreadable</w:t>
            </w:r>
          </w:p>
        </w:tc>
      </w:tr>
      <w:tr>
        <w:tc>
          <w:tcPr>
            <w:tcW w:type="dxa" w:w="2400"/>
            <w:tcMar>
              <w:top w:type="dxa" w:w="60"/>
              <w:left w:type="dxa" w:w="90"/>
              <w:bottom w:type="dxa" w:w="60"/>
              <w:right w:type="dxa" w:w="90"/>
            </w:tcMar>
          </w:tcPr>
          <w:p>
            <w:pPr>
              <w:spacing w:after="0" w:line="240"/>
              <w:jc w:val="left"/>
            </w:pPr>
            <w:r>
              <w:rPr>
                <w:color w:val="000000"/>
                <w:sz w:val="18"/>
                <w:szCs w:val="18"/>
              </w:rPr>
              <w:t xml:space="preserve">Areas</w:t>
            </w:r>
          </w:p>
        </w:tc>
        <w:tc>
          <w:tcPr>
            <w:tcW w:type="dxa" w:w="3400"/>
            <w:tcMar>
              <w:top w:type="dxa" w:w="60"/>
              <w:left w:type="dxa" w:w="90"/>
              <w:bottom w:type="dxa" w:w="60"/>
              <w:right w:type="dxa" w:w="90"/>
            </w:tcMar>
          </w:tcPr>
          <w:p>
            <w:pPr>
              <w:spacing w:after="0" w:line="240"/>
              <w:jc w:val="left"/>
            </w:pPr>
            <w:r>
              <w:rPr>
                <w:color w:val="000000"/>
                <w:sz w:val="18"/>
                <w:szCs w:val="18"/>
              </w:rPr>
              <w:t xml:space="preserve">Movement with emphasis on level</w:t>
            </w:r>
          </w:p>
        </w:tc>
        <w:tc>
          <w:tcPr>
            <w:tcW w:type="dxa" w:w="3270"/>
            <w:tcMar>
              <w:top w:type="dxa" w:w="60"/>
              <w:left w:type="dxa" w:w="90"/>
              <w:bottom w:type="dxa" w:w="60"/>
              <w:right w:type="dxa" w:w="90"/>
            </w:tcMar>
          </w:tcPr>
          <w:p>
            <w:pPr>
              <w:spacing w:after="0" w:line="240"/>
              <w:jc w:val="left"/>
            </w:pPr>
            <w:r>
              <w:rPr>
                <w:color w:val="000000"/>
                <w:sz w:val="18"/>
                <w:szCs w:val="18"/>
              </w:rPr>
              <w:t xml:space="preserve">More than three overlaid series</w:t>
            </w:r>
          </w:p>
        </w:tc>
      </w:tr>
      <w:tr>
        <w:tc>
          <w:tcPr>
            <w:tcW w:type="dxa" w:w="2400"/>
            <w:shd w:fill="F4F6F9" w:color="auto" w:val="clear"/>
            <w:tcMar>
              <w:top w:type="dxa" w:w="60"/>
              <w:left w:type="dxa" w:w="90"/>
              <w:bottom w:type="dxa" w:w="60"/>
              <w:right w:type="dxa" w:w="90"/>
            </w:tcMar>
          </w:tcPr>
          <w:p>
            <w:pPr>
              <w:spacing w:after="0" w:line="240"/>
              <w:jc w:val="left"/>
            </w:pPr>
            <w:r>
              <w:rPr>
                <w:color w:val="000000"/>
                <w:sz w:val="18"/>
                <w:szCs w:val="18"/>
              </w:rPr>
              <w:t xml:space="preserve">Pie chart</w:t>
            </w:r>
          </w:p>
        </w:tc>
        <w:tc>
          <w:tcPr>
            <w:tcW w:type="dxa" w:w="3400"/>
            <w:shd w:fill="F4F6F9" w:color="auto" w:val="clear"/>
            <w:tcMar>
              <w:top w:type="dxa" w:w="60"/>
              <w:left w:type="dxa" w:w="90"/>
              <w:bottom w:type="dxa" w:w="60"/>
              <w:right w:type="dxa" w:w="90"/>
            </w:tcMar>
          </w:tcPr>
          <w:p>
            <w:pPr>
              <w:spacing w:after="0" w:line="240"/>
              <w:jc w:val="left"/>
            </w:pPr>
            <w:r>
              <w:rPr>
                <w:color w:val="000000"/>
                <w:sz w:val="18"/>
                <w:szCs w:val="18"/>
              </w:rPr>
              <w:t xml:space="preserve">Split across countries of an additive quantity</w:t>
            </w:r>
          </w:p>
        </w:tc>
        <w:tc>
          <w:tcPr>
            <w:tcW w:type="dxa" w:w="3270"/>
            <w:shd w:fill="F4F6F9" w:color="auto" w:val="clear"/>
            <w:tcMar>
              <w:top w:type="dxa" w:w="60"/>
              <w:left w:type="dxa" w:w="90"/>
              <w:bottom w:type="dxa" w:w="60"/>
              <w:right w:type="dxa" w:w="90"/>
            </w:tcMar>
          </w:tcPr>
          <w:p>
            <w:pPr>
              <w:spacing w:after="0" w:line="240"/>
              <w:jc w:val="left"/>
            </w:pPr>
            <w:r>
              <w:rPr>
                <w:color w:val="000000"/>
                <w:sz w:val="18"/>
                <w:szCs w:val="18"/>
              </w:rPr>
              <w:t xml:space="preserve">Percentages, indices, ranks</w:t>
            </w:r>
          </w:p>
        </w:tc>
      </w:tr>
    </w:tbl>
    <w:p>
      <w:pPr>
        <w:spacing w:after="220" w:before="90"/>
        <w:jc w:val="center"/>
      </w:pPr>
      <w:r>
        <w:rPr>
          <w:i/>
          <w:iCs/>
          <w:color w:val="5C6672"/>
          <w:sz w:val="17"/>
          <w:szCs w:val="17"/>
        </w:rPr>
        <w:t xml:space="preserve">Table 4 – Chart types and recommended use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left w:val="single" w:color="C8A24A" w:sz="18"/>
              <w:bottom w:val="none"/>
              <w:right w:val="none"/>
            </w:tcBorders>
            <w:shd w:fill="EEF2F8" w:color="auto" w:val="clear"/>
            <w:tcMar>
              <w:top w:type="dxa" w:w="60"/>
              <w:left w:type="dxa" w:w="90"/>
              <w:bottom w:type="dxa" w:w="60"/>
              <w:right w:type="dxa" w:w="90"/>
            </w:tcMar>
          </w:tcPr>
          <w:p>
            <w:pPr>
              <w:spacing w:after="70" w:line="276"/>
              <w:jc w:val="left"/>
            </w:pPr>
            <w:r>
              <w:rPr>
                <w:b/>
                <w:bCs/>
                <w:color w:val="1F3864"/>
                <w:sz w:val="19"/>
                <w:szCs w:val="19"/>
              </w:rPr>
              <w:t xml:space="preserve">A pie chart sums the values</w:t>
            </w:r>
          </w:p>
          <w:p>
            <w:pPr>
              <w:spacing w:after="0" w:line="276"/>
              <w:jc w:val="both"/>
            </w:pPr>
            <w:r>
              <w:rPr>
                <w:b w:val="false"/>
                <w:bCs w:val="false"/>
                <w:color w:val="000000"/>
                <w:sz w:val="19"/>
                <w:szCs w:val="19"/>
              </w:rPr>
              <w:t xml:space="preserve">It keeps only the last displayed period, whose year appears in the title, and discards zero or negative values. Above all, it sums what it shows. For exports in dollars, that total means something. For shares of gross domestic product, indices or ranks, it means nothing: the platform still draws the chart but displays a warning. Do not circulate it in that case.</w:t>
            </w:r>
          </w:p>
        </w:tc>
      </w:tr>
    </w:tbl>
    <w:p>
      <w:pPr>
        <w:spacing w:after="200" w:line="288"/>
        <w:jc w:val="both"/>
      </w:pPr>
      <w:r>
        <w:rPr>
          <w:b w:val="false"/>
          <w:bCs w:val="false"/>
          <w:i w:val="false"/>
          <w:iCs w:val="false"/>
          <w:sz w:val="21"/>
          <w:szCs w:val="21"/>
        </w:rPr>
        <w:t xml:space="preserve"/>
      </w:r>
    </w:p>
    <w:p>
      <w:pPr>
        <w:spacing w:after="140" w:line="288"/>
        <w:jc w:val="both"/>
      </w:pPr>
      <w:r>
        <w:rPr>
          <w:b w:val="false"/>
          <w:bCs w:val="false"/>
          <w:i w:val="false"/>
          <w:iCs w:val="false"/>
          <w:sz w:val="21"/>
          <w:szCs w:val="21"/>
        </w:rPr>
        <w:t xml:space="preserve">A series with gaps is drawn as a dashed line and never interpolated: joining two points several years apart with a solid line would suggest a movement that was not observed.</w:t>
      </w:r>
    </w:p>
    <w:p>
      <w:pPr>
        <w:pStyle w:val="Heading2"/>
      </w:pPr>
      <w:r>
        <w:t xml:space="preserve">Projections</w:t>
      </w:r>
    </w:p>
    <w:p>
      <w:pPr>
        <w:spacing w:after="140" w:line="288"/>
        <w:jc w:val="both"/>
      </w:pPr>
      <w:r>
        <w:rPr>
          <w:b w:val="false"/>
          <w:bCs w:val="false"/>
          <w:i w:val="false"/>
          <w:iCs w:val="false"/>
          <w:sz w:val="21"/>
          <w:szCs w:val="21"/>
        </w:rPr>
        <w:t xml:space="preserve">Three extension methods are offered, each with its interval. They apply to the first selected country and require at least five annual observations.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70"/>
      </w:tblGrid>
      <w:tr>
        <w:trPr>
          <w:tblHeader/>
        </w:trPr>
        <w:tc>
          <w:tcPr>
            <w:tcW w:type="dxa" w:w="2400"/>
            <w:shd w:fill="1F3864" w:color="auto" w:val="clear"/>
            <w:tcMar>
              <w:top w:type="dxa" w:w="60"/>
              <w:left w:type="dxa" w:w="90"/>
              <w:bottom w:type="dxa" w:w="60"/>
              <w:right w:type="dxa" w:w="90"/>
            </w:tcMar>
          </w:tcPr>
          <w:p>
            <w:pPr>
              <w:spacing w:after="0" w:line="240"/>
              <w:jc w:val="left"/>
            </w:pPr>
            <w:r>
              <w:rPr>
                <w:b/>
                <w:bCs/>
                <w:color w:val="FFFFFF"/>
                <w:sz w:val="18"/>
                <w:szCs w:val="18"/>
              </w:rPr>
              <w:t xml:space="preserve">Method</w:t>
            </w:r>
          </w:p>
        </w:tc>
        <w:tc>
          <w:tcPr>
            <w:tcW w:type="dxa" w:w="3400"/>
            <w:shd w:fill="1F3864" w:color="auto" w:val="clear"/>
            <w:tcMar>
              <w:top w:type="dxa" w:w="60"/>
              <w:left w:type="dxa" w:w="90"/>
              <w:bottom w:type="dxa" w:w="60"/>
              <w:right w:type="dxa" w:w="90"/>
            </w:tcMar>
          </w:tcPr>
          <w:p>
            <w:pPr>
              <w:spacing w:after="0" w:line="240"/>
              <w:jc w:val="left"/>
            </w:pPr>
            <w:r>
              <w:rPr>
                <w:b/>
                <w:bCs/>
                <w:color w:val="FFFFFF"/>
                <w:sz w:val="18"/>
                <w:szCs w:val="18"/>
              </w:rPr>
              <w:t xml:space="preserve">Principle</w:t>
            </w:r>
          </w:p>
        </w:tc>
        <w:tc>
          <w:tcPr>
            <w:tcW w:type="dxa" w:w="3270"/>
            <w:shd w:fill="1F3864" w:color="auto" w:val="clear"/>
            <w:tcMar>
              <w:top w:type="dxa" w:w="60"/>
              <w:left w:type="dxa" w:w="90"/>
              <w:bottom w:type="dxa" w:w="60"/>
              <w:right w:type="dxa" w:w="90"/>
            </w:tcMar>
          </w:tcPr>
          <w:p>
            <w:pPr>
              <w:spacing w:after="0" w:line="240"/>
              <w:jc w:val="left"/>
            </w:pPr>
            <w:r>
              <w:rPr>
                <w:b/>
                <w:bCs/>
                <w:color w:val="FFFFFF"/>
                <w:sz w:val="18"/>
                <w:szCs w:val="18"/>
              </w:rPr>
              <w:t xml:space="preserve">Behaviour</w:t>
            </w:r>
          </w:p>
        </w:tc>
      </w:tr>
      <w:tr>
        <w:tc>
          <w:tcPr>
            <w:tcW w:type="dxa" w:w="2400"/>
            <w:tcMar>
              <w:top w:type="dxa" w:w="60"/>
              <w:left w:type="dxa" w:w="90"/>
              <w:bottom w:type="dxa" w:w="60"/>
              <w:right w:type="dxa" w:w="90"/>
            </w:tcMar>
          </w:tcPr>
          <w:p>
            <w:pPr>
              <w:spacing w:after="0" w:line="240"/>
              <w:jc w:val="left"/>
            </w:pPr>
            <w:r>
              <w:rPr>
                <w:color w:val="000000"/>
                <w:sz w:val="18"/>
                <w:szCs w:val="18"/>
              </w:rPr>
              <w:t xml:space="preserve">Linear trend</w:t>
            </w:r>
          </w:p>
        </w:tc>
        <w:tc>
          <w:tcPr>
            <w:tcW w:type="dxa" w:w="3400"/>
            <w:tcMar>
              <w:top w:type="dxa" w:w="60"/>
              <w:left w:type="dxa" w:w="90"/>
              <w:bottom w:type="dxa" w:w="60"/>
              <w:right w:type="dxa" w:w="90"/>
            </w:tcMar>
          </w:tcPr>
          <w:p>
            <w:pPr>
              <w:spacing w:after="0" w:line="240"/>
              <w:jc w:val="left"/>
            </w:pPr>
            <w:r>
              <w:rPr>
                <w:color w:val="000000"/>
                <w:sz w:val="18"/>
                <w:szCs w:val="18"/>
              </w:rPr>
              <w:t xml:space="preserve">Ordinary least squares on time</w:t>
            </w:r>
          </w:p>
        </w:tc>
        <w:tc>
          <w:tcPr>
            <w:tcW w:type="dxa" w:w="3270"/>
            <w:tcMar>
              <w:top w:type="dxa" w:w="60"/>
              <w:left w:type="dxa" w:w="90"/>
              <w:bottom w:type="dxa" w:w="60"/>
              <w:right w:type="dxa" w:w="90"/>
            </w:tcMar>
          </w:tcPr>
          <w:p>
            <w:pPr>
              <w:spacing w:after="0" w:line="240"/>
              <w:jc w:val="left"/>
            </w:pPr>
            <w:r>
              <w:rPr>
                <w:color w:val="000000"/>
                <w:sz w:val="18"/>
                <w:szCs w:val="18"/>
              </w:rPr>
              <w:t xml:space="preserve">Robust, blind to regime breaks</w:t>
            </w:r>
          </w:p>
        </w:tc>
      </w:tr>
      <w:tr>
        <w:tc>
          <w:tcPr>
            <w:tcW w:type="dxa" w:w="2400"/>
            <w:shd w:fill="F4F6F9" w:color="auto" w:val="clear"/>
            <w:tcMar>
              <w:top w:type="dxa" w:w="60"/>
              <w:left w:type="dxa" w:w="90"/>
              <w:bottom w:type="dxa" w:w="60"/>
              <w:right w:type="dxa" w:w="90"/>
            </w:tcMar>
          </w:tcPr>
          <w:p>
            <w:pPr>
              <w:spacing w:after="0" w:line="240"/>
              <w:jc w:val="left"/>
            </w:pPr>
            <w:r>
              <w:rPr>
                <w:color w:val="000000"/>
                <w:sz w:val="18"/>
                <w:szCs w:val="18"/>
              </w:rPr>
              <w:t xml:space="preserve">Random walk with drift</w:t>
            </w:r>
          </w:p>
        </w:tc>
        <w:tc>
          <w:tcPr>
            <w:tcW w:type="dxa" w:w="3400"/>
            <w:shd w:fill="F4F6F9" w:color="auto" w:val="clear"/>
            <w:tcMar>
              <w:top w:type="dxa" w:w="60"/>
              <w:left w:type="dxa" w:w="90"/>
              <w:bottom w:type="dxa" w:w="60"/>
              <w:right w:type="dxa" w:w="90"/>
            </w:tcMar>
          </w:tcPr>
          <w:p>
            <w:pPr>
              <w:spacing w:after="0" w:line="240"/>
              <w:jc w:val="left"/>
            </w:pPr>
            <w:r>
              <w:rPr>
                <w:color w:val="000000"/>
                <w:sz w:val="18"/>
                <w:szCs w:val="18"/>
              </w:rPr>
              <w:t xml:space="preserve">Extends the mean of recent changes</w:t>
            </w:r>
          </w:p>
        </w:tc>
        <w:tc>
          <w:tcPr>
            <w:tcW w:type="dxa" w:w="3270"/>
            <w:shd w:fill="F4F6F9" w:color="auto" w:val="clear"/>
            <w:tcMar>
              <w:top w:type="dxa" w:w="60"/>
              <w:left w:type="dxa" w:w="90"/>
              <w:bottom w:type="dxa" w:w="60"/>
              <w:right w:type="dxa" w:w="90"/>
            </w:tcMar>
          </w:tcPr>
          <w:p>
            <w:pPr>
              <w:spacing w:after="0" w:line="240"/>
              <w:jc w:val="left"/>
            </w:pPr>
            <w:r>
              <w:rPr>
                <w:color w:val="000000"/>
                <w:sz w:val="18"/>
                <w:szCs w:val="18"/>
              </w:rPr>
              <w:t xml:space="preserve">The most neutral benchmark</w:t>
            </w:r>
          </w:p>
        </w:tc>
      </w:tr>
      <w:tr>
        <w:tc>
          <w:tcPr>
            <w:tcW w:type="dxa" w:w="2400"/>
            <w:tcMar>
              <w:top w:type="dxa" w:w="60"/>
              <w:left w:type="dxa" w:w="90"/>
              <w:bottom w:type="dxa" w:w="60"/>
              <w:right w:type="dxa" w:w="90"/>
            </w:tcMar>
          </w:tcPr>
          <w:p>
            <w:pPr>
              <w:spacing w:after="0" w:line="240"/>
              <w:jc w:val="left"/>
            </w:pPr>
            <w:r>
              <w:rPr>
                <w:color w:val="000000"/>
                <w:sz w:val="18"/>
                <w:szCs w:val="18"/>
              </w:rPr>
              <w:t xml:space="preserve">Holt smoothing</w:t>
            </w:r>
          </w:p>
        </w:tc>
        <w:tc>
          <w:tcPr>
            <w:tcW w:type="dxa" w:w="3400"/>
            <w:tcMar>
              <w:top w:type="dxa" w:w="60"/>
              <w:left w:type="dxa" w:w="90"/>
              <w:bottom w:type="dxa" w:w="60"/>
              <w:right w:type="dxa" w:w="90"/>
            </w:tcMar>
          </w:tcPr>
          <w:p>
            <w:pPr>
              <w:spacing w:after="0" w:line="240"/>
              <w:jc w:val="left"/>
            </w:pPr>
            <w:r>
              <w:rPr>
                <w:color w:val="000000"/>
                <w:sz w:val="18"/>
                <w:szCs w:val="18"/>
              </w:rPr>
              <w:t xml:space="preserve">Exponential smoothing with trend</w:t>
            </w:r>
          </w:p>
        </w:tc>
        <w:tc>
          <w:tcPr>
            <w:tcW w:type="dxa" w:w="3270"/>
            <w:tcMar>
              <w:top w:type="dxa" w:w="60"/>
              <w:left w:type="dxa" w:w="90"/>
              <w:bottom w:type="dxa" w:w="60"/>
              <w:right w:type="dxa" w:w="90"/>
            </w:tcMar>
          </w:tcPr>
          <w:p>
            <w:pPr>
              <w:spacing w:after="0" w:line="240"/>
              <w:jc w:val="left"/>
            </w:pPr>
            <w:r>
              <w:rPr>
                <w:color w:val="000000"/>
                <w:sz w:val="18"/>
                <w:szCs w:val="18"/>
              </w:rPr>
              <w:t xml:space="preserve">Reacts better to recent turning points</w:t>
            </w:r>
          </w:p>
        </w:tc>
      </w:tr>
    </w:tbl>
    <w:p>
      <w:pPr>
        <w:spacing w:after="220" w:before="90"/>
        <w:jc w:val="center"/>
      </w:pPr>
      <w:r>
        <w:rPr>
          <w:i/>
          <w:iCs/>
          <w:color w:val="5C6672"/>
          <w:sz w:val="17"/>
          <w:szCs w:val="17"/>
        </w:rPr>
        <w:t xml:space="preserve">Table 5 – Projection methods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left w:val="single" w:color="C8A24A" w:sz="18"/>
              <w:bottom w:val="none"/>
              <w:right w:val="none"/>
            </w:tcBorders>
            <w:shd w:fill="EEF2F8" w:color="auto" w:val="clear"/>
            <w:tcMar>
              <w:top w:type="dxa" w:w="60"/>
              <w:left w:type="dxa" w:w="90"/>
              <w:bottom w:type="dxa" w:w="60"/>
              <w:right w:type="dxa" w:w="90"/>
            </w:tcMar>
          </w:tcPr>
          <w:p>
            <w:pPr>
              <w:spacing w:after="70" w:line="276"/>
              <w:jc w:val="left"/>
            </w:pPr>
            <w:r>
              <w:rPr>
                <w:b/>
                <w:bCs/>
                <w:color w:val="1F3864"/>
                <w:sz w:val="19"/>
                <w:szCs w:val="19"/>
              </w:rPr>
              <w:t xml:space="preserve">What these projections are not</w:t>
            </w:r>
          </w:p>
          <w:p>
            <w:pPr>
              <w:spacing w:after="0" w:line="276"/>
              <w:jc w:val="both"/>
            </w:pPr>
            <w:r>
              <w:rPr>
                <w:b w:val="false"/>
                <w:bCs w:val="false"/>
                <w:color w:val="000000"/>
                <w:sz w:val="19"/>
                <w:szCs w:val="19"/>
              </w:rPr>
              <w:t xml:space="preserve">They are mechanical extensions of the observed series. They embed no policy assumption, no shock and no information outside the series itself. They must never be presented as a ministry forecast. For a macroeconomic framework, the tool is OPESc.</w:t>
            </w:r>
          </w:p>
        </w:tc>
      </w:tr>
    </w:tbl>
    <w:p>
      <w:pPr>
        <w:spacing w:after="200" w:line="288"/>
        <w:jc w:val="both"/>
      </w:pPr>
      <w:r>
        <w:rPr>
          <w:b w:val="false"/>
          <w:bCs w:val="false"/>
          <w:i w:val="false"/>
          <w:iCs w:val="false"/>
          <w:sz w:val="21"/>
          <w:szCs w:val="21"/>
        </w:rPr>
        <w:t xml:space="preserve"/>
      </w:r>
    </w:p>
    <w:p>
      <w:pPr>
        <w:pStyle w:val="Heading2"/>
      </w:pPr>
      <w:r>
        <w:t xml:space="preserve">Exporting</w:t>
      </w:r>
    </w:p>
    <w:p>
      <w:pPr>
        <w:spacing w:after="140" w:line="288"/>
        <w:jc w:val="both"/>
      </w:pPr>
      <w:r>
        <w:rPr>
          <w:b w:val="false"/>
          <w:bCs w:val="false"/>
          <w:i w:val="false"/>
          <w:iCs w:val="false"/>
          <w:sz w:val="21"/>
          <w:szCs w:val="21"/>
        </w:rPr>
        <w:t xml:space="preserve">The Image button produces a PNG file on a white background at print resolution, ready to paste into a note. The Data button produces a workbook holding exactly the displayed selection, with its sources sheet.</w:t>
      </w:r>
    </w:p>
    <w:p>
      <w:r>
        <w:br w:type="page"/>
      </w:r>
    </w:p>
    <w:p>
      <w:pPr>
        <w:spacing w:after="60" w:before="0"/>
      </w:pPr>
      <w:r>
        <w:rPr>
          <w:b/>
          <w:bCs/>
          <w:color w:val="C8A24A"/>
          <w:sz w:val="20"/>
          <w:szCs w:val="20"/>
        </w:rPr>
        <w:t xml:space="preserve">Chapter 5</w:t>
      </w:r>
    </w:p>
    <w:p>
      <w:pPr>
        <w:pStyle w:val="Heading1"/>
        <w:spacing w:after="220" w:before="0"/>
      </w:pPr>
      <w:r>
        <w:t xml:space="preserve">Map analysis</w:t>
      </w:r>
    </w:p>
    <w:p>
      <w:pPr>
        <w:spacing w:after="140" w:line="288"/>
        <w:jc w:val="both"/>
      </w:pPr>
      <w:r>
        <w:rPr>
          <w:b w:val="false"/>
          <w:bCs w:val="false"/>
          <w:i w:val="false"/>
          <w:iCs w:val="false"/>
          <w:sz w:val="21"/>
          <w:szCs w:val="21"/>
        </w:rPr>
        <w:t xml:space="preserve">Below the chart, a world map shades countries by the indicator's value for a year chosen with the slider. A play button steps through the years automatically, showing a dynamic the chart cannot when countries are numerous.</w:t>
      </w:r>
    </w:p>
    <w:p>
      <w:pPr>
        <w:spacing w:after="140" w:line="288"/>
        <w:jc w:val="both"/>
      </w:pPr>
      <w:r>
        <w:rPr>
          <w:b w:val="false"/>
          <w:bCs w:val="false"/>
          <w:i w:val="false"/>
          <w:iCs w:val="false"/>
          <w:sz w:val="21"/>
          <w:szCs w:val="21"/>
        </w:rPr>
        <w:t xml:space="preserve">The map follows the first displayed indicator. Overlaying several indicators on one colour scale would make no sense, as the units are not comparable.</w:t>
      </w:r>
    </w:p>
    <w:p>
      <w:pPr>
        <w:pStyle w:val="Heading2"/>
      </w:pPr>
      <w:r>
        <w:t xml:space="preserve">Reading the scale</w:t>
      </w:r>
    </w:p>
    <w:p>
      <w:pPr>
        <w:spacing w:after="140" w:line="288"/>
        <w:jc w:val="both"/>
      </w:pPr>
      <w:r>
        <w:rPr>
          <w:b w:val="false"/>
          <w:bCs w:val="false"/>
          <w:i w:val="false"/>
          <w:iCs w:val="false"/>
          <w:sz w:val="21"/>
          <w:szCs w:val="21"/>
        </w:rPr>
        <w:t xml:space="preserve">The scale is capped at the 2nd and 98th percentiles of the distribution. Without that precaution, a few extreme values would give every other country the same shade: on public debt, a handful of countries above 200 per cent of gross domestic product would flatten the whole reading. The tooltip always shows the real, uncapped value.</w:t>
      </w:r>
    </w:p>
    <w:p>
      <w:pPr>
        <w:spacing w:after="140" w:line="288"/>
        <w:jc w:val="both"/>
      </w:pPr>
      <w:r>
        <w:rPr>
          <w:b w:val="false"/>
          <w:bCs w:val="false"/>
          <w:i w:val="false"/>
          <w:iCs w:val="false"/>
          <w:sz w:val="21"/>
          <w:szCs w:val="21"/>
        </w:rPr>
        <w:t xml:space="preserve">Regional aggregates are excluded from the map as from rankings. Countries in your selection are outlined more heavily.</w:t>
      </w:r>
    </w:p>
    <w:p>
      <w:pPr>
        <w:pStyle w:val="Heading2"/>
      </w:pPr>
      <w:r>
        <w:t xml:space="preserve">The country profile</w:t>
      </w:r>
    </w:p>
    <w:p>
      <w:pPr>
        <w:spacing w:after="140" w:line="288"/>
        <w:jc w:val="both"/>
      </w:pPr>
      <w:r>
        <w:rPr>
          <w:b w:val="false"/>
          <w:bCs w:val="false"/>
          <w:i w:val="false"/>
          <w:iCs w:val="false"/>
          <w:sz w:val="21"/>
          <w:szCs w:val="21"/>
        </w:rPr>
        <w:t xml:space="preserve">Clicking a country opens its panel on the right: flag, official language, region, income group, indicator value and world rank for the displayed year. The Ranking button exports the full ranking for that year.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left w:val="single" w:color="C8A24A" w:sz="18"/>
              <w:bottom w:val="none"/>
              <w:right w:val="none"/>
            </w:tcBorders>
            <w:shd w:fill="EEF2F8" w:color="auto" w:val="clear"/>
            <w:tcMar>
              <w:top w:type="dxa" w:w="60"/>
              <w:left w:type="dxa" w:w="90"/>
              <w:bottom w:type="dxa" w:w="60"/>
              <w:right w:type="dxa" w:w="90"/>
            </w:tcMar>
          </w:tcPr>
          <w:p>
            <w:pPr>
              <w:spacing w:after="70" w:line="276"/>
              <w:jc w:val="left"/>
            </w:pPr>
            <w:r>
              <w:rPr>
                <w:b/>
                <w:bCs/>
                <w:color w:val="1F3864"/>
                <w:sz w:val="19"/>
                <w:szCs w:val="19"/>
              </w:rPr>
              <w:t xml:space="preserve">Where the country details come from</w:t>
            </w:r>
          </w:p>
          <w:p>
            <w:pPr>
              <w:spacing w:after="0" w:line="276"/>
              <w:jc w:val="both"/>
            </w:pPr>
            <w:r>
              <w:rPr>
                <w:b w:val="false"/>
                <w:bCs w:val="false"/>
                <w:color w:val="000000"/>
                <w:sz w:val="19"/>
                <w:szCs w:val="19"/>
              </w:rPr>
              <w:t xml:space="preserve">The two-letter codes and official languages of 216 countries come from no statistical source: they are maintained by hand in a project file, editable without touching the code. A country missing from that table shows empty fields rather than breaking the map.</w:t>
            </w:r>
          </w:p>
        </w:tc>
      </w:tr>
    </w:tbl>
    <w:p>
      <w:pPr>
        <w:spacing w:after="200" w:line="288"/>
        <w:jc w:val="both"/>
      </w:pPr>
      <w:r>
        <w:rPr>
          <w:b w:val="false"/>
          <w:bCs w:val="false"/>
          <w:i w:val="false"/>
          <w:iCs w:val="false"/>
          <w:sz w:val="21"/>
          <w:szCs w:val="21"/>
        </w:rPr>
        <w:t xml:space="preserve"/>
      </w:r>
    </w:p>
    <w:p>
      <w:r>
        <w:br w:type="page"/>
      </w:r>
    </w:p>
    <w:p>
      <w:pPr>
        <w:spacing w:after="60" w:before="0"/>
      </w:pPr>
      <w:r>
        <w:rPr>
          <w:b/>
          <w:bCs/>
          <w:color w:val="C8A24A"/>
          <w:sz w:val="20"/>
          <w:szCs w:val="20"/>
        </w:rPr>
        <w:t xml:space="preserve">Chapter 6</w:t>
      </w:r>
    </w:p>
    <w:p>
      <w:pPr>
        <w:pStyle w:val="Heading1"/>
        <w:spacing w:after="220" w:before="0"/>
      </w:pPr>
      <w:r>
        <w:t xml:space="preserve">The database</w:t>
      </w:r>
    </w:p>
    <w:p>
      <w:pPr>
        <w:spacing w:after="140" w:line="288"/>
        <w:jc w:val="both"/>
      </w:pPr>
      <w:r>
        <w:rPr>
          <w:b w:val="false"/>
          <w:bCs w:val="false"/>
          <w:i w:val="false"/>
          <w:iCs w:val="false"/>
          <w:sz w:val="21"/>
          <w:szCs w:val="21"/>
        </w:rPr>
        <w:t xml:space="preserve">This tab gives access to the database without going through a chart. Filters cover category, indicators, countries, frequency and years.</w:t>
      </w:r>
    </w:p>
    <w:p>
      <w:pPr>
        <w:spacing w:after="140" w:line="288"/>
        <w:jc w:val="both"/>
      </w:pPr>
      <w:r>
        <w:rPr>
          <w:b w:val="false"/>
          <w:bCs w:val="false"/>
          <w:i w:val="false"/>
          <w:iCs w:val="false"/>
          <w:sz w:val="21"/>
          <w:szCs w:val="21"/>
        </w:rPr>
        <w:t xml:space="preserve">The table shows the first thousand rows; the download covers the whole selection. Spreadsheet is the only download format offered, in two layouts.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70"/>
      </w:tblGrid>
      <w:tr>
        <w:trPr>
          <w:tblHeader/>
        </w:trPr>
        <w:tc>
          <w:tcPr>
            <w:tcW w:type="dxa" w:w="2400"/>
            <w:shd w:fill="1F3864" w:color="auto" w:val="clear"/>
            <w:tcMar>
              <w:top w:type="dxa" w:w="60"/>
              <w:left w:type="dxa" w:w="90"/>
              <w:bottom w:type="dxa" w:w="60"/>
              <w:right w:type="dxa" w:w="90"/>
            </w:tcMar>
          </w:tcPr>
          <w:p>
            <w:pPr>
              <w:spacing w:after="0" w:line="240"/>
              <w:jc w:val="left"/>
            </w:pPr>
            <w:r>
              <w:rPr>
                <w:b/>
                <w:bCs/>
                <w:color w:val="FFFFFF"/>
                <w:sz w:val="18"/>
                <w:szCs w:val="18"/>
              </w:rPr>
              <w:t xml:space="preserve">Layout</w:t>
            </w:r>
          </w:p>
        </w:tc>
        <w:tc>
          <w:tcPr>
            <w:tcW w:type="dxa" w:w="3400"/>
            <w:shd w:fill="1F3864" w:color="auto" w:val="clear"/>
            <w:tcMar>
              <w:top w:type="dxa" w:w="60"/>
              <w:left w:type="dxa" w:w="90"/>
              <w:bottom w:type="dxa" w:w="60"/>
              <w:right w:type="dxa" w:w="90"/>
            </w:tcMar>
          </w:tcPr>
          <w:p>
            <w:pPr>
              <w:spacing w:after="0" w:line="240"/>
              <w:jc w:val="left"/>
            </w:pPr>
            <w:r>
              <w:rPr>
                <w:b/>
                <w:bCs/>
                <w:color w:val="FFFFFF"/>
                <w:sz w:val="18"/>
                <w:szCs w:val="18"/>
              </w:rPr>
              <w:t xml:space="preserve">Structure</w:t>
            </w:r>
          </w:p>
        </w:tc>
        <w:tc>
          <w:tcPr>
            <w:tcW w:type="dxa" w:w="3270"/>
            <w:shd w:fill="1F3864" w:color="auto" w:val="clear"/>
            <w:tcMar>
              <w:top w:type="dxa" w:w="60"/>
              <w:left w:type="dxa" w:w="90"/>
              <w:bottom w:type="dxa" w:w="60"/>
              <w:right w:type="dxa" w:w="90"/>
            </w:tcMar>
          </w:tcPr>
          <w:p>
            <w:pPr>
              <w:spacing w:after="0" w:line="240"/>
              <w:jc w:val="left"/>
            </w:pPr>
            <w:r>
              <w:rPr>
                <w:b/>
                <w:bCs/>
                <w:color w:val="FFFFFF"/>
                <w:sz w:val="18"/>
                <w:szCs w:val="18"/>
              </w:rPr>
              <w:t xml:space="preserve">Use</w:t>
            </w:r>
          </w:p>
        </w:tc>
      </w:tr>
      <w:tr>
        <w:tc>
          <w:tcPr>
            <w:tcW w:type="dxa" w:w="2400"/>
            <w:tcMar>
              <w:top w:type="dxa" w:w="60"/>
              <w:left w:type="dxa" w:w="90"/>
              <w:bottom w:type="dxa" w:w="60"/>
              <w:right w:type="dxa" w:w="90"/>
            </w:tcMar>
          </w:tcPr>
          <w:p>
            <w:pPr>
              <w:spacing w:after="0" w:line="240"/>
              <w:jc w:val="left"/>
            </w:pPr>
            <w:r>
              <w:rPr>
                <w:color w:val="000000"/>
                <w:sz w:val="18"/>
                <w:szCs w:val="18"/>
              </w:rPr>
              <w:t xml:space="preserve">Long format</w:t>
            </w:r>
          </w:p>
        </w:tc>
        <w:tc>
          <w:tcPr>
            <w:tcW w:type="dxa" w:w="3400"/>
            <w:tcMar>
              <w:top w:type="dxa" w:w="60"/>
              <w:left w:type="dxa" w:w="90"/>
              <w:bottom w:type="dxa" w:w="60"/>
              <w:right w:type="dxa" w:w="90"/>
            </w:tcMar>
          </w:tcPr>
          <w:p>
            <w:pPr>
              <w:spacing w:after="0" w:line="240"/>
              <w:jc w:val="left"/>
            </w:pPr>
            <w:r>
              <w:rPr>
                <w:color w:val="000000"/>
                <w:sz w:val="18"/>
                <w:szCs w:val="18"/>
              </w:rPr>
              <w:t xml:space="preserve">One row per observation</w:t>
            </w:r>
          </w:p>
        </w:tc>
        <w:tc>
          <w:tcPr>
            <w:tcW w:type="dxa" w:w="3270"/>
            <w:tcMar>
              <w:top w:type="dxa" w:w="60"/>
              <w:left w:type="dxa" w:w="90"/>
              <w:bottom w:type="dxa" w:w="60"/>
              <w:right w:type="dxa" w:w="90"/>
            </w:tcMar>
          </w:tcPr>
          <w:p>
            <w:pPr>
              <w:spacing w:after="0" w:line="240"/>
              <w:jc w:val="left"/>
            </w:pPr>
            <w:r>
              <w:rPr>
                <w:color w:val="000000"/>
                <w:sz w:val="18"/>
                <w:szCs w:val="18"/>
              </w:rPr>
              <w:t xml:space="preserve">Statistical processing, import into analysis software</w:t>
            </w:r>
          </w:p>
        </w:tc>
      </w:tr>
      <w:tr>
        <w:tc>
          <w:tcPr>
            <w:tcW w:type="dxa" w:w="2400"/>
            <w:shd w:fill="F4F6F9" w:color="auto" w:val="clear"/>
            <w:tcMar>
              <w:top w:type="dxa" w:w="60"/>
              <w:left w:type="dxa" w:w="90"/>
              <w:bottom w:type="dxa" w:w="60"/>
              <w:right w:type="dxa" w:w="90"/>
            </w:tcMar>
          </w:tcPr>
          <w:p>
            <w:pPr>
              <w:spacing w:after="0" w:line="240"/>
              <w:jc w:val="left"/>
            </w:pPr>
            <w:r>
              <w:rPr>
                <w:color w:val="000000"/>
                <w:sz w:val="18"/>
                <w:szCs w:val="18"/>
              </w:rPr>
              <w:t xml:space="preserve">Cross table</w:t>
            </w:r>
          </w:p>
        </w:tc>
        <w:tc>
          <w:tcPr>
            <w:tcW w:type="dxa" w:w="3400"/>
            <w:shd w:fill="F4F6F9" w:color="auto" w:val="clear"/>
            <w:tcMar>
              <w:top w:type="dxa" w:w="60"/>
              <w:left w:type="dxa" w:w="90"/>
              <w:bottom w:type="dxa" w:w="60"/>
              <w:right w:type="dxa" w:w="90"/>
            </w:tcMar>
          </w:tcPr>
          <w:p>
            <w:pPr>
              <w:spacing w:after="0" w:line="240"/>
              <w:jc w:val="left"/>
            </w:pPr>
            <w:r>
              <w:rPr>
                <w:color w:val="000000"/>
                <w:sz w:val="18"/>
                <w:szCs w:val="18"/>
              </w:rPr>
              <w:t xml:space="preserve">One row per country and period, one column per indicator</w:t>
            </w:r>
          </w:p>
        </w:tc>
        <w:tc>
          <w:tcPr>
            <w:tcW w:type="dxa" w:w="3270"/>
            <w:shd w:fill="F4F6F9" w:color="auto" w:val="clear"/>
            <w:tcMar>
              <w:top w:type="dxa" w:w="60"/>
              <w:left w:type="dxa" w:w="90"/>
              <w:bottom w:type="dxa" w:w="60"/>
              <w:right w:type="dxa" w:w="90"/>
            </w:tcMar>
          </w:tcPr>
          <w:p>
            <w:pPr>
              <w:spacing w:after="0" w:line="240"/>
              <w:jc w:val="left"/>
            </w:pPr>
            <w:r>
              <w:rPr>
                <w:color w:val="000000"/>
                <w:sz w:val="18"/>
                <w:szCs w:val="18"/>
              </w:rPr>
              <w:t xml:space="preserve">Regression, table for a note</w:t>
            </w:r>
          </w:p>
        </w:tc>
      </w:tr>
    </w:tbl>
    <w:p>
      <w:pPr>
        <w:spacing w:after="220" w:before="90"/>
        <w:jc w:val="center"/>
      </w:pPr>
      <w:r>
        <w:rPr>
          <w:i/>
          <w:iCs/>
          <w:color w:val="5C6672"/>
          <w:sz w:val="17"/>
          <w:szCs w:val="17"/>
        </w:rPr>
        <w:t xml:space="preserve">Table 6 – The two export layouts</w:t>
      </w:r>
    </w:p>
    <w:p>
      <w:pPr>
        <w:spacing w:after="140" w:line="288"/>
        <w:jc w:val="both"/>
      </w:pPr>
      <w:r>
        <w:rPr>
          <w:b w:val="false"/>
          <w:bCs w:val="false"/>
          <w:i w:val="false"/>
          <w:iCs w:val="false"/>
          <w:sz w:val="21"/>
          <w:szCs w:val="21"/>
        </w:rPr>
        <w:t xml:space="preserve">Both workbooks carry a Sources sheet listing each indicator retained, its origin, its unit and the retrieval date.</w:t>
      </w:r>
    </w:p>
    <w:p>
      <w:r>
        <w:br w:type="page"/>
      </w:r>
    </w:p>
    <w:p>
      <w:pPr>
        <w:spacing w:after="60" w:before="0"/>
      </w:pPr>
      <w:r>
        <w:rPr>
          <w:b/>
          <w:bCs/>
          <w:color w:val="C8A24A"/>
          <w:sz w:val="20"/>
          <w:szCs w:val="20"/>
        </w:rPr>
        <w:t xml:space="preserve">Chapter 7</w:t>
      </w:r>
    </w:p>
    <w:p>
      <w:pPr>
        <w:pStyle w:val="Heading1"/>
        <w:spacing w:after="220" w:before="0"/>
      </w:pPr>
      <w:r>
        <w:t xml:space="preserve">Data collection</w:t>
      </w:r>
    </w:p>
    <w:p>
      <w:pPr>
        <w:spacing w:after="140" w:line="288"/>
        <w:jc w:val="both"/>
      </w:pPr>
      <w:r>
        <w:rPr>
          <w:b w:val="false"/>
          <w:bCs w:val="false"/>
          <w:i w:val="false"/>
          <w:iCs w:val="false"/>
          <w:sz w:val="21"/>
          <w:szCs w:val="21"/>
        </w:rPr>
        <w:t xml:space="preserve">The platform updates itself by querying its providers' public interfaces. Every run is logged with its scope, trigger, status, the number of values added and revised, and the details of any errors.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left w:val="single" w:color="C8A24A" w:sz="18"/>
              <w:bottom w:val="none"/>
              <w:right w:val="none"/>
            </w:tcBorders>
            <w:shd w:fill="EEF2F8" w:color="auto" w:val="clear"/>
            <w:tcMar>
              <w:top w:type="dxa" w:w="60"/>
              <w:left w:type="dxa" w:w="90"/>
              <w:bottom w:type="dxa" w:w="60"/>
              <w:right w:type="dxa" w:w="90"/>
            </w:tcMar>
          </w:tcPr>
          <w:p>
            <w:pPr>
              <w:spacing w:after="70" w:line="276"/>
              <w:jc w:val="left"/>
            </w:pPr>
            <w:r>
              <w:rPr>
                <w:b/>
                <w:bCs/>
                <w:color w:val="1F3864"/>
                <w:sz w:val="19"/>
                <w:szCs w:val="19"/>
              </w:rPr>
              <w:t xml:space="preserve">Why a log</w:t>
            </w:r>
          </w:p>
          <w:p>
            <w:pPr>
              <w:spacing w:after="0" w:line="276"/>
              <w:jc w:val="both"/>
            </w:pPr>
            <w:r>
              <w:rPr>
                <w:b w:val="false"/>
                <w:bCs w:val="false"/>
                <w:color w:val="000000"/>
                <w:sz w:val="19"/>
                <w:szCs w:val="19"/>
              </w:rPr>
              <w:t xml:space="preserve">A collection can end without error and bring back nothing, for instance if a provider has renamed a code. Without a log, that silent failure would go unnoticed for months and analysis would rest on frozen series. Check the log after every update.</w:t>
            </w:r>
          </w:p>
        </w:tc>
      </w:tr>
    </w:tbl>
    <w:p>
      <w:pPr>
        <w:spacing w:after="200" w:line="288"/>
        <w:jc w:val="both"/>
      </w:pPr>
      <w:r>
        <w:rPr>
          <w:b w:val="false"/>
          <w:bCs w:val="false"/>
          <w:i w:val="false"/>
          <w:iCs w:val="false"/>
          <w:sz w:val="21"/>
          <w:szCs w:val="21"/>
        </w:rPr>
        <w:t xml:space="preserve"/>
      </w:r>
    </w:p>
    <w:p>
      <w:pPr>
        <w:pStyle w:val="Heading2"/>
      </w:pPr>
      <w:r>
        <w:t xml:space="preserve">Triggering an update</w:t>
      </w:r>
    </w:p>
    <w:p>
      <w:pPr>
        <w:spacing w:after="140" w:line="288"/>
        <w:jc w:val="both"/>
      </w:pPr>
      <w:r>
        <w:rPr>
          <w:b w:val="false"/>
          <w:bCs w:val="false"/>
          <w:i w:val="false"/>
          <w:iCs w:val="false"/>
          <w:sz w:val="21"/>
          <w:szCs w:val="21"/>
        </w:rPr>
        <w:t xml:space="preserve">From the Data collection tab, for one category or for the whole catalogue. A full collection means several hundred calls and takes thirty to forty-five minutes: proceed one category at a time.</w:t>
      </w:r>
    </w:p>
    <w:p>
      <w:pPr>
        <w:spacing w:after="140" w:line="288"/>
        <w:jc w:val="both"/>
      </w:pPr>
      <w:r>
        <w:rPr>
          <w:b w:val="false"/>
          <w:bCs w:val="false"/>
          <w:i w:val="false"/>
          <w:iCs w:val="false"/>
          <w:sz w:val="21"/>
          <w:szCs w:val="21"/>
        </w:rPr>
        <w:t xml:space="preserve">The Refresh data button on the dashboard updates only the displayed indicators, which takes a few seconds.</w:t>
      </w:r>
    </w:p>
    <w:p>
      <w:pPr>
        <w:pStyle w:val="Heading2"/>
      </w:pPr>
      <w:r>
        <w:t xml:space="preserve">Recommended rhythm</w:t>
      </w:r>
    </w:p>
    <w:p>
      <w:pPr>
        <w:spacing w:after="140" w:line="288"/>
        <w:jc w:val="both"/>
      </w:pPr>
      <w:r>
        <w:rPr>
          <w:b w:val="false"/>
          <w:bCs w:val="false"/>
          <w:i w:val="false"/>
          <w:iCs w:val="false"/>
          <w:sz w:val="21"/>
          <w:szCs w:val="21"/>
        </w:rPr>
        <w:t xml:space="preserve">Macroeconomic data do not change from hour to hour.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70"/>
      </w:tblGrid>
      <w:tr>
        <w:trPr>
          <w:tblHeader/>
        </w:trPr>
        <w:tc>
          <w:tcPr>
            <w:tcW w:type="dxa" w:w="2400"/>
            <w:shd w:fill="1F3864" w:color="auto" w:val="clear"/>
            <w:tcMar>
              <w:top w:type="dxa" w:w="60"/>
              <w:left w:type="dxa" w:w="90"/>
              <w:bottom w:type="dxa" w:w="60"/>
              <w:right w:type="dxa" w:w="90"/>
            </w:tcMar>
          </w:tcPr>
          <w:p>
            <w:pPr>
              <w:spacing w:after="0" w:line="240"/>
              <w:jc w:val="left"/>
            </w:pPr>
            <w:r>
              <w:rPr>
                <w:b/>
                <w:bCs/>
                <w:color w:val="FFFFFF"/>
                <w:sz w:val="18"/>
                <w:szCs w:val="18"/>
              </w:rPr>
              <w:t xml:space="preserve">Source</w:t>
            </w:r>
          </w:p>
        </w:tc>
        <w:tc>
          <w:tcPr>
            <w:tcW w:type="dxa" w:w="3400"/>
            <w:shd w:fill="1F3864" w:color="auto" w:val="clear"/>
            <w:tcMar>
              <w:top w:type="dxa" w:w="60"/>
              <w:left w:type="dxa" w:w="90"/>
              <w:bottom w:type="dxa" w:w="60"/>
              <w:right w:type="dxa" w:w="90"/>
            </w:tcMar>
          </w:tcPr>
          <w:p>
            <w:pPr>
              <w:spacing w:after="0" w:line="240"/>
              <w:jc w:val="left"/>
            </w:pPr>
            <w:r>
              <w:rPr>
                <w:b/>
                <w:bCs/>
                <w:color w:val="FFFFFF"/>
                <w:sz w:val="18"/>
                <w:szCs w:val="18"/>
              </w:rPr>
              <w:t xml:space="preserve">Publication rhythm</w:t>
            </w:r>
          </w:p>
        </w:tc>
        <w:tc>
          <w:tcPr>
            <w:tcW w:type="dxa" w:w="3270"/>
            <w:shd w:fill="1F3864" w:color="auto" w:val="clear"/>
            <w:tcMar>
              <w:top w:type="dxa" w:w="60"/>
              <w:left w:type="dxa" w:w="90"/>
              <w:bottom w:type="dxa" w:w="60"/>
              <w:right w:type="dxa" w:w="90"/>
            </w:tcMar>
          </w:tcPr>
          <w:p>
            <w:pPr>
              <w:spacing w:after="0" w:line="240"/>
              <w:jc w:val="left"/>
            </w:pPr>
            <w:r>
              <w:rPr>
                <w:b/>
                <w:bCs/>
                <w:color w:val="FFFFFF"/>
                <w:sz w:val="18"/>
                <w:szCs w:val="18"/>
              </w:rPr>
              <w:t xml:space="preserve">Recommended update</w:t>
            </w:r>
          </w:p>
        </w:tc>
      </w:tr>
      <w:tr>
        <w:tc>
          <w:tcPr>
            <w:tcW w:type="dxa" w:w="2400"/>
            <w:tcMar>
              <w:top w:type="dxa" w:w="60"/>
              <w:left w:type="dxa" w:w="90"/>
              <w:bottom w:type="dxa" w:w="60"/>
              <w:right w:type="dxa" w:w="90"/>
            </w:tcMar>
          </w:tcPr>
          <w:p>
            <w:pPr>
              <w:spacing w:after="0" w:line="240"/>
              <w:jc w:val="left"/>
            </w:pPr>
            <w:r>
              <w:rPr>
                <w:color w:val="000000"/>
                <w:sz w:val="18"/>
                <w:szCs w:val="18"/>
              </w:rPr>
              <w:t xml:space="preserve">Pink Sheet, commodities</w:t>
            </w:r>
          </w:p>
        </w:tc>
        <w:tc>
          <w:tcPr>
            <w:tcW w:type="dxa" w:w="3400"/>
            <w:tcMar>
              <w:top w:type="dxa" w:w="60"/>
              <w:left w:type="dxa" w:w="90"/>
              <w:bottom w:type="dxa" w:w="60"/>
              <w:right w:type="dxa" w:w="90"/>
            </w:tcMar>
          </w:tcPr>
          <w:p>
            <w:pPr>
              <w:spacing w:after="0" w:line="240"/>
              <w:jc w:val="left"/>
            </w:pPr>
            <w:r>
              <w:rPr>
                <w:color w:val="000000"/>
                <w:sz w:val="18"/>
                <w:szCs w:val="18"/>
              </w:rPr>
              <w:t xml:space="preserve">Monthly, early in the month</w:t>
            </w:r>
          </w:p>
        </w:tc>
        <w:tc>
          <w:tcPr>
            <w:tcW w:type="dxa" w:w="3270"/>
            <w:tcMar>
              <w:top w:type="dxa" w:w="60"/>
              <w:left w:type="dxa" w:w="90"/>
              <w:bottom w:type="dxa" w:w="60"/>
              <w:right w:type="dxa" w:w="90"/>
            </w:tcMar>
          </w:tcPr>
          <w:p>
            <w:pPr>
              <w:spacing w:after="0" w:line="240"/>
              <w:jc w:val="left"/>
            </w:pPr>
            <w:r>
              <w:rPr>
                <w:color w:val="000000"/>
                <w:sz w:val="18"/>
                <w:szCs w:val="18"/>
              </w:rPr>
              <w:t xml:space="preserve">Weekly</w:t>
            </w:r>
          </w:p>
        </w:tc>
      </w:tr>
      <w:tr>
        <w:tc>
          <w:tcPr>
            <w:tcW w:type="dxa" w:w="2400"/>
            <w:shd w:fill="F4F6F9" w:color="auto" w:val="clear"/>
            <w:tcMar>
              <w:top w:type="dxa" w:w="60"/>
              <w:left w:type="dxa" w:w="90"/>
              <w:bottom w:type="dxa" w:w="60"/>
              <w:right w:type="dxa" w:w="90"/>
            </w:tcMar>
          </w:tcPr>
          <w:p>
            <w:pPr>
              <w:spacing w:after="0" w:line="240"/>
              <w:jc w:val="left"/>
            </w:pPr>
            <w:r>
              <w:rPr>
                <w:color w:val="000000"/>
                <w:sz w:val="18"/>
                <w:szCs w:val="18"/>
              </w:rPr>
              <w:t xml:space="preserve">World Development Indicators</w:t>
            </w:r>
          </w:p>
        </w:tc>
        <w:tc>
          <w:tcPr>
            <w:tcW w:type="dxa" w:w="3400"/>
            <w:shd w:fill="F4F6F9" w:color="auto" w:val="clear"/>
            <w:tcMar>
              <w:top w:type="dxa" w:w="60"/>
              <w:left w:type="dxa" w:w="90"/>
              <w:bottom w:type="dxa" w:w="60"/>
              <w:right w:type="dxa" w:w="90"/>
            </w:tcMar>
          </w:tcPr>
          <w:p>
            <w:pPr>
              <w:spacing w:after="0" w:line="240"/>
              <w:jc w:val="left"/>
            </w:pPr>
            <w:r>
              <w:rPr>
                <w:color w:val="000000"/>
                <w:sz w:val="18"/>
                <w:szCs w:val="18"/>
              </w:rPr>
              <w:t xml:space="preserve">Two to four revisions a year</w:t>
            </w:r>
          </w:p>
        </w:tc>
        <w:tc>
          <w:tcPr>
            <w:tcW w:type="dxa" w:w="3270"/>
            <w:shd w:fill="F4F6F9" w:color="auto" w:val="clear"/>
            <w:tcMar>
              <w:top w:type="dxa" w:w="60"/>
              <w:left w:type="dxa" w:w="90"/>
              <w:bottom w:type="dxa" w:w="60"/>
              <w:right w:type="dxa" w:w="90"/>
            </w:tcMar>
          </w:tcPr>
          <w:p>
            <w:pPr>
              <w:spacing w:after="0" w:line="240"/>
              <w:jc w:val="left"/>
            </w:pPr>
            <w:r>
              <w:rPr>
                <w:color w:val="000000"/>
                <w:sz w:val="18"/>
                <w:szCs w:val="18"/>
              </w:rPr>
              <w:t xml:space="preserve">Monthly</w:t>
            </w:r>
          </w:p>
        </w:tc>
      </w:tr>
      <w:tr>
        <w:tc>
          <w:tcPr>
            <w:tcW w:type="dxa" w:w="2400"/>
            <w:tcMar>
              <w:top w:type="dxa" w:w="60"/>
              <w:left w:type="dxa" w:w="90"/>
              <w:bottom w:type="dxa" w:w="60"/>
              <w:right w:type="dxa" w:w="90"/>
            </w:tcMar>
          </w:tcPr>
          <w:p>
            <w:pPr>
              <w:spacing w:after="0" w:line="240"/>
              <w:jc w:val="left"/>
            </w:pPr>
            <w:r>
              <w:rPr>
                <w:color w:val="000000"/>
                <w:sz w:val="18"/>
                <w:szCs w:val="18"/>
              </w:rPr>
              <w:t xml:space="preserve">World Economic Outlook</w:t>
            </w:r>
          </w:p>
        </w:tc>
        <w:tc>
          <w:tcPr>
            <w:tcW w:type="dxa" w:w="3400"/>
            <w:tcMar>
              <w:top w:type="dxa" w:w="60"/>
              <w:left w:type="dxa" w:w="90"/>
              <w:bottom w:type="dxa" w:w="60"/>
              <w:right w:type="dxa" w:w="90"/>
            </w:tcMar>
          </w:tcPr>
          <w:p>
            <w:pPr>
              <w:spacing w:after="0" w:line="240"/>
              <w:jc w:val="left"/>
            </w:pPr>
            <w:r>
              <w:rPr>
                <w:color w:val="000000"/>
                <w:sz w:val="18"/>
                <w:szCs w:val="18"/>
              </w:rPr>
              <w:t xml:space="preserve">April and October</w:t>
            </w:r>
          </w:p>
        </w:tc>
        <w:tc>
          <w:tcPr>
            <w:tcW w:type="dxa" w:w="3270"/>
            <w:tcMar>
              <w:top w:type="dxa" w:w="60"/>
              <w:left w:type="dxa" w:w="90"/>
              <w:bottom w:type="dxa" w:w="60"/>
              <w:right w:type="dxa" w:w="90"/>
            </w:tcMar>
          </w:tcPr>
          <w:p>
            <w:pPr>
              <w:spacing w:after="0" w:line="240"/>
              <w:jc w:val="left"/>
            </w:pPr>
            <w:r>
              <w:rPr>
                <w:color w:val="000000"/>
                <w:sz w:val="18"/>
                <w:szCs w:val="18"/>
              </w:rPr>
              <w:t xml:space="preserve">Monthly</w:t>
            </w:r>
          </w:p>
        </w:tc>
      </w:tr>
      <w:tr>
        <w:tc>
          <w:tcPr>
            <w:tcW w:type="dxa" w:w="2400"/>
            <w:shd w:fill="F4F6F9" w:color="auto" w:val="clear"/>
            <w:tcMar>
              <w:top w:type="dxa" w:w="60"/>
              <w:left w:type="dxa" w:w="90"/>
              <w:bottom w:type="dxa" w:w="60"/>
              <w:right w:type="dxa" w:w="90"/>
            </w:tcMar>
          </w:tcPr>
          <w:p>
            <w:pPr>
              <w:spacing w:after="0" w:line="240"/>
              <w:jc w:val="left"/>
            </w:pPr>
            <w:r>
              <w:rPr>
                <w:color w:val="000000"/>
                <w:sz w:val="18"/>
                <w:szCs w:val="18"/>
              </w:rPr>
              <w:t xml:space="preserve">Atlas of Economic Complexity</w:t>
            </w:r>
          </w:p>
        </w:tc>
        <w:tc>
          <w:tcPr>
            <w:tcW w:type="dxa" w:w="3400"/>
            <w:shd w:fill="F4F6F9" w:color="auto" w:val="clear"/>
            <w:tcMar>
              <w:top w:type="dxa" w:w="60"/>
              <w:left w:type="dxa" w:w="90"/>
              <w:bottom w:type="dxa" w:w="60"/>
              <w:right w:type="dxa" w:w="90"/>
            </w:tcMar>
          </w:tcPr>
          <w:p>
            <w:pPr>
              <w:spacing w:after="0" w:line="240"/>
              <w:jc w:val="left"/>
            </w:pPr>
            <w:r>
              <w:rPr>
                <w:color w:val="000000"/>
                <w:sz w:val="18"/>
                <w:szCs w:val="18"/>
              </w:rPr>
              <w:t xml:space="preserve">Annual</w:t>
            </w:r>
          </w:p>
        </w:tc>
        <w:tc>
          <w:tcPr>
            <w:tcW w:type="dxa" w:w="3270"/>
            <w:shd w:fill="F4F6F9" w:color="auto" w:val="clear"/>
            <w:tcMar>
              <w:top w:type="dxa" w:w="60"/>
              <w:left w:type="dxa" w:w="90"/>
              <w:bottom w:type="dxa" w:w="60"/>
              <w:right w:type="dxa" w:w="90"/>
            </w:tcMar>
          </w:tcPr>
          <w:p>
            <w:pPr>
              <w:spacing w:after="0" w:line="240"/>
              <w:jc w:val="left"/>
            </w:pPr>
            <w:r>
              <w:rPr>
                <w:color w:val="000000"/>
                <w:sz w:val="18"/>
                <w:szCs w:val="18"/>
              </w:rPr>
              <w:t xml:space="preserve">Quarterly</w:t>
            </w:r>
          </w:p>
        </w:tc>
      </w:tr>
    </w:tbl>
    <w:p>
      <w:pPr>
        <w:spacing w:after="220" w:before="90"/>
        <w:jc w:val="center"/>
      </w:pPr>
      <w:r>
        <w:rPr>
          <w:i/>
          <w:iCs/>
          <w:color w:val="5C6672"/>
          <w:sz w:val="17"/>
          <w:szCs w:val="17"/>
        </w:rPr>
        <w:t xml:space="preserve">Table 7 – Publication rhythm of the sources</w:t>
      </w:r>
    </w:p>
    <w:p>
      <w:r>
        <w:br w:type="page"/>
      </w:r>
    </w:p>
    <w:p>
      <w:pPr>
        <w:spacing w:after="60" w:before="0"/>
      </w:pPr>
      <w:r>
        <w:rPr>
          <w:b/>
          <w:bCs/>
          <w:color w:val="C8A24A"/>
          <w:sz w:val="20"/>
          <w:szCs w:val="20"/>
        </w:rPr>
        <w:t xml:space="preserve">Chapter 8</w:t>
      </w:r>
    </w:p>
    <w:p>
      <w:pPr>
        <w:pStyle w:val="Heading1"/>
        <w:spacing w:after="220" w:before="0"/>
      </w:pPr>
      <w:r>
        <w:t xml:space="preserve">Methodology</w:t>
      </w:r>
    </w:p>
    <w:p>
      <w:pPr>
        <w:pStyle w:val="Heading2"/>
      </w:pPr>
      <w:r>
        <w:t xml:space="preserve">Period normalisation</w:t>
      </w:r>
    </w:p>
    <w:p>
      <w:pPr>
        <w:spacing w:after="140" w:line="288"/>
        <w:jc w:val="both"/>
      </w:pPr>
      <w:r>
        <w:rPr>
          <w:b w:val="false"/>
          <w:bCs w:val="false"/>
          <w:i w:val="false"/>
          <w:iCs w:val="false"/>
          <w:sz w:val="21"/>
          <w:szCs w:val="21"/>
        </w:rPr>
        <w:t xml:space="preserve">Every observation is placed on the first day of the period it covers: 1 January for a year, the first day of the quarter, the first day of the month. This convention is what allows series of different frequencies to be overlaid on one chart.</w:t>
      </w:r>
    </w:p>
    <w:p>
      <w:pPr>
        <w:pStyle w:val="Heading2"/>
      </w:pPr>
      <w:r>
        <w:t xml:space="preserve">Aggregating a monthly series</w:t>
      </w:r>
    </w:p>
    <w:p>
      <w:pPr>
        <w:spacing w:after="140" w:line="288"/>
        <w:jc w:val="both"/>
      </w:pPr>
      <w:r>
        <w:rPr>
          <w:b w:val="false"/>
          <w:bCs w:val="false"/>
          <w:i w:val="false"/>
          <w:iCs w:val="false"/>
          <w:sz w:val="21"/>
          <w:szCs w:val="21"/>
        </w:rPr>
        <w:t xml:space="preserve">Commodity prices are collected monthly and also aggregated into annual averages; otherwise they would share no frequency with annual indicators and could not be compared.</w:t>
      </w:r>
    </w:p>
    <w:p>
      <w:pPr>
        <w:spacing w:after="140" w:line="288"/>
        <w:jc w:val="both"/>
      </w:pPr>
      <w:r>
        <w:rPr>
          <w:b w:val="false"/>
          <w:bCs w:val="false"/>
          <w:i w:val="false"/>
          <w:iCs w:val="false"/>
          <w:sz w:val="21"/>
          <w:szCs w:val="21"/>
        </w:rPr>
        <w:t xml:space="preserve">The aggregation used is the arithmetic mean of the months in the year. A price is a period average: summing twelve monthly quotations would produce no interpretable quantity. For a flow, such as monthly exports, the sum would be the rule; the current catalogue holds none.</w:t>
      </w:r>
    </w:p>
    <w:p>
      <w:pPr>
        <w:pStyle w:val="Heading2"/>
      </w:pPr>
      <w:r>
        <w:t xml:space="preserve">Rebasing to 100</w:t>
      </w:r>
    </w:p>
    <w:p>
      <w:pPr>
        <w:spacing w:after="140" w:line="288"/>
        <w:jc w:val="both"/>
      </w:pPr>
      <w:r>
        <w:rPr>
          <w:b w:val="false"/>
          <w:bCs w:val="false"/>
          <w:i w:val="false"/>
          <w:iCs w:val="false"/>
          <w:sz w:val="21"/>
          <w:szCs w:val="21"/>
        </w:rPr>
        <w:t xml:space="preserve">Each series is divided by its first non-missing observation within the displayed period, then multiplied by one hundred. A series whose first value is zero or missing is dropped from the chart rather than producing infinite values that would flatten the other curves.</w:t>
      </w:r>
    </w:p>
    <w:p>
      <w:pPr>
        <w:pStyle w:val="Heading2"/>
      </w:pPr>
      <w:r>
        <w:t xml:space="preserve">Projections</w:t>
      </w:r>
    </w:p>
    <w:p>
      <w:pPr>
        <w:spacing w:after="140" w:line="288"/>
        <w:jc w:val="both"/>
      </w:pPr>
      <w:r>
        <w:rPr>
          <w:b w:val="false"/>
          <w:bCs w:val="false"/>
          <w:i w:val="false"/>
          <w:iCs w:val="false"/>
          <w:sz w:val="21"/>
          <w:szCs w:val="21"/>
        </w:rPr>
        <w:t xml:space="preserve">All three methods rely solely on the annual observations available for the chosen country.</w:t>
      </w:r>
    </w:p>
    <w:p>
      <w:pPr>
        <w:spacing w:after="140" w:line="288"/>
        <w:jc w:val="both"/>
      </w:pPr>
      <w:r>
        <w:rPr>
          <w:b w:val="false"/>
          <w:bCs w:val="false"/>
          <w:i w:val="false"/>
          <w:iCs w:val="false"/>
          <w:sz w:val="21"/>
          <w:szCs w:val="21"/>
        </w:rPr>
        <w:t xml:space="preserve">The linear trend fits a straight line by ordinary least squares and extends it. The interval is built from the standard deviation of the residuals.</w:t>
      </w:r>
    </w:p>
    <w:p>
      <w:pPr>
        <w:spacing w:after="140" w:line="288"/>
        <w:jc w:val="both"/>
      </w:pPr>
      <w:r>
        <w:rPr>
          <w:b w:val="false"/>
          <w:bCs w:val="false"/>
          <w:i w:val="false"/>
          <w:iCs w:val="false"/>
          <w:sz w:val="21"/>
          <w:szCs w:val="21"/>
        </w:rPr>
        <w:t xml:space="preserve">The random walk with drift takes the mean change over the last five periods and adds it to the last observed value, once per horizon step. Uncertainty grows with the square root of the horizon, reflecting the accumulation of successive errors.</w:t>
      </w:r>
    </w:p>
    <w:p>
      <w:pPr>
        <w:spacing w:after="140" w:line="288"/>
        <w:jc w:val="both"/>
      </w:pPr>
      <w:r>
        <w:rPr>
          <w:b w:val="false"/>
          <w:bCs w:val="false"/>
          <w:i w:val="false"/>
          <w:iCs w:val="false"/>
          <w:sz w:val="21"/>
          <w:szCs w:val="21"/>
        </w:rPr>
        <w:t xml:space="preserve">Holt smoothing updates a level and a trend at each period, each weighted between the new observation and the previous extrapolation. It therefore reacts faster to recent turning points than the linear trend.</w:t>
      </w:r>
    </w:p>
    <w:p>
      <w:pPr>
        <w:pStyle w:val="Heading2"/>
      </w:pPr>
      <w:r>
        <w:t xml:space="preserve">Map scale</w:t>
      </w:r>
    </w:p>
    <w:p>
      <w:pPr>
        <w:spacing w:after="140" w:line="288"/>
        <w:jc w:val="both"/>
      </w:pPr>
      <w:r>
        <w:rPr>
          <w:b w:val="false"/>
          <w:bCs w:val="false"/>
          <w:i w:val="false"/>
          <w:iCs w:val="false"/>
          <w:sz w:val="21"/>
          <w:szCs w:val="21"/>
        </w:rPr>
        <w:t xml:space="preserve">The colour bounds are the 2nd and 98th percentiles of the value distribution for the displayed year, aggregates excluded. Values beyond take the extreme shade without stretching the scale.</w:t>
      </w:r>
    </w:p>
    <w:p>
      <w:pPr>
        <w:pStyle w:val="Heading2"/>
      </w:pPr>
      <w:r>
        <w:t xml:space="preserve">Missing values</w:t>
      </w:r>
    </w:p>
    <w:p>
      <w:pPr>
        <w:spacing w:after="140" w:line="288"/>
        <w:jc w:val="both"/>
      </w:pPr>
      <w:r>
        <w:rPr>
          <w:b w:val="false"/>
          <w:bCs w:val="false"/>
          <w:i w:val="false"/>
          <w:iCs w:val="false"/>
          <w:sz w:val="21"/>
          <w:szCs w:val="21"/>
        </w:rPr>
        <w:t xml:space="preserve">A missing value is never stored. The absence of a row means absence of data, never zero. Providers nonetheless return a row for every country-period pair, including where there is no data: on an indicator with sparse coverage, more than nine tenths of the volume would be empty rows.</w:t>
      </w:r>
    </w:p>
    <w:p>
      <w:pPr>
        <w:spacing w:after="140" w:line="288"/>
        <w:jc w:val="both"/>
      </w:pPr>
      <w:r>
        <w:rPr>
          <w:b w:val="false"/>
          <w:bCs w:val="false"/>
          <w:i w:val="false"/>
          <w:iCs w:val="false"/>
          <w:sz w:val="21"/>
          <w:szCs w:val="21"/>
        </w:rPr>
        <w:t xml:space="preserve">As a result, a series with gaps is drawn as a dashed line with visible points, and never interpolated.</w:t>
      </w:r>
    </w:p>
    <w:p>
      <w:r>
        <w:br w:type="page"/>
      </w:r>
    </w:p>
    <w:p>
      <w:pPr>
        <w:spacing w:after="60" w:before="0"/>
      </w:pPr>
      <w:r>
        <w:rPr>
          <w:b/>
          <w:bCs/>
          <w:color w:val="C8A24A"/>
          <w:sz w:val="20"/>
          <w:szCs w:val="20"/>
        </w:rPr>
        <w:t xml:space="preserve">Chapter 9</w:t>
      </w:r>
    </w:p>
    <w:p>
      <w:pPr>
        <w:pStyle w:val="Heading1"/>
        <w:spacing w:after="220" w:before="0"/>
      </w:pPr>
      <w:r>
        <w:t xml:space="preserve">Limitations and points to watch</w:t>
      </w:r>
    </w:p>
    <w:p>
      <w:pPr>
        <w:pStyle w:val="Heading2"/>
      </w:pPr>
      <w:r>
        <w:t xml:space="preserve">Country coding</w:t>
      </w:r>
    </w:p>
    <w:p>
      <w:pPr>
        <w:spacing w:after="140" w:line="288"/>
        <w:jc w:val="both"/>
      </w:pPr>
      <w:r>
        <w:rPr>
          <w:b w:val="false"/>
          <w:bCs w:val="false"/>
          <w:i w:val="false"/>
          <w:iCs w:val="false"/>
          <w:sz w:val="21"/>
          <w:szCs w:val="21"/>
        </w:rPr>
        <w:t xml:space="preserve">Providers do not use the same coding. The country table keeps, for each economy, the reference identifier and those specific to each source. Without that mapping, joins would produce incomplete series with no error raised.</w:t>
      </w:r>
    </w:p>
    <w:p>
      <w:pPr>
        <w:pStyle w:val="Heading2"/>
      </w:pPr>
      <w:r>
        <w:t xml:space="preserve">Revisions</w:t>
      </w:r>
    </w:p>
    <w:p>
      <w:pPr>
        <w:spacing w:after="140" w:line="288"/>
        <w:jc w:val="both"/>
      </w:pPr>
      <w:r>
        <w:rPr>
          <w:b w:val="false"/>
          <w:bCs w:val="false"/>
          <w:i w:val="false"/>
          <w:iCs w:val="false"/>
          <w:sz w:val="21"/>
          <w:szCs w:val="21"/>
        </w:rPr>
        <w:t xml:space="preserve">Macroeconomic data are revised. A 2023 gross domestic product figure collected in January may differ from the same figure collected in June. The platform keeps the latest known value and the collection date, with no vintage history. A published note must therefore carry its retrieval date.</w:t>
      </w:r>
    </w:p>
    <w:p>
      <w:pPr>
        <w:pStyle w:val="Heading2"/>
      </w:pPr>
      <w:r>
        <w:t xml:space="preserve">Economic complexity</w:t>
      </w:r>
    </w:p>
    <w:p>
      <w:pPr>
        <w:spacing w:after="140" w:line="288"/>
        <w:jc w:val="both"/>
      </w:pPr>
      <w:r>
        <w:rPr>
          <w:b w:val="false"/>
          <w:bCs w:val="false"/>
          <w:i w:val="false"/>
          <w:iCs w:val="false"/>
          <w:sz w:val="21"/>
          <w:szCs w:val="21"/>
        </w:rPr>
        <w:t xml:space="preserve">The Economic Complexity Index is not measured but computed across all countries and products simultaneously. A revision to one large exporter's trade data mechanically shifts every other country's index. Values are therefore not comparable from one Atlas release to the next.</w:t>
      </w:r>
    </w:p>
    <w:p>
      <w:pPr>
        <w:spacing w:after="140" w:line="288"/>
        <w:jc w:val="both"/>
      </w:pPr>
      <w:r>
        <w:rPr>
          <w:b w:val="false"/>
          <w:bCs w:val="false"/>
          <w:i w:val="false"/>
          <w:iCs w:val="false"/>
          <w:sz w:val="21"/>
          <w:szCs w:val="21"/>
        </w:rPr>
        <w:t xml:space="preserve">Furthermore, a year's trade data reach the Atlas only about two years later: the latest available year will always lag the rest of the dashboard by that much.</w:t>
      </w:r>
    </w:p>
    <w:p>
      <w:pPr>
        <w:pStyle w:val="Heading2"/>
      </w:pPr>
      <w:r>
        <w:t xml:space="preserve">Commodity price units</w:t>
      </w:r>
    </w:p>
    <w:p>
      <w:pPr>
        <w:spacing w:after="140" w:line="288"/>
        <w:jc w:val="both"/>
      </w:pPr>
      <w:r>
        <w:rPr>
          <w:b w:val="false"/>
          <w:bCs w:val="false"/>
          <w:i w:val="false"/>
          <w:iCs w:val="false"/>
          <w:sz w:val="21"/>
          <w:szCs w:val="21"/>
        </w:rPr>
        <w:t xml:space="preserve">They are read directly from the provider's workbook rather than copied. They may therefore differ from other publications: cocoa is quoted per kilogram in the Pink Sheet and per tonne in some sources. Always check the unit shown on the axis before quoting a level.</w:t>
      </w:r>
    </w:p>
    <w:p>
      <w:pPr>
        <w:pStyle w:val="Heading2"/>
      </w:pPr>
      <w:r>
        <w:t xml:space="preserve">Fine frequencies</w:t>
      </w:r>
    </w:p>
    <w:p>
      <w:pPr>
        <w:spacing w:after="140" w:line="288"/>
        <w:jc w:val="both"/>
      </w:pPr>
      <w:r>
        <w:rPr>
          <w:b w:val="false"/>
          <w:bCs w:val="false"/>
          <w:i w:val="false"/>
          <w:iCs w:val="false"/>
          <w:sz w:val="21"/>
          <w:szCs w:val="21"/>
        </w:rPr>
        <w:t xml:space="preserve">The schema provides for weekly, daily and intraday steps, but no catalogue source feeds them. This is not a limitation of the tool: a quarterly gross domestic product has no daily value. Those steps only make sense for market data, which come from other providers and are often paid.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left w:val="single" w:color="C8A24A" w:sz="18"/>
              <w:bottom w:val="none"/>
              <w:right w:val="none"/>
            </w:tcBorders>
            <w:shd w:fill="EEF2F8" w:color="auto" w:val="clear"/>
            <w:tcMar>
              <w:top w:type="dxa" w:w="60"/>
              <w:left w:type="dxa" w:w="90"/>
              <w:bottom w:type="dxa" w:w="60"/>
              <w:right w:type="dxa" w:w="90"/>
            </w:tcMar>
          </w:tcPr>
          <w:p>
            <w:pPr>
              <w:spacing w:after="70" w:line="276"/>
              <w:jc w:val="left"/>
            </w:pPr>
            <w:r>
              <w:rPr>
                <w:b/>
                <w:bCs/>
                <w:color w:val="1F3864"/>
                <w:sz w:val="19"/>
                <w:szCs w:val="19"/>
              </w:rPr>
              <w:t xml:space="preserve">Why almost everything is annual</w:t>
            </w:r>
          </w:p>
          <w:p>
            <w:pPr>
              <w:spacing w:after="0" w:line="276"/>
              <w:jc w:val="both"/>
            </w:pPr>
            <w:r>
              <w:rPr>
                <w:b w:val="false"/>
                <w:bCs w:val="false"/>
                <w:color w:val="000000"/>
                <w:sz w:val="19"/>
                <w:szCs w:val="19"/>
              </w:rPr>
              <w:t xml:space="preserve">The World Bank, which supplies most of the active indicators, publishes annual data only. The only monthly series in the catalogue are commodity prices. If the frequency filter offers nothing but Annual, that is not a fault: no sub-annual series has been collected.</w:t>
            </w:r>
          </w:p>
        </w:tc>
      </w:tr>
    </w:tbl>
    <w:p>
      <w:pPr>
        <w:spacing w:after="200" w:line="288"/>
        <w:jc w:val="both"/>
      </w:pPr>
      <w:r>
        <w:rPr>
          <w:b w:val="false"/>
          <w:bCs w:val="false"/>
          <w:i w:val="false"/>
          <w:iCs w:val="false"/>
          <w:sz w:val="21"/>
          <w:szCs w:val="21"/>
        </w:rPr>
        <w:t xml:space="preserve"/>
      </w:r>
    </w:p>
    <w:p>
      <w:r>
        <w:br w:type="page"/>
      </w:r>
    </w:p>
    <w:p>
      <w:pPr>
        <w:spacing w:after="60" w:before="0"/>
      </w:pPr>
      <w:r>
        <w:rPr>
          <w:b/>
          <w:bCs/>
          <w:color w:val="C8A24A"/>
          <w:sz w:val="20"/>
          <w:szCs w:val="20"/>
        </w:rPr>
        <w:t xml:space="preserve">Chapter 10</w:t>
      </w:r>
    </w:p>
    <w:p>
      <w:pPr>
        <w:pStyle w:val="Heading1"/>
        <w:spacing w:after="220" w:before="0"/>
      </w:pPr>
      <w:r>
        <w:t xml:space="preserve">Quick operating guide</w:t>
      </w:r>
    </w:p>
    <w:p>
      <w:pPr>
        <w:pStyle w:val="Heading2"/>
      </w:pPr>
      <w:r>
        <w:t xml:space="preserve">Consulting an indicator</w:t>
      </w:r>
    </w:p>
    <w:p>
      <w:pPr>
        <w:pStyle w:val="ListParagraph"/>
        <w:numPr>
          <w:ilvl w:val="0"/>
          <w:numId w:val="2"/>
        </w:numPr>
        <w:spacing w:after="90" w:line="288"/>
        <w:jc w:val="both"/>
      </w:pPr>
      <w:r>
        <w:rPr>
          <w:sz w:val="21"/>
          <w:szCs w:val="21"/>
        </w:rPr>
        <w:t xml:space="preserve">Open the Dashboard tab.</w:t>
      </w:r>
    </w:p>
    <w:p>
      <w:pPr>
        <w:pStyle w:val="ListParagraph"/>
        <w:numPr>
          <w:ilvl w:val="0"/>
          <w:numId w:val="2"/>
        </w:numPr>
        <w:spacing w:after="90" w:line="288"/>
        <w:jc w:val="both"/>
      </w:pPr>
      <w:r>
        <w:rPr>
          <w:sz w:val="21"/>
          <w:szCs w:val="21"/>
        </w:rPr>
        <w:t xml:space="preserve">Choose the category in the first panel.</w:t>
      </w:r>
    </w:p>
    <w:p>
      <w:pPr>
        <w:pStyle w:val="ListParagraph"/>
        <w:numPr>
          <w:ilvl w:val="0"/>
          <w:numId w:val="2"/>
        </w:numPr>
        <w:spacing w:after="90" w:line="288"/>
        <w:jc w:val="both"/>
      </w:pPr>
      <w:r>
        <w:rPr>
          <w:sz w:val="21"/>
          <w:szCs w:val="21"/>
        </w:rPr>
        <w:t xml:space="preserve">Select one or more indicators.</w:t>
      </w:r>
    </w:p>
    <w:p>
      <w:pPr>
        <w:pStyle w:val="ListParagraph"/>
        <w:numPr>
          <w:ilvl w:val="0"/>
          <w:numId w:val="2"/>
        </w:numPr>
        <w:spacing w:after="90" w:line="288"/>
        <w:jc w:val="both"/>
      </w:pPr>
      <w:r>
        <w:rPr>
          <w:sz w:val="21"/>
          <w:szCs w:val="21"/>
        </w:rPr>
        <w:t xml:space="preserve">Check the frequency offered and adjust the period.</w:t>
      </w:r>
    </w:p>
    <w:p>
      <w:pPr>
        <w:pStyle w:val="ListParagraph"/>
        <w:numPr>
          <w:ilvl w:val="0"/>
          <w:numId w:val="2"/>
        </w:numPr>
        <w:spacing w:after="90" w:line="288"/>
        <w:jc w:val="both"/>
      </w:pPr>
      <w:r>
        <w:rPr>
          <w:sz w:val="21"/>
          <w:szCs w:val="21"/>
        </w:rPr>
        <w:t xml:space="preserve">Choose the countries.</w:t>
      </w:r>
    </w:p>
    <w:p>
      <w:pPr>
        <w:pStyle w:val="ListParagraph"/>
        <w:numPr>
          <w:ilvl w:val="0"/>
          <w:numId w:val="2"/>
        </w:numPr>
        <w:spacing w:after="90" w:line="288"/>
        <w:jc w:val="both"/>
      </w:pPr>
      <w:r>
        <w:rPr>
          <w:sz w:val="21"/>
          <w:szCs w:val="21"/>
        </w:rPr>
        <w:t xml:space="preserve">Click Apply filter.</w:t>
      </w:r>
    </w:p>
    <w:p>
      <w:pPr>
        <w:pStyle w:val="ListParagraph"/>
        <w:numPr>
          <w:ilvl w:val="0"/>
          <w:numId w:val="2"/>
        </w:numPr>
        <w:spacing w:after="90" w:line="288"/>
        <w:jc w:val="both"/>
      </w:pPr>
      <w:r>
        <w:rPr>
          <w:sz w:val="21"/>
          <w:szCs w:val="21"/>
        </w:rPr>
        <w:t xml:space="preserve">Read the chart, then the map below.</w:t>
      </w:r>
    </w:p>
    <w:p>
      <w:pPr>
        <w:pStyle w:val="ListParagraph"/>
        <w:numPr>
          <w:ilvl w:val="0"/>
          <w:numId w:val="2"/>
        </w:numPr>
        <w:spacing w:after="90" w:line="288"/>
        <w:jc w:val="both"/>
      </w:pPr>
      <w:r>
        <w:rPr>
          <w:sz w:val="21"/>
          <w:szCs w:val="21"/>
        </w:rPr>
        <w:t xml:space="preserve">Click a country on the map to open its profile.</w:t>
      </w:r>
    </w:p>
    <w:p>
      <w:pPr>
        <w:pStyle w:val="ListParagraph"/>
        <w:numPr>
          <w:ilvl w:val="0"/>
          <w:numId w:val="2"/>
        </w:numPr>
        <w:spacing w:after="90" w:line="288"/>
        <w:jc w:val="both"/>
      </w:pPr>
      <w:r>
        <w:rPr>
          <w:sz w:val="21"/>
          <w:szCs w:val="21"/>
        </w:rPr>
        <w:t xml:space="preserve">Export as an image or a spreadsheet.</w:t>
      </w:r>
    </w:p>
    <w:p>
      <w:pPr>
        <w:pStyle w:val="Heading2"/>
      </w:pPr>
      <w:r>
        <w:t xml:space="preserve">Comparing several indicators</w:t>
      </w:r>
    </w:p>
    <w:p>
      <w:pPr>
        <w:pStyle w:val="ListParagraph"/>
        <w:numPr>
          <w:ilvl w:val="0"/>
          <w:numId w:val="2"/>
        </w:numPr>
        <w:spacing w:after="90" w:line="288"/>
        <w:jc w:val="both"/>
      </w:pPr>
      <w:r>
        <w:rPr>
          <w:sz w:val="21"/>
          <w:szCs w:val="21"/>
        </w:rPr>
        <w:t xml:space="preserve">Build a first selection and apply it.</w:t>
      </w:r>
    </w:p>
    <w:p>
      <w:pPr>
        <w:pStyle w:val="ListParagraph"/>
        <w:numPr>
          <w:ilvl w:val="0"/>
          <w:numId w:val="2"/>
        </w:numPr>
        <w:spacing w:after="90" w:line="288"/>
        <w:jc w:val="both"/>
      </w:pPr>
      <w:r>
        <w:rPr>
          <w:sz w:val="21"/>
          <w:szCs w:val="21"/>
        </w:rPr>
        <w:t xml:space="preserve">Change category and build a second selection.</w:t>
      </w:r>
    </w:p>
    <w:p>
      <w:pPr>
        <w:pStyle w:val="ListParagraph"/>
        <w:numPr>
          <w:ilvl w:val="0"/>
          <w:numId w:val="2"/>
        </w:numPr>
        <w:spacing w:after="90" w:line="288"/>
        <w:jc w:val="both"/>
      </w:pPr>
      <w:r>
        <w:rPr>
          <w:sz w:val="21"/>
          <w:szCs w:val="21"/>
        </w:rPr>
        <w:t xml:space="preserve">Click Add to chart.</w:t>
      </w:r>
    </w:p>
    <w:p>
      <w:pPr>
        <w:pStyle w:val="ListParagraph"/>
        <w:numPr>
          <w:ilvl w:val="0"/>
          <w:numId w:val="2"/>
        </w:numPr>
        <w:spacing w:after="90" w:line="288"/>
        <w:jc w:val="both"/>
      </w:pPr>
      <w:r>
        <w:rPr>
          <w:sz w:val="21"/>
          <w:szCs w:val="21"/>
        </w:rPr>
        <w:t xml:space="preserve">Check the unit on the axis: if units differ, base 100 is imposed.</w:t>
      </w:r>
    </w:p>
    <w:p>
      <w:pPr>
        <w:pStyle w:val="ListParagraph"/>
        <w:numPr>
          <w:ilvl w:val="0"/>
          <w:numId w:val="2"/>
        </w:numPr>
        <w:spacing w:after="90" w:line="288"/>
        <w:jc w:val="both"/>
      </w:pPr>
      <w:r>
        <w:rPr>
          <w:sz w:val="21"/>
          <w:szCs w:val="21"/>
        </w:rPr>
        <w:t xml:space="preserve">Remove a series with one click on the cross of its chip.</w:t>
      </w:r>
    </w:p>
    <w:p>
      <w:pPr>
        <w:pStyle w:val="Heading2"/>
      </w:pPr>
      <w:r>
        <w:t xml:space="preserve">Updating the data</w:t>
      </w:r>
    </w:p>
    <w:p>
      <w:pPr>
        <w:pStyle w:val="ListParagraph"/>
        <w:numPr>
          <w:ilvl w:val="0"/>
          <w:numId w:val="2"/>
        </w:numPr>
        <w:spacing w:after="90" w:line="288"/>
        <w:jc w:val="both"/>
      </w:pPr>
      <w:r>
        <w:rPr>
          <w:sz w:val="21"/>
          <w:szCs w:val="21"/>
        </w:rPr>
        <w:t xml:space="preserve">Open the Data collection tab.</w:t>
      </w:r>
    </w:p>
    <w:p>
      <w:pPr>
        <w:pStyle w:val="ListParagraph"/>
        <w:numPr>
          <w:ilvl w:val="0"/>
          <w:numId w:val="2"/>
        </w:numPr>
        <w:spacing w:after="90" w:line="288"/>
        <w:jc w:val="both"/>
      </w:pPr>
      <w:r>
        <w:rPr>
          <w:sz w:val="21"/>
          <w:szCs w:val="21"/>
        </w:rPr>
        <w:t xml:space="preserve">Choose the scope, preferably one category.</w:t>
      </w:r>
    </w:p>
    <w:p>
      <w:pPr>
        <w:pStyle w:val="ListParagraph"/>
        <w:numPr>
          <w:ilvl w:val="0"/>
          <w:numId w:val="2"/>
        </w:numPr>
        <w:spacing w:after="90" w:line="288"/>
        <w:jc w:val="both"/>
      </w:pPr>
      <w:r>
        <w:rPr>
          <w:sz w:val="21"/>
          <w:szCs w:val="21"/>
        </w:rPr>
        <w:t xml:space="preserve">Click Refresh and let the run finish.</w:t>
      </w:r>
    </w:p>
    <w:p>
      <w:pPr>
        <w:pStyle w:val="ListParagraph"/>
        <w:numPr>
          <w:ilvl w:val="0"/>
          <w:numId w:val="2"/>
        </w:numPr>
        <w:spacing w:after="90" w:line="288"/>
        <w:jc w:val="both"/>
      </w:pPr>
      <w:r>
        <w:rPr>
          <w:sz w:val="21"/>
          <w:szCs w:val="21"/>
        </w:rPr>
        <w:t xml:space="preserve">Read the line added to the log, especially the errors column.</w:t>
      </w:r>
    </w:p>
    <w:p>
      <w:pPr>
        <w:pStyle w:val="ListParagraph"/>
        <w:numPr>
          <w:ilvl w:val="0"/>
          <w:numId w:val="2"/>
        </w:numPr>
        <w:spacing w:after="90" w:line="288"/>
        <w:jc w:val="both"/>
      </w:pPr>
      <w:r>
        <w:rPr>
          <w:sz w:val="21"/>
          <w:szCs w:val="21"/>
        </w:rPr>
        <w:t xml:space="preserve">Return to the dashboard and check that the period has extended.</w:t>
      </w:r>
    </w:p>
    <w:p>
      <w:r>
        <w:br w:type="page"/>
      </w:r>
    </w:p>
    <w:p>
      <w:pPr>
        <w:spacing w:after="60" w:before="0"/>
      </w:pPr>
      <w:r>
        <w:rPr>
          <w:b/>
          <w:bCs/>
          <w:color w:val="C8A24A"/>
          <w:sz w:val="20"/>
          <w:szCs w:val="20"/>
        </w:rPr>
        <w:t xml:space="preserve">Chapter 11</w:t>
      </w:r>
    </w:p>
    <w:p>
      <w:pPr>
        <w:pStyle w:val="Heading1"/>
        <w:spacing w:after="220" w:before="0"/>
      </w:pPr>
      <w:r>
        <w:t xml:space="preserve">Frequently asked questions</w:t>
      </w:r>
    </w:p>
    <w:p>
      <w:pPr>
        <w:pStyle w:val="Heading2"/>
      </w:pPr>
      <w:r>
        <w:t xml:space="preserve">The filter only offers annual frequency</w:t>
      </w:r>
    </w:p>
    <w:p>
      <w:pPr>
        <w:spacing w:after="140" w:line="288"/>
        <w:jc w:val="both"/>
      </w:pPr>
      <w:r>
        <w:rPr>
          <w:b w:val="false"/>
          <w:bCs w:val="false"/>
          <w:i w:val="false"/>
          <w:iCs w:val="false"/>
          <w:sz w:val="21"/>
          <w:szCs w:val="21"/>
        </w:rPr>
        <w:t xml:space="preserve">That is the normal case for most indicators: the World Bank publishes annual data only. Only commodity prices exist monthly.</w:t>
      </w:r>
    </w:p>
    <w:p>
      <w:pPr>
        <w:pStyle w:val="Heading2"/>
      </w:pPr>
      <w:r>
        <w:t xml:space="preserve">An indicator is marked as not collected</w:t>
      </w:r>
    </w:p>
    <w:p>
      <w:pPr>
        <w:spacing w:after="140" w:line="288"/>
        <w:jc w:val="both"/>
      </w:pPr>
      <w:r>
        <w:rPr>
          <w:b w:val="false"/>
          <w:bCs w:val="false"/>
          <w:i w:val="false"/>
          <w:iCs w:val="false"/>
          <w:sz w:val="21"/>
          <w:szCs w:val="21"/>
        </w:rPr>
        <w:t xml:space="preserve">It is in the catalogue but has never been retrieved. Run a collection on its category from the Data collection tab.</w:t>
      </w:r>
    </w:p>
    <w:p>
      <w:pPr>
        <w:pStyle w:val="Heading2"/>
      </w:pPr>
      <w:r>
        <w:t xml:space="preserve">The chart is empty although the indicator is collected</w:t>
      </w:r>
    </w:p>
    <w:p>
      <w:pPr>
        <w:spacing w:after="140" w:line="288"/>
        <w:jc w:val="both"/>
      </w:pPr>
      <w:r>
        <w:rPr>
          <w:b w:val="false"/>
          <w:bCs w:val="false"/>
          <w:i w:val="false"/>
          <w:iCs w:val="false"/>
          <w:sz w:val="21"/>
          <w:szCs w:val="21"/>
        </w:rPr>
        <w:t xml:space="preserve">Widen the period, or check that the selected countries are populated for that indicator. Coverage varies a great deal: a poverty indicator may exist for only three years out of sixty in a given country.</w:t>
      </w:r>
    </w:p>
    <w:p>
      <w:pPr>
        <w:pStyle w:val="Heading2"/>
      </w:pPr>
      <w:r>
        <w:t xml:space="preserve">The map stays grey for many countries</w:t>
      </w:r>
    </w:p>
    <w:p>
      <w:pPr>
        <w:spacing w:after="140" w:line="288"/>
        <w:jc w:val="both"/>
      </w:pPr>
      <w:r>
        <w:rPr>
          <w:b w:val="false"/>
          <w:bCs w:val="false"/>
          <w:i w:val="false"/>
          <w:iCs w:val="false"/>
          <w:sz w:val="21"/>
          <w:szCs w:val="21"/>
        </w:rPr>
        <w:t xml:space="preserve">Those countries have no value for the displayed year. Move the slider to an earlier year: coverage is often better a few years back than for the most recent year.</w:t>
      </w:r>
    </w:p>
    <w:p>
      <w:pPr>
        <w:pStyle w:val="Heading2"/>
      </w:pPr>
      <w:r>
        <w:t xml:space="preserve">Can a value be edited</w:t>
      </w:r>
    </w:p>
    <w:p>
      <w:pPr>
        <w:spacing w:after="140" w:line="288"/>
        <w:jc w:val="both"/>
      </w:pPr>
      <w:r>
        <w:rPr>
          <w:b w:val="false"/>
          <w:bCs w:val="false"/>
          <w:i w:val="false"/>
          <w:iCs w:val="false"/>
          <w:sz w:val="21"/>
          <w:szCs w:val="21"/>
        </w:rPr>
        <w:t xml:space="preserve">No. The platform is read-only for the user. An erroneous value is the provider's responsibility and should be reported to them.</w:t>
      </w:r>
    </w:p>
    <w:p>
      <w:pPr>
        <w:pStyle w:val="Heading2"/>
      </w:pPr>
      <w:r>
        <w:t xml:space="preserve">Do the projections commit the ministry</w:t>
      </w:r>
    </w:p>
    <w:p>
      <w:pPr>
        <w:spacing w:after="140" w:line="288"/>
        <w:jc w:val="both"/>
      </w:pPr>
      <w:r>
        <w:rPr>
          <w:b w:val="false"/>
          <w:bCs w:val="false"/>
          <w:i w:val="false"/>
          <w:iCs w:val="false"/>
          <w:sz w:val="21"/>
          <w:szCs w:val="21"/>
        </w:rPr>
        <w:t xml:space="preserve">No. They are statistical extensions of the observed series, with no policy assumption. They must not be circulated as an institutional forecast.</w:t>
      </w:r>
    </w:p>
    <w:p>
      <w:pPr>
        <w:pStyle w:val="Heading2"/>
      </w:pPr>
      <w:r>
        <w:t xml:space="preserve">A pie chart shows a warning</w:t>
      </w:r>
    </w:p>
    <w:p>
      <w:pPr>
        <w:spacing w:after="140" w:line="288"/>
        <w:jc w:val="both"/>
      </w:pPr>
      <w:r>
        <w:rPr>
          <w:b w:val="false"/>
          <w:bCs w:val="false"/>
          <w:i w:val="false"/>
          <w:iCs w:val="false"/>
          <w:sz w:val="21"/>
          <w:szCs w:val="21"/>
        </w:rPr>
        <w:t xml:space="preserve">The series shown are not additive, for instance shares of gross domestic product. The pie total then means nothing. Choose a quantity in levels, or another chart type.</w:t>
      </w:r>
    </w:p>
    <w:p>
      <w:r>
        <w:br w:type="page"/>
      </w:r>
    </w:p>
    <w:p>
      <w:pPr>
        <w:spacing w:after="60" w:before="0"/>
      </w:pPr>
      <w:r>
        <w:rPr>
          <w:b/>
          <w:bCs/>
          <w:color w:val="C8A24A"/>
          <w:sz w:val="20"/>
          <w:szCs w:val="20"/>
        </w:rPr>
        <w:t xml:space="preserve">Appendix A</w:t>
      </w:r>
    </w:p>
    <w:p>
      <w:pPr>
        <w:pStyle w:val="Heading1"/>
        <w:spacing w:after="220" w:before="0"/>
      </w:pPr>
      <w:r>
        <w:t xml:space="preserve">Indicator catalogue</w:t>
      </w:r>
    </w:p>
    <w:p>
      <w:pPr>
        <w:spacing w:after="140" w:line="288"/>
        <w:jc w:val="both"/>
      </w:pPr>
      <w:r>
        <w:rPr>
          <w:b w:val="false"/>
          <w:bCs w:val="false"/>
          <w:i w:val="false"/>
          <w:iCs w:val="false"/>
          <w:sz w:val="21"/>
          <w:szCs w:val="21"/>
        </w:rPr>
        <w:t xml:space="preserve">The tables below list the 233 active indicators by category. The collection code is the one used with the provider: it must not be altered. Unless stated otherwise the frequency is annual; commodity prices are monthly and also aggregated into annual averages.</w:t>
      </w:r>
    </w:p>
    <w:p>
      <w:pPr>
        <w:pStyle w:val="Heading2"/>
      </w:pPr>
      <w:r>
        <w:t xml:space="preserve">C01. Commodities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50"/>
        <w:gridCol w:w="2000"/>
        <w:gridCol w:w="1250"/>
        <w:gridCol w:w="2270"/>
      </w:tblGrid>
      <w:tr>
        <w:trPr>
          <w:tblHeader/>
        </w:trPr>
        <w:tc>
          <w:tcPr>
            <w:tcW w:type="dxa" w:w="3550"/>
            <w:shd w:fill="1F3864" w:color="auto" w:val="clear"/>
            <w:tcMar>
              <w:top w:type="dxa" w:w="60"/>
              <w:left w:type="dxa" w:w="90"/>
              <w:bottom w:type="dxa" w:w="60"/>
              <w:right w:type="dxa" w:w="90"/>
            </w:tcMar>
          </w:tcPr>
          <w:p>
            <w:pPr>
              <w:spacing w:after="0" w:line="240"/>
              <w:jc w:val="left"/>
            </w:pPr>
            <w:r>
              <w:rPr>
                <w:b/>
                <w:bCs/>
                <w:color w:val="FFFFFF"/>
                <w:sz w:val="18"/>
                <w:szCs w:val="18"/>
              </w:rPr>
              <w:t xml:space="preserve">Indicator</w:t>
            </w:r>
          </w:p>
        </w:tc>
        <w:tc>
          <w:tcPr>
            <w:tcW w:type="dxa" w:w="2000"/>
            <w:shd w:fill="1F3864" w:color="auto" w:val="clear"/>
            <w:tcMar>
              <w:top w:type="dxa" w:w="60"/>
              <w:left w:type="dxa" w:w="90"/>
              <w:bottom w:type="dxa" w:w="60"/>
              <w:right w:type="dxa" w:w="90"/>
            </w:tcMar>
          </w:tcPr>
          <w:p>
            <w:pPr>
              <w:spacing w:after="0" w:line="240"/>
              <w:jc w:val="left"/>
            </w:pPr>
            <w:r>
              <w:rPr>
                <w:b/>
                <w:bCs/>
                <w:color w:val="FFFFFF"/>
                <w:sz w:val="18"/>
                <w:szCs w:val="18"/>
              </w:rPr>
              <w:t xml:space="preserve">Collection code</w:t>
            </w:r>
          </w:p>
        </w:tc>
        <w:tc>
          <w:tcPr>
            <w:tcW w:type="dxa" w:w="1250"/>
            <w:shd w:fill="1F3864" w:color="auto" w:val="clear"/>
            <w:tcMar>
              <w:top w:type="dxa" w:w="60"/>
              <w:left w:type="dxa" w:w="90"/>
              <w:bottom w:type="dxa" w:w="60"/>
              <w:right w:type="dxa" w:w="90"/>
            </w:tcMar>
          </w:tcPr>
          <w:p>
            <w:pPr>
              <w:spacing w:after="0" w:line="240"/>
              <w:jc w:val="left"/>
            </w:pPr>
            <w:r>
              <w:rPr>
                <w:b/>
                <w:bCs/>
                <w:color w:val="FFFFFF"/>
                <w:sz w:val="18"/>
                <w:szCs w:val="18"/>
              </w:rPr>
              <w:t xml:space="preserve">Source</w:t>
            </w:r>
          </w:p>
        </w:tc>
        <w:tc>
          <w:tcPr>
            <w:tcW w:type="dxa" w:w="2270"/>
            <w:shd w:fill="1F3864" w:color="auto" w:val="clear"/>
            <w:tcMar>
              <w:top w:type="dxa" w:w="60"/>
              <w:left w:type="dxa" w:w="90"/>
              <w:bottom w:type="dxa" w:w="60"/>
              <w:right w:type="dxa" w:w="90"/>
            </w:tcMar>
          </w:tcPr>
          <w:p>
            <w:pPr>
              <w:spacing w:after="0" w:line="240"/>
              <w:jc w:val="left"/>
            </w:pPr>
            <w:r>
              <w:rPr>
                <w:b/>
                <w:bCs/>
                <w:color w:val="FFFFFF"/>
                <w:sz w:val="18"/>
                <w:szCs w:val="18"/>
              </w:rPr>
              <w:t xml:space="preserve">Unit</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Aluminium</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PALUM</w:t>
            </w:r>
          </w:p>
        </w:tc>
        <w:tc>
          <w:tcPr>
            <w:tcW w:type="dxa" w:w="1250"/>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tcMar>
              <w:top w:type="dxa" w:w="60"/>
              <w:left w:type="dxa" w:w="90"/>
              <w:bottom w:type="dxa" w:w="60"/>
              <w:right w:type="dxa" w:w="90"/>
            </w:tcMar>
          </w:tcPr>
          <w:p>
            <w:pPr>
              <w:spacing w:after="0" w:line="240"/>
              <w:jc w:val="left"/>
            </w:pPr>
            <w:r>
              <w:rPr>
                <w:color w:val="000000"/>
                <w:sz w:val="16"/>
                <w:szCs w:val="16"/>
              </w:rPr>
              <w:t xml:space="preserve">USD / tonne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Bananas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PBANSOP</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 tonne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Wheat</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PWHEAMT</w:t>
            </w:r>
          </w:p>
        </w:tc>
        <w:tc>
          <w:tcPr>
            <w:tcW w:type="dxa" w:w="1250"/>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tcMar>
              <w:top w:type="dxa" w:w="60"/>
              <w:left w:type="dxa" w:w="90"/>
              <w:bottom w:type="dxa" w:w="60"/>
              <w:right w:type="dxa" w:w="90"/>
            </w:tcMar>
          </w:tcPr>
          <w:p>
            <w:pPr>
              <w:spacing w:after="0" w:line="240"/>
              <w:jc w:val="left"/>
            </w:pPr>
            <w:r>
              <w:rPr>
                <w:color w:val="000000"/>
                <w:sz w:val="16"/>
                <w:szCs w:val="16"/>
              </w:rPr>
              <w:t xml:space="preserve">USD / tonne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Cocoa</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PCOCO</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 tonne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Coffee, Arabica</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PCOFFOTM</w:t>
            </w:r>
          </w:p>
        </w:tc>
        <w:tc>
          <w:tcPr>
            <w:tcW w:type="dxa" w:w="1250"/>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tcMar>
              <w:top w:type="dxa" w:w="60"/>
              <w:left w:type="dxa" w:w="90"/>
              <w:bottom w:type="dxa" w:w="60"/>
              <w:right w:type="dxa" w:w="90"/>
            </w:tcMar>
          </w:tcPr>
          <w:p>
            <w:pPr>
              <w:spacing w:after="0" w:line="240"/>
              <w:jc w:val="left"/>
            </w:pPr>
            <w:r>
              <w:rPr>
                <w:color w:val="000000"/>
                <w:sz w:val="16"/>
                <w:szCs w:val="16"/>
              </w:rPr>
              <w:t xml:space="preserve">cents US / livre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Coffee, Robusta</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PCOFFROB</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cents US / livre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Rubber</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PRUBB</w:t>
            </w:r>
          </w:p>
        </w:tc>
        <w:tc>
          <w:tcPr>
            <w:tcW w:type="dxa" w:w="1250"/>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tcMar>
              <w:top w:type="dxa" w:w="60"/>
              <w:left w:type="dxa" w:w="90"/>
              <w:bottom w:type="dxa" w:w="60"/>
              <w:right w:type="dxa" w:w="90"/>
            </w:tcMar>
          </w:tcPr>
          <w:p>
            <w:pPr>
              <w:spacing w:after="0" w:line="240"/>
              <w:jc w:val="left"/>
            </w:pPr>
            <w:r>
              <w:rPr>
                <w:color w:val="000000"/>
                <w:sz w:val="16"/>
                <w:szCs w:val="16"/>
              </w:rPr>
              <w:t xml:space="preserve">cents US / livre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Coal, Australia</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PCOALAU</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 tonne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Cotton</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PCOTTIND</w:t>
            </w:r>
          </w:p>
        </w:tc>
        <w:tc>
          <w:tcPr>
            <w:tcW w:type="dxa" w:w="1250"/>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tcMar>
              <w:top w:type="dxa" w:w="60"/>
              <w:left w:type="dxa" w:w="90"/>
              <w:bottom w:type="dxa" w:w="60"/>
              <w:right w:type="dxa" w:w="90"/>
            </w:tcMar>
          </w:tcPr>
          <w:p>
            <w:pPr>
              <w:spacing w:after="0" w:line="240"/>
              <w:jc w:val="left"/>
            </w:pPr>
            <w:r>
              <w:rPr>
                <w:color w:val="000000"/>
                <w:sz w:val="16"/>
                <w:szCs w:val="16"/>
              </w:rPr>
              <w:t xml:space="preserve">cents US / livre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Crude oil, average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POILAPSP</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 baril</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Copper</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PCOPP</w:t>
            </w:r>
          </w:p>
        </w:tc>
        <w:tc>
          <w:tcPr>
            <w:tcW w:type="dxa" w:w="1250"/>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tcMar>
              <w:top w:type="dxa" w:w="60"/>
              <w:left w:type="dxa" w:w="90"/>
              <w:bottom w:type="dxa" w:w="60"/>
              <w:right w:type="dxa" w:w="90"/>
            </w:tcMar>
          </w:tcPr>
          <w:p>
            <w:pPr>
              <w:spacing w:after="0" w:line="240"/>
              <w:jc w:val="left"/>
            </w:pPr>
            <w:r>
              <w:rPr>
                <w:color w:val="000000"/>
                <w:sz w:val="16"/>
                <w:szCs w:val="16"/>
              </w:rPr>
              <w:t xml:space="preserve">USD / tonne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Natural gas, Europe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PNGASEU</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 MBtu</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Logs, Cameroon</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PLOGSK</w:t>
            </w:r>
          </w:p>
        </w:tc>
        <w:tc>
          <w:tcPr>
            <w:tcW w:type="dxa" w:w="1250"/>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tcMar>
              <w:top w:type="dxa" w:w="60"/>
              <w:left w:type="dxa" w:w="90"/>
              <w:bottom w:type="dxa" w:w="60"/>
              <w:right w:type="dxa" w:w="90"/>
            </w:tcMar>
          </w:tcPr>
          <w:p>
            <w:pPr>
              <w:spacing w:after="0" w:line="240"/>
              <w:jc w:val="left"/>
            </w:pPr>
            <w:r>
              <w:rPr>
                <w:color w:val="000000"/>
                <w:sz w:val="16"/>
                <w:szCs w:val="16"/>
              </w:rPr>
              <w:t xml:space="preserve">USD / m3</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Palm oil</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PPOIL</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 tonne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Food price index</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PFANDBW</w:t>
            </w:r>
          </w:p>
        </w:tc>
        <w:tc>
          <w:tcPr>
            <w:tcW w:type="dxa" w:w="1250"/>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tcMar>
              <w:top w:type="dxa" w:w="60"/>
              <w:left w:type="dxa" w:w="90"/>
              <w:bottom w:type="dxa" w:w="60"/>
              <w:right w:type="dxa" w:w="90"/>
            </w:tcMar>
          </w:tcPr>
          <w:p>
            <w:pPr>
              <w:spacing w:after="0" w:line="240"/>
              <w:jc w:val="left"/>
            </w:pPr>
            <w:r>
              <w:rPr>
                <w:color w:val="000000"/>
                <w:sz w:val="16"/>
                <w:szCs w:val="16"/>
              </w:rPr>
              <w:t xml:space="preserve">Indice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Non-energy price index</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PALLFNFW</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Indice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Agricultural raw materials price index</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PRAWMW</w:t>
            </w:r>
          </w:p>
        </w:tc>
        <w:tc>
          <w:tcPr>
            <w:tcW w:type="dxa" w:w="1250"/>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tcMar>
              <w:top w:type="dxa" w:w="60"/>
              <w:left w:type="dxa" w:w="90"/>
              <w:bottom w:type="dxa" w:w="60"/>
              <w:right w:type="dxa" w:w="90"/>
            </w:tcMar>
          </w:tcPr>
          <w:p>
            <w:pPr>
              <w:spacing w:after="0" w:line="240"/>
              <w:jc w:val="left"/>
            </w:pPr>
            <w:r>
              <w:rPr>
                <w:color w:val="000000"/>
                <w:sz w:val="16"/>
                <w:szCs w:val="16"/>
              </w:rPr>
              <w:t xml:space="preserve">Indice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Metals and minerals price index</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PMETAW</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Indice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Energy price index</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PNRGW</w:t>
            </w:r>
          </w:p>
        </w:tc>
        <w:tc>
          <w:tcPr>
            <w:tcW w:type="dxa" w:w="1250"/>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tcMar>
              <w:top w:type="dxa" w:w="60"/>
              <w:left w:type="dxa" w:w="90"/>
              <w:bottom w:type="dxa" w:w="60"/>
              <w:right w:type="dxa" w:w="90"/>
            </w:tcMar>
          </w:tcPr>
          <w:p>
            <w:pPr>
              <w:spacing w:after="0" w:line="240"/>
              <w:jc w:val="left"/>
            </w:pPr>
            <w:r>
              <w:rPr>
                <w:color w:val="000000"/>
                <w:sz w:val="16"/>
                <w:szCs w:val="16"/>
              </w:rPr>
              <w:t xml:space="preserve">Indice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Maize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PMAIZMT</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 tonne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Iron ore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PIORECR</w:t>
            </w:r>
          </w:p>
        </w:tc>
        <w:tc>
          <w:tcPr>
            <w:tcW w:type="dxa" w:w="1250"/>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tcMar>
              <w:top w:type="dxa" w:w="60"/>
              <w:left w:type="dxa" w:w="90"/>
              <w:bottom w:type="dxa" w:w="60"/>
              <w:right w:type="dxa" w:w="90"/>
            </w:tcMar>
          </w:tcPr>
          <w:p>
            <w:pPr>
              <w:spacing w:after="0" w:line="240"/>
              <w:jc w:val="left"/>
            </w:pPr>
            <w:r>
              <w:rPr>
                <w:color w:val="000000"/>
                <w:sz w:val="16"/>
                <w:szCs w:val="16"/>
              </w:rPr>
              <w:t xml:space="preserve">USD / tonne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Gold</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PGOLD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 once troy</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Crude oil, Brent</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POILBRE</w:t>
            </w:r>
          </w:p>
        </w:tc>
        <w:tc>
          <w:tcPr>
            <w:tcW w:type="dxa" w:w="1250"/>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tcMar>
              <w:top w:type="dxa" w:w="60"/>
              <w:left w:type="dxa" w:w="90"/>
              <w:bottom w:type="dxa" w:w="60"/>
              <w:right w:type="dxa" w:w="90"/>
            </w:tcMar>
          </w:tcPr>
          <w:p>
            <w:pPr>
              <w:spacing w:after="0" w:line="240"/>
              <w:jc w:val="left"/>
            </w:pPr>
            <w:r>
              <w:rPr>
                <w:color w:val="000000"/>
                <w:sz w:val="16"/>
                <w:szCs w:val="16"/>
              </w:rPr>
              <w:t xml:space="preserve">USD / baril</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Crude oil, Dubai</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POILDUB</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 baril</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Crude oil, WTI</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POILWTI</w:t>
            </w:r>
          </w:p>
        </w:tc>
        <w:tc>
          <w:tcPr>
            <w:tcW w:type="dxa" w:w="1250"/>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tcMar>
              <w:top w:type="dxa" w:w="60"/>
              <w:left w:type="dxa" w:w="90"/>
              <w:bottom w:type="dxa" w:w="60"/>
              <w:right w:type="dxa" w:w="90"/>
            </w:tcMar>
          </w:tcPr>
          <w:p>
            <w:pPr>
              <w:spacing w:after="0" w:line="240"/>
              <w:jc w:val="left"/>
            </w:pPr>
            <w:r>
              <w:rPr>
                <w:color w:val="000000"/>
                <w:sz w:val="16"/>
                <w:szCs w:val="16"/>
              </w:rPr>
              <w:t xml:space="preserve">USD / baril</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Rice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PRICENPQ</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 tonne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Sawnwood, Cameroon</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PSAWMAL</w:t>
            </w:r>
          </w:p>
        </w:tc>
        <w:tc>
          <w:tcPr>
            <w:tcW w:type="dxa" w:w="1250"/>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tcMar>
              <w:top w:type="dxa" w:w="60"/>
              <w:left w:type="dxa" w:w="90"/>
              <w:bottom w:type="dxa" w:w="60"/>
              <w:right w:type="dxa" w:w="90"/>
            </w:tcMar>
          </w:tcPr>
          <w:p>
            <w:pPr>
              <w:spacing w:after="0" w:line="240"/>
              <w:jc w:val="left"/>
            </w:pPr>
            <w:r>
              <w:rPr>
                <w:color w:val="000000"/>
                <w:sz w:val="16"/>
                <w:szCs w:val="16"/>
              </w:rPr>
              <w:t xml:space="preserve">USD / m3</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Sugar</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PSUGAISA</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cents US / livre</w:t>
            </w:r>
          </w:p>
        </w:tc>
      </w:tr>
    </w:tbl>
    <w:p>
      <w:pPr>
        <w:spacing w:after="230" w:before="90"/>
        <w:jc w:val="center"/>
      </w:pPr>
      <w:r>
        <w:rPr>
          <w:i/>
          <w:iCs/>
          <w:color w:val="5C6672"/>
          <w:sz w:val="17"/>
          <w:szCs w:val="17"/>
        </w:rPr>
        <w:t xml:space="preserve">Table 8 – Commodities</w:t>
      </w:r>
    </w:p>
    <w:p>
      <w:pPr>
        <w:pStyle w:val="Heading2"/>
      </w:pPr>
      <w:r>
        <w:t xml:space="preserve">C02. Real sector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50"/>
        <w:gridCol w:w="2000"/>
        <w:gridCol w:w="1250"/>
        <w:gridCol w:w="2270"/>
      </w:tblGrid>
      <w:tr>
        <w:trPr>
          <w:tblHeader/>
        </w:trPr>
        <w:tc>
          <w:tcPr>
            <w:tcW w:type="dxa" w:w="3550"/>
            <w:shd w:fill="1F3864" w:color="auto" w:val="clear"/>
            <w:tcMar>
              <w:top w:type="dxa" w:w="60"/>
              <w:left w:type="dxa" w:w="90"/>
              <w:bottom w:type="dxa" w:w="60"/>
              <w:right w:type="dxa" w:w="90"/>
            </w:tcMar>
          </w:tcPr>
          <w:p>
            <w:pPr>
              <w:spacing w:after="0" w:line="240"/>
              <w:jc w:val="left"/>
            </w:pPr>
            <w:r>
              <w:rPr>
                <w:b/>
                <w:bCs/>
                <w:color w:val="FFFFFF"/>
                <w:sz w:val="18"/>
                <w:szCs w:val="18"/>
              </w:rPr>
              <w:t xml:space="preserve">Indicator</w:t>
            </w:r>
          </w:p>
        </w:tc>
        <w:tc>
          <w:tcPr>
            <w:tcW w:type="dxa" w:w="2000"/>
            <w:shd w:fill="1F3864" w:color="auto" w:val="clear"/>
            <w:tcMar>
              <w:top w:type="dxa" w:w="60"/>
              <w:left w:type="dxa" w:w="90"/>
              <w:bottom w:type="dxa" w:w="60"/>
              <w:right w:type="dxa" w:w="90"/>
            </w:tcMar>
          </w:tcPr>
          <w:p>
            <w:pPr>
              <w:spacing w:after="0" w:line="240"/>
              <w:jc w:val="left"/>
            </w:pPr>
            <w:r>
              <w:rPr>
                <w:b/>
                <w:bCs/>
                <w:color w:val="FFFFFF"/>
                <w:sz w:val="18"/>
                <w:szCs w:val="18"/>
              </w:rPr>
              <w:t xml:space="preserve">Collection code</w:t>
            </w:r>
          </w:p>
        </w:tc>
        <w:tc>
          <w:tcPr>
            <w:tcW w:type="dxa" w:w="1250"/>
            <w:shd w:fill="1F3864" w:color="auto" w:val="clear"/>
            <w:tcMar>
              <w:top w:type="dxa" w:w="60"/>
              <w:left w:type="dxa" w:w="90"/>
              <w:bottom w:type="dxa" w:w="60"/>
              <w:right w:type="dxa" w:w="90"/>
            </w:tcMar>
          </w:tcPr>
          <w:p>
            <w:pPr>
              <w:spacing w:after="0" w:line="240"/>
              <w:jc w:val="left"/>
            </w:pPr>
            <w:r>
              <w:rPr>
                <w:b/>
                <w:bCs/>
                <w:color w:val="FFFFFF"/>
                <w:sz w:val="18"/>
                <w:szCs w:val="18"/>
              </w:rPr>
              <w:t xml:space="preserve">Source</w:t>
            </w:r>
          </w:p>
        </w:tc>
        <w:tc>
          <w:tcPr>
            <w:tcW w:type="dxa" w:w="2270"/>
            <w:shd w:fill="1F3864" w:color="auto" w:val="clear"/>
            <w:tcMar>
              <w:top w:type="dxa" w:w="60"/>
              <w:left w:type="dxa" w:w="90"/>
              <w:bottom w:type="dxa" w:w="60"/>
              <w:right w:type="dxa" w:w="90"/>
            </w:tcMar>
          </w:tcPr>
          <w:p>
            <w:pPr>
              <w:spacing w:after="0" w:line="240"/>
              <w:jc w:val="left"/>
            </w:pPr>
            <w:r>
              <w:rPr>
                <w:b/>
                <w:bCs/>
                <w:color w:val="FFFFFF"/>
                <w:sz w:val="18"/>
                <w:szCs w:val="18"/>
              </w:rPr>
              <w:t xml:space="preserve">Unit</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General government consumption</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NE.CON.GOVT.ZS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Household final consumption</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NE.CON.PRVT.ZS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GDP per capita growth</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NY.GDP.PCAP.KD.ZG</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GDP deflator, annual change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NY.GDP.DEFL.KD.ZG</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Exports of goods and services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NE.EXP.GNFS.ZS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Gross capital formation</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NE.GDI.TOTL.ZS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Gross fixed capital formation</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NE.GDI.FTOT.ZS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Imports of goods and services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NE.IMP.GNFS.ZS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Total investment</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NID_NGDP</w:t>
            </w:r>
          </w:p>
        </w:tc>
        <w:tc>
          <w:tcPr>
            <w:tcW w:type="dxa" w:w="1250"/>
            <w:tcMar>
              <w:top w:type="dxa" w:w="60"/>
              <w:left w:type="dxa" w:w="90"/>
              <w:bottom w:type="dxa" w:w="60"/>
              <w:right w:type="dxa" w:w="90"/>
            </w:tcMar>
          </w:tcPr>
          <w:p>
            <w:pPr>
              <w:spacing w:after="0" w:line="240"/>
              <w:jc w:val="left"/>
            </w:pPr>
            <w:r>
              <w:rPr>
                <w:color w:val="000000"/>
                <w:sz w:val="16"/>
                <w:szCs w:val="16"/>
              </w:rPr>
              <w:t xml:space="preserve">FMI · WEO</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GDP, national currency</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NGDP</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FMI · WEO</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Mds LCU</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GDP, US dollars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NGDPD</w:t>
            </w:r>
          </w:p>
        </w:tc>
        <w:tc>
          <w:tcPr>
            <w:tcW w:type="dxa" w:w="1250"/>
            <w:tcMar>
              <w:top w:type="dxa" w:w="60"/>
              <w:left w:type="dxa" w:w="90"/>
              <w:bottom w:type="dxa" w:w="60"/>
              <w:right w:type="dxa" w:w="90"/>
            </w:tcMar>
          </w:tcPr>
          <w:p>
            <w:pPr>
              <w:spacing w:after="0" w:line="240"/>
              <w:jc w:val="left"/>
            </w:pPr>
            <w:r>
              <w:rPr>
                <w:color w:val="000000"/>
                <w:sz w:val="16"/>
                <w:szCs w:val="16"/>
              </w:rPr>
              <w:t xml:space="preserve">FMI · WEO</w:t>
            </w:r>
          </w:p>
        </w:tc>
        <w:tc>
          <w:tcPr>
            <w:tcW w:type="dxa" w:w="2270"/>
            <w:tcMar>
              <w:top w:type="dxa" w:w="60"/>
              <w:left w:type="dxa" w:w="90"/>
              <w:bottom w:type="dxa" w:w="60"/>
              <w:right w:type="dxa" w:w="90"/>
            </w:tcMar>
          </w:tcPr>
          <w:p>
            <w:pPr>
              <w:spacing w:after="0" w:line="240"/>
              <w:jc w:val="left"/>
            </w:pPr>
            <w:r>
              <w:rPr>
                <w:color w:val="000000"/>
                <w:sz w:val="16"/>
                <w:szCs w:val="16"/>
              </w:rPr>
              <w:t xml:space="preserve">Mds USD</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GDP per capita, PPP</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NY.GDP.PCAP.PP.CD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PPA</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GDP per capita, constant prices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NY.GDP.PCAP.KD</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USD constants 2015</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GDP per capita, current prices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NY.GDP.PCAP.CD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GDP, PPP</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PPPGDP</w:t>
            </w:r>
          </w:p>
        </w:tc>
        <w:tc>
          <w:tcPr>
            <w:tcW w:type="dxa" w:w="1250"/>
            <w:tcMar>
              <w:top w:type="dxa" w:w="60"/>
              <w:left w:type="dxa" w:w="90"/>
              <w:bottom w:type="dxa" w:w="60"/>
              <w:right w:type="dxa" w:w="90"/>
            </w:tcMar>
          </w:tcPr>
          <w:p>
            <w:pPr>
              <w:spacing w:after="0" w:line="240"/>
              <w:jc w:val="left"/>
            </w:pPr>
            <w:r>
              <w:rPr>
                <w:color w:val="000000"/>
                <w:sz w:val="16"/>
                <w:szCs w:val="16"/>
              </w:rPr>
              <w:t xml:space="preserve">FMI · WEO</w:t>
            </w:r>
          </w:p>
        </w:tc>
        <w:tc>
          <w:tcPr>
            <w:tcW w:type="dxa" w:w="2270"/>
            <w:tcMar>
              <w:top w:type="dxa" w:w="60"/>
              <w:left w:type="dxa" w:w="90"/>
              <w:bottom w:type="dxa" w:w="60"/>
              <w:right w:type="dxa" w:w="90"/>
            </w:tcMar>
          </w:tcPr>
          <w:p>
            <w:pPr>
              <w:spacing w:after="0" w:line="240"/>
              <w:jc w:val="left"/>
            </w:pPr>
            <w:r>
              <w:rPr>
                <w:color w:val="000000"/>
                <w:sz w:val="16"/>
                <w:szCs w:val="16"/>
              </w:rPr>
              <w:t xml:space="preserve">Mds USD PPA</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Share of world GDP (PPP)</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PPPSH</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FMI · WEO</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GDP, constant prices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NY.GDP.MKTP.KD</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USD constants 2015</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GDP, current prices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NY.GDP.MKTP.CD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GNI per capita, Atlas method</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NY.GNP.PCAP.CD</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GDP growth</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NY.GDP.MKTP.KD.ZG</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Real GDP growth (projections)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NGDP_RPCH</w:t>
            </w:r>
          </w:p>
        </w:tc>
        <w:tc>
          <w:tcPr>
            <w:tcW w:type="dxa" w:w="1250"/>
            <w:tcMar>
              <w:top w:type="dxa" w:w="60"/>
              <w:left w:type="dxa" w:w="90"/>
              <w:bottom w:type="dxa" w:w="60"/>
              <w:right w:type="dxa" w:w="90"/>
            </w:tcMar>
          </w:tcPr>
          <w:p>
            <w:pPr>
              <w:spacing w:after="0" w:line="240"/>
              <w:jc w:val="left"/>
            </w:pPr>
            <w:r>
              <w:rPr>
                <w:color w:val="000000"/>
                <w:sz w:val="16"/>
                <w:szCs w:val="16"/>
              </w:rPr>
              <w:t xml:space="preserve">FMI · WEO</w:t>
            </w:r>
          </w:p>
        </w:tc>
        <w:tc>
          <w:tcPr>
            <w:tcW w:type="dxa" w:w="2270"/>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Agriculture, value added</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NV.AGR.TOTL.ZS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Industry, value added</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NV.IND.TOTL.ZS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Manufacturing, value added</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NV.IND.MANF.ZS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Services, value added</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NV.SRV.TOTL.ZS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Gross domestic savings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NY.GNS.ICTR.ZS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Gross national savings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NGSD_NGDP</w:t>
            </w:r>
          </w:p>
        </w:tc>
        <w:tc>
          <w:tcPr>
            <w:tcW w:type="dxa" w:w="1250"/>
            <w:tcMar>
              <w:top w:type="dxa" w:w="60"/>
              <w:left w:type="dxa" w:w="90"/>
              <w:bottom w:type="dxa" w:w="60"/>
              <w:right w:type="dxa" w:w="90"/>
            </w:tcMar>
          </w:tcPr>
          <w:p>
            <w:pPr>
              <w:spacing w:after="0" w:line="240"/>
              <w:jc w:val="left"/>
            </w:pPr>
            <w:r>
              <w:rPr>
                <w:color w:val="000000"/>
                <w:sz w:val="16"/>
                <w:szCs w:val="16"/>
              </w:rPr>
              <w:t xml:space="preserve">FMI · WEO</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bl>
    <w:p>
      <w:pPr>
        <w:spacing w:after="230" w:before="90"/>
        <w:jc w:val="center"/>
      </w:pPr>
      <w:r>
        <w:rPr>
          <w:i/>
          <w:iCs/>
          <w:color w:val="5C6672"/>
          <w:sz w:val="17"/>
          <w:szCs w:val="17"/>
        </w:rPr>
        <w:t xml:space="preserve">Table 9 – Real sector</w:t>
      </w:r>
    </w:p>
    <w:p>
      <w:pPr>
        <w:pStyle w:val="Heading2"/>
      </w:pPr>
      <w:r>
        <w:t xml:space="preserve">C03. Public finance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50"/>
        <w:gridCol w:w="2000"/>
        <w:gridCol w:w="1250"/>
        <w:gridCol w:w="2270"/>
      </w:tblGrid>
      <w:tr>
        <w:trPr>
          <w:tblHeader/>
        </w:trPr>
        <w:tc>
          <w:tcPr>
            <w:tcW w:type="dxa" w:w="3550"/>
            <w:shd w:fill="1F3864" w:color="auto" w:val="clear"/>
            <w:tcMar>
              <w:top w:type="dxa" w:w="60"/>
              <w:left w:type="dxa" w:w="90"/>
              <w:bottom w:type="dxa" w:w="60"/>
              <w:right w:type="dxa" w:w="90"/>
            </w:tcMar>
          </w:tcPr>
          <w:p>
            <w:pPr>
              <w:spacing w:after="0" w:line="240"/>
              <w:jc w:val="left"/>
            </w:pPr>
            <w:r>
              <w:rPr>
                <w:b/>
                <w:bCs/>
                <w:color w:val="FFFFFF"/>
                <w:sz w:val="18"/>
                <w:szCs w:val="18"/>
              </w:rPr>
              <w:t xml:space="preserve">Indicator</w:t>
            </w:r>
          </w:p>
        </w:tc>
        <w:tc>
          <w:tcPr>
            <w:tcW w:type="dxa" w:w="2000"/>
            <w:shd w:fill="1F3864" w:color="auto" w:val="clear"/>
            <w:tcMar>
              <w:top w:type="dxa" w:w="60"/>
              <w:left w:type="dxa" w:w="90"/>
              <w:bottom w:type="dxa" w:w="60"/>
              <w:right w:type="dxa" w:w="90"/>
            </w:tcMar>
          </w:tcPr>
          <w:p>
            <w:pPr>
              <w:spacing w:after="0" w:line="240"/>
              <w:jc w:val="left"/>
            </w:pPr>
            <w:r>
              <w:rPr>
                <w:b/>
                <w:bCs/>
                <w:color w:val="FFFFFF"/>
                <w:sz w:val="18"/>
                <w:szCs w:val="18"/>
              </w:rPr>
              <w:t xml:space="preserve">Collection code</w:t>
            </w:r>
          </w:p>
        </w:tc>
        <w:tc>
          <w:tcPr>
            <w:tcW w:type="dxa" w:w="1250"/>
            <w:shd w:fill="1F3864" w:color="auto" w:val="clear"/>
            <w:tcMar>
              <w:top w:type="dxa" w:w="60"/>
              <w:left w:type="dxa" w:w="90"/>
              <w:bottom w:type="dxa" w:w="60"/>
              <w:right w:type="dxa" w:w="90"/>
            </w:tcMar>
          </w:tcPr>
          <w:p>
            <w:pPr>
              <w:spacing w:after="0" w:line="240"/>
              <w:jc w:val="left"/>
            </w:pPr>
            <w:r>
              <w:rPr>
                <w:b/>
                <w:bCs/>
                <w:color w:val="FFFFFF"/>
                <w:sz w:val="18"/>
                <w:szCs w:val="18"/>
              </w:rPr>
              <w:t xml:space="preserve">Source</w:t>
            </w:r>
          </w:p>
        </w:tc>
        <w:tc>
          <w:tcPr>
            <w:tcW w:type="dxa" w:w="2270"/>
            <w:shd w:fill="1F3864" w:color="auto" w:val="clear"/>
            <w:tcMar>
              <w:top w:type="dxa" w:w="60"/>
              <w:left w:type="dxa" w:w="90"/>
              <w:bottom w:type="dxa" w:w="60"/>
              <w:right w:type="dxa" w:w="90"/>
            </w:tcMar>
          </w:tcPr>
          <w:p>
            <w:pPr>
              <w:spacing w:after="0" w:line="240"/>
              <w:jc w:val="left"/>
            </w:pPr>
            <w:r>
              <w:rPr>
                <w:b/>
                <w:bCs/>
                <w:color w:val="FFFFFF"/>
                <w:sz w:val="18"/>
                <w:szCs w:val="18"/>
              </w:rPr>
              <w:t xml:space="preserve">Unit</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Net lending/borrowing</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GC.NLD.TOTL.GD.ZS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Interest payments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GC.XPN.INTP.RV.ZS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des recettes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Military expenditure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MS.MIL.XPND.GD.ZS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Central government expense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GC.XPN.TOTL.GD.ZS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General government expenditure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GGX_NGDP</w:t>
            </w:r>
          </w:p>
        </w:tc>
        <w:tc>
          <w:tcPr>
            <w:tcW w:type="dxa" w:w="1250"/>
            <w:tcMar>
              <w:top w:type="dxa" w:w="60"/>
              <w:left w:type="dxa" w:w="90"/>
              <w:bottom w:type="dxa" w:w="60"/>
              <w:right w:type="dxa" w:w="90"/>
            </w:tcMar>
          </w:tcPr>
          <w:p>
            <w:pPr>
              <w:spacing w:after="0" w:line="240"/>
              <w:jc w:val="left"/>
            </w:pPr>
            <w:r>
              <w:rPr>
                <w:color w:val="000000"/>
                <w:sz w:val="16"/>
                <w:szCs w:val="16"/>
              </w:rPr>
              <w:t xml:space="preserve">FMI · FM</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Taxes on income and profits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GC.TAX.YPKG.RV.ZS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des recettes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Compensation of employees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GC.XPN.COMP.ZS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des dépenses</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Tax revenue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GC.TAX.TOTL.GD.ZS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Revenue excluding grants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GC.REV.XGRT.GD.ZS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General government revenue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GGR_NGDP</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FMI · FM</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General government net lending/borrowing</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GGXCNL_NGDP</w:t>
            </w:r>
          </w:p>
        </w:tc>
        <w:tc>
          <w:tcPr>
            <w:tcW w:type="dxa" w:w="1250"/>
            <w:tcMar>
              <w:top w:type="dxa" w:w="60"/>
              <w:left w:type="dxa" w:w="90"/>
              <w:bottom w:type="dxa" w:w="60"/>
              <w:right w:type="dxa" w:w="90"/>
            </w:tcMar>
          </w:tcPr>
          <w:p>
            <w:pPr>
              <w:spacing w:after="0" w:line="240"/>
              <w:jc w:val="left"/>
            </w:pPr>
            <w:r>
              <w:rPr>
                <w:color w:val="000000"/>
                <w:sz w:val="16"/>
                <w:szCs w:val="16"/>
              </w:rPr>
              <w:t xml:space="preserve">FMI · FM</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General government primary balance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GGXONLB_NGDP</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FMI · FM</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General government structural balance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GGSB_NPGDP</w:t>
            </w:r>
          </w:p>
        </w:tc>
        <w:tc>
          <w:tcPr>
            <w:tcW w:type="dxa" w:w="1250"/>
            <w:tcMar>
              <w:top w:type="dxa" w:w="60"/>
              <w:left w:type="dxa" w:w="90"/>
              <w:bottom w:type="dxa" w:w="60"/>
              <w:right w:type="dxa" w:w="90"/>
            </w:tcMar>
          </w:tcPr>
          <w:p>
            <w:pPr>
              <w:spacing w:after="0" w:line="240"/>
              <w:jc w:val="left"/>
            </w:pPr>
            <w:r>
              <w:rPr>
                <w:color w:val="000000"/>
                <w:sz w:val="16"/>
                <w:szCs w:val="16"/>
              </w:rPr>
              <w:t xml:space="preserve">FMI · FM</w:t>
            </w:r>
          </w:p>
        </w:tc>
        <w:tc>
          <w:tcPr>
            <w:tcW w:type="dxa" w:w="2270"/>
            <w:tcMar>
              <w:top w:type="dxa" w:w="60"/>
              <w:left w:type="dxa" w:w="90"/>
              <w:bottom w:type="dxa" w:w="60"/>
              <w:right w:type="dxa" w:w="90"/>
            </w:tcMar>
          </w:tcPr>
          <w:p>
            <w:pPr>
              <w:spacing w:after="0" w:line="240"/>
              <w:jc w:val="left"/>
            </w:pPr>
            <w:r>
              <w:rPr>
                <w:color w:val="000000"/>
                <w:sz w:val="16"/>
                <w:szCs w:val="16"/>
              </w:rPr>
              <w:t xml:space="preserve">% du PIB pot.</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Subsidies and other transfers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GC.XPN.TRFT.ZS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des dépenses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Taxes on international trade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GC.TAX.INTT.RV.ZS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des recettes</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Taxes on goods and services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GC.TAX.GSRV.RV.ZS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des recettes</w:t>
            </w:r>
          </w:p>
        </w:tc>
      </w:tr>
    </w:tbl>
    <w:p>
      <w:pPr>
        <w:spacing w:after="230" w:before="90"/>
        <w:jc w:val="center"/>
      </w:pPr>
      <w:r>
        <w:rPr>
          <w:i/>
          <w:iCs/>
          <w:color w:val="5C6672"/>
          <w:sz w:val="17"/>
          <w:szCs w:val="17"/>
        </w:rPr>
        <w:t xml:space="preserve">Table 10 – Public finance</w:t>
      </w:r>
    </w:p>
    <w:p>
      <w:pPr>
        <w:pStyle w:val="Heading2"/>
      </w:pPr>
      <w:r>
        <w:t xml:space="preserve">C04. Monetary sector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50"/>
        <w:gridCol w:w="2000"/>
        <w:gridCol w:w="1250"/>
        <w:gridCol w:w="2270"/>
      </w:tblGrid>
      <w:tr>
        <w:trPr>
          <w:tblHeader/>
        </w:trPr>
        <w:tc>
          <w:tcPr>
            <w:tcW w:type="dxa" w:w="3550"/>
            <w:shd w:fill="1F3864" w:color="auto" w:val="clear"/>
            <w:tcMar>
              <w:top w:type="dxa" w:w="60"/>
              <w:left w:type="dxa" w:w="90"/>
              <w:bottom w:type="dxa" w:w="60"/>
              <w:right w:type="dxa" w:w="90"/>
            </w:tcMar>
          </w:tcPr>
          <w:p>
            <w:pPr>
              <w:spacing w:after="0" w:line="240"/>
              <w:jc w:val="left"/>
            </w:pPr>
            <w:r>
              <w:rPr>
                <w:b/>
                <w:bCs/>
                <w:color w:val="FFFFFF"/>
                <w:sz w:val="18"/>
                <w:szCs w:val="18"/>
              </w:rPr>
              <w:t xml:space="preserve">Indicator</w:t>
            </w:r>
          </w:p>
        </w:tc>
        <w:tc>
          <w:tcPr>
            <w:tcW w:type="dxa" w:w="2000"/>
            <w:shd w:fill="1F3864" w:color="auto" w:val="clear"/>
            <w:tcMar>
              <w:top w:type="dxa" w:w="60"/>
              <w:left w:type="dxa" w:w="90"/>
              <w:bottom w:type="dxa" w:w="60"/>
              <w:right w:type="dxa" w:w="90"/>
            </w:tcMar>
          </w:tcPr>
          <w:p>
            <w:pPr>
              <w:spacing w:after="0" w:line="240"/>
              <w:jc w:val="left"/>
            </w:pPr>
            <w:r>
              <w:rPr>
                <w:b/>
                <w:bCs/>
                <w:color w:val="FFFFFF"/>
                <w:sz w:val="18"/>
                <w:szCs w:val="18"/>
              </w:rPr>
              <w:t xml:space="preserve">Collection code</w:t>
            </w:r>
          </w:p>
        </w:tc>
        <w:tc>
          <w:tcPr>
            <w:tcW w:type="dxa" w:w="1250"/>
            <w:shd w:fill="1F3864" w:color="auto" w:val="clear"/>
            <w:tcMar>
              <w:top w:type="dxa" w:w="60"/>
              <w:left w:type="dxa" w:w="90"/>
              <w:bottom w:type="dxa" w:w="60"/>
              <w:right w:type="dxa" w:w="90"/>
            </w:tcMar>
          </w:tcPr>
          <w:p>
            <w:pPr>
              <w:spacing w:after="0" w:line="240"/>
              <w:jc w:val="left"/>
            </w:pPr>
            <w:r>
              <w:rPr>
                <w:b/>
                <w:bCs/>
                <w:color w:val="FFFFFF"/>
                <w:sz w:val="18"/>
                <w:szCs w:val="18"/>
              </w:rPr>
              <w:t xml:space="preserve">Source</w:t>
            </w:r>
          </w:p>
        </w:tc>
        <w:tc>
          <w:tcPr>
            <w:tcW w:type="dxa" w:w="2270"/>
            <w:shd w:fill="1F3864" w:color="auto" w:val="clear"/>
            <w:tcMar>
              <w:top w:type="dxa" w:w="60"/>
              <w:left w:type="dxa" w:w="90"/>
              <w:bottom w:type="dxa" w:w="60"/>
              <w:right w:type="dxa" w:w="90"/>
            </w:tcMar>
          </w:tcPr>
          <w:p>
            <w:pPr>
              <w:spacing w:after="0" w:line="240"/>
              <w:jc w:val="left"/>
            </w:pPr>
            <w:r>
              <w:rPr>
                <w:b/>
                <w:bCs/>
                <w:color w:val="FFFFFF"/>
                <w:sz w:val="18"/>
                <w:szCs w:val="18"/>
              </w:rPr>
              <w:t xml:space="preserve">Unit</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Commercial bank branches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FB.CBK.BRCH.P5</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Pour 100 000</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Market capitalization of listed companies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CM.MKT.LCAP.GD.ZS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Account ownership at a financial institution</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FX.OWN.TOTL.ZS</w:t>
            </w:r>
          </w:p>
        </w:tc>
        <w:tc>
          <w:tcPr>
            <w:tcW w:type="dxa" w:w="1250"/>
            <w:tcMar>
              <w:top w:type="dxa" w:w="60"/>
              <w:left w:type="dxa" w:w="90"/>
              <w:bottom w:type="dxa" w:w="60"/>
              <w:right w:type="dxa" w:w="90"/>
            </w:tcMar>
          </w:tcPr>
          <w:p>
            <w:pPr>
              <w:spacing w:after="0" w:line="240"/>
              <w:jc w:val="left"/>
            </w:pPr>
            <w:r>
              <w:rPr>
                <w:color w:val="000000"/>
                <w:sz w:val="16"/>
                <w:szCs w:val="16"/>
              </w:rPr>
              <w:t xml:space="preserve">BM · Findex</w:t>
            </w:r>
          </w:p>
        </w:tc>
        <w:tc>
          <w:tcPr>
            <w:tcW w:type="dxa" w:w="2270"/>
            <w:tcMar>
              <w:top w:type="dxa" w:w="60"/>
              <w:left w:type="dxa" w:w="90"/>
              <w:bottom w:type="dxa" w:w="60"/>
              <w:right w:type="dxa" w:w="90"/>
            </w:tcMar>
          </w:tcPr>
          <w:p>
            <w:pPr>
              <w:spacing w:after="0" w:line="240"/>
              <w:jc w:val="left"/>
            </w:pPr>
            <w:r>
              <w:rPr>
                <w:color w:val="000000"/>
                <w:sz w:val="16"/>
                <w:szCs w:val="16"/>
              </w:rPr>
              <w:t xml:space="preserve">% de la population</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Broad money growth</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FM.LBL.BMNY.ZG</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annuel</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Domestic credit to private sector by banks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FD.AST.PRVT.GD.ZS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Domestic credit to private sector</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FS.AST.PRVT.GD.ZS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Net domestic credit</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FS.AST.DOMS.GD.ZS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Broad money</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FM.LBL.BMNY.GD.ZS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Bank non-performing loans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FB.AST.NPER.ZS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des prêts bruts</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Bank capital to assets ratio</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FB.BNK.CAPA.ZS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w:t>
            </w:r>
          </w:p>
        </w:tc>
      </w:tr>
    </w:tbl>
    <w:p>
      <w:pPr>
        <w:spacing w:after="230" w:before="90"/>
        <w:jc w:val="center"/>
      </w:pPr>
      <w:r>
        <w:rPr>
          <w:i/>
          <w:iCs/>
          <w:color w:val="5C6672"/>
          <w:sz w:val="17"/>
          <w:szCs w:val="17"/>
        </w:rPr>
        <w:t xml:space="preserve">Table 11 – Monetary sector</w:t>
      </w:r>
    </w:p>
    <w:p>
      <w:pPr>
        <w:pStyle w:val="Heading2"/>
      </w:pPr>
      <w:r>
        <w:t xml:space="preserve">C05. External sector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50"/>
        <w:gridCol w:w="2000"/>
        <w:gridCol w:w="1250"/>
        <w:gridCol w:w="2270"/>
      </w:tblGrid>
      <w:tr>
        <w:trPr>
          <w:tblHeader/>
        </w:trPr>
        <w:tc>
          <w:tcPr>
            <w:tcW w:type="dxa" w:w="3550"/>
            <w:shd w:fill="1F3864" w:color="auto" w:val="clear"/>
            <w:tcMar>
              <w:top w:type="dxa" w:w="60"/>
              <w:left w:type="dxa" w:w="90"/>
              <w:bottom w:type="dxa" w:w="60"/>
              <w:right w:type="dxa" w:w="90"/>
            </w:tcMar>
          </w:tcPr>
          <w:p>
            <w:pPr>
              <w:spacing w:after="0" w:line="240"/>
              <w:jc w:val="left"/>
            </w:pPr>
            <w:r>
              <w:rPr>
                <w:b/>
                <w:bCs/>
                <w:color w:val="FFFFFF"/>
                <w:sz w:val="18"/>
                <w:szCs w:val="18"/>
              </w:rPr>
              <w:t xml:space="preserve">Indicator</w:t>
            </w:r>
          </w:p>
        </w:tc>
        <w:tc>
          <w:tcPr>
            <w:tcW w:type="dxa" w:w="2000"/>
            <w:shd w:fill="1F3864" w:color="auto" w:val="clear"/>
            <w:tcMar>
              <w:top w:type="dxa" w:w="60"/>
              <w:left w:type="dxa" w:w="90"/>
              <w:bottom w:type="dxa" w:w="60"/>
              <w:right w:type="dxa" w:w="90"/>
            </w:tcMar>
          </w:tcPr>
          <w:p>
            <w:pPr>
              <w:spacing w:after="0" w:line="240"/>
              <w:jc w:val="left"/>
            </w:pPr>
            <w:r>
              <w:rPr>
                <w:b/>
                <w:bCs/>
                <w:color w:val="FFFFFF"/>
                <w:sz w:val="18"/>
                <w:szCs w:val="18"/>
              </w:rPr>
              <w:t xml:space="preserve">Collection code</w:t>
            </w:r>
          </w:p>
        </w:tc>
        <w:tc>
          <w:tcPr>
            <w:tcW w:type="dxa" w:w="1250"/>
            <w:shd w:fill="1F3864" w:color="auto" w:val="clear"/>
            <w:tcMar>
              <w:top w:type="dxa" w:w="60"/>
              <w:left w:type="dxa" w:w="90"/>
              <w:bottom w:type="dxa" w:w="60"/>
              <w:right w:type="dxa" w:w="90"/>
            </w:tcMar>
          </w:tcPr>
          <w:p>
            <w:pPr>
              <w:spacing w:after="0" w:line="240"/>
              <w:jc w:val="left"/>
            </w:pPr>
            <w:r>
              <w:rPr>
                <w:b/>
                <w:bCs/>
                <w:color w:val="FFFFFF"/>
                <w:sz w:val="18"/>
                <w:szCs w:val="18"/>
              </w:rPr>
              <w:t xml:space="preserve">Source</w:t>
            </w:r>
          </w:p>
        </w:tc>
        <w:tc>
          <w:tcPr>
            <w:tcW w:type="dxa" w:w="2270"/>
            <w:shd w:fill="1F3864" w:color="auto" w:val="clear"/>
            <w:tcMar>
              <w:top w:type="dxa" w:w="60"/>
              <w:left w:type="dxa" w:w="90"/>
              <w:bottom w:type="dxa" w:w="60"/>
              <w:right w:type="dxa" w:w="90"/>
            </w:tcMar>
          </w:tcPr>
          <w:p>
            <w:pPr>
              <w:spacing w:after="0" w:line="240"/>
              <w:jc w:val="left"/>
            </w:pPr>
            <w:r>
              <w:rPr>
                <w:b/>
                <w:bCs/>
                <w:color w:val="FFFFFF"/>
                <w:sz w:val="18"/>
                <w:szCs w:val="18"/>
              </w:rPr>
              <w:t xml:space="preserve">Unit</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Net official development assistance received</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DT.ODA.ODAT.GN.ZS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RNB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Exports of goods and services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BX.GSR.GNFS.CD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Merchandise exports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TX.VAL.MRCH.CD.WT</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Imports of goods and services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BM.GSR.GNFS.CD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Merchandise imports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TM.VAL.MRCH.CD.WT</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Foreign direct investment, net outflows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BM.KLT.DINV.WD.GD.ZS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Foreign direct investment, net inflows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BX.KLT.DINV.WD.GD.ZS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Foreign direct investment, value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BX.KLT.DINV.CD.WD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Trade openness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NE.TRD.GNFS.ZS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Manufactures exports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TX.VAL.MANF.ZS.UN</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Food exports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TX.VAL.FOOD.ZS.UN</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Total reserves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FI.RES.TOTL.CD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Total reserves in months of imports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FI.RES.TOTL.MO</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Mois</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Current account balance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BN.CAB.XOKA.GD.ZS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Current account balance (projections)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BCA_NGDPD</w:t>
            </w:r>
          </w:p>
        </w:tc>
        <w:tc>
          <w:tcPr>
            <w:tcW w:type="dxa" w:w="1250"/>
            <w:tcMar>
              <w:top w:type="dxa" w:w="60"/>
              <w:left w:type="dxa" w:w="90"/>
              <w:bottom w:type="dxa" w:w="60"/>
              <w:right w:type="dxa" w:w="90"/>
            </w:tcMar>
          </w:tcPr>
          <w:p>
            <w:pPr>
              <w:spacing w:after="0" w:line="240"/>
              <w:jc w:val="left"/>
            </w:pPr>
            <w:r>
              <w:rPr>
                <w:color w:val="000000"/>
                <w:sz w:val="16"/>
                <w:szCs w:val="16"/>
              </w:rPr>
              <w:t xml:space="preserve">FMI · WEO</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Current account balance, value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BN.CAB.XOKA.CD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Applied tariff rate, weighted mean</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TM.TAX.MRCH.WM.AR.ZS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Net barter terms of trade index</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TT.PRI.MRCH.XD.WD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Indice 2015 = 100</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Personal remittances received</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BX.TRF.PWKR.CD.DT</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Personal remittances received</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BX.TRF.PWKR.DT.GD.ZS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bl>
    <w:p>
      <w:pPr>
        <w:spacing w:after="230" w:before="90"/>
        <w:jc w:val="center"/>
      </w:pPr>
      <w:r>
        <w:rPr>
          <w:i/>
          <w:iCs/>
          <w:color w:val="5C6672"/>
          <w:sz w:val="17"/>
          <w:szCs w:val="17"/>
        </w:rPr>
        <w:t xml:space="preserve">Table 12 – External sector</w:t>
      </w:r>
    </w:p>
    <w:p>
      <w:pPr>
        <w:pStyle w:val="Heading2"/>
      </w:pPr>
      <w:r>
        <w:t xml:space="preserve">C06. Exchange rates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50"/>
        <w:gridCol w:w="2000"/>
        <w:gridCol w:w="1250"/>
        <w:gridCol w:w="2270"/>
      </w:tblGrid>
      <w:tr>
        <w:trPr>
          <w:tblHeader/>
        </w:trPr>
        <w:tc>
          <w:tcPr>
            <w:tcW w:type="dxa" w:w="3550"/>
            <w:shd w:fill="1F3864" w:color="auto" w:val="clear"/>
            <w:tcMar>
              <w:top w:type="dxa" w:w="60"/>
              <w:left w:type="dxa" w:w="90"/>
              <w:bottom w:type="dxa" w:w="60"/>
              <w:right w:type="dxa" w:w="90"/>
            </w:tcMar>
          </w:tcPr>
          <w:p>
            <w:pPr>
              <w:spacing w:after="0" w:line="240"/>
              <w:jc w:val="left"/>
            </w:pPr>
            <w:r>
              <w:rPr>
                <w:b/>
                <w:bCs/>
                <w:color w:val="FFFFFF"/>
                <w:sz w:val="18"/>
                <w:szCs w:val="18"/>
              </w:rPr>
              <w:t xml:space="preserve">Indicator</w:t>
            </w:r>
          </w:p>
        </w:tc>
        <w:tc>
          <w:tcPr>
            <w:tcW w:type="dxa" w:w="2000"/>
            <w:shd w:fill="1F3864" w:color="auto" w:val="clear"/>
            <w:tcMar>
              <w:top w:type="dxa" w:w="60"/>
              <w:left w:type="dxa" w:w="90"/>
              <w:bottom w:type="dxa" w:w="60"/>
              <w:right w:type="dxa" w:w="90"/>
            </w:tcMar>
          </w:tcPr>
          <w:p>
            <w:pPr>
              <w:spacing w:after="0" w:line="240"/>
              <w:jc w:val="left"/>
            </w:pPr>
            <w:r>
              <w:rPr>
                <w:b/>
                <w:bCs/>
                <w:color w:val="FFFFFF"/>
                <w:sz w:val="18"/>
                <w:szCs w:val="18"/>
              </w:rPr>
              <w:t xml:space="preserve">Collection code</w:t>
            </w:r>
          </w:p>
        </w:tc>
        <w:tc>
          <w:tcPr>
            <w:tcW w:type="dxa" w:w="1250"/>
            <w:shd w:fill="1F3864" w:color="auto" w:val="clear"/>
            <w:tcMar>
              <w:top w:type="dxa" w:w="60"/>
              <w:left w:type="dxa" w:w="90"/>
              <w:bottom w:type="dxa" w:w="60"/>
              <w:right w:type="dxa" w:w="90"/>
            </w:tcMar>
          </w:tcPr>
          <w:p>
            <w:pPr>
              <w:spacing w:after="0" w:line="240"/>
              <w:jc w:val="left"/>
            </w:pPr>
            <w:r>
              <w:rPr>
                <w:b/>
                <w:bCs/>
                <w:color w:val="FFFFFF"/>
                <w:sz w:val="18"/>
                <w:szCs w:val="18"/>
              </w:rPr>
              <w:t xml:space="preserve">Source</w:t>
            </w:r>
          </w:p>
        </w:tc>
        <w:tc>
          <w:tcPr>
            <w:tcW w:type="dxa" w:w="2270"/>
            <w:shd w:fill="1F3864" w:color="auto" w:val="clear"/>
            <w:tcMar>
              <w:top w:type="dxa" w:w="60"/>
              <w:left w:type="dxa" w:w="90"/>
              <w:bottom w:type="dxa" w:w="60"/>
              <w:right w:type="dxa" w:w="90"/>
            </w:tcMar>
          </w:tcPr>
          <w:p>
            <w:pPr>
              <w:spacing w:after="0" w:line="240"/>
              <w:jc w:val="left"/>
            </w:pPr>
            <w:r>
              <w:rPr>
                <w:b/>
                <w:bCs/>
                <w:color w:val="FFFFFF"/>
                <w:sz w:val="18"/>
                <w:szCs w:val="18"/>
              </w:rPr>
              <w:t xml:space="preserve">Unit</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PPP conversion factor</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PA.NUS.PPP</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LCU / USD int.</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Real effective exchange rate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PX.REX.REER</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Indice 2010 = 100</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Official exchange rate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PA.NUS.FCRF</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LCU / USD</w:t>
            </w:r>
          </w:p>
        </w:tc>
      </w:tr>
    </w:tbl>
    <w:p>
      <w:pPr>
        <w:spacing w:after="230" w:before="90"/>
        <w:jc w:val="center"/>
      </w:pPr>
      <w:r>
        <w:rPr>
          <w:i/>
          <w:iCs/>
          <w:color w:val="5C6672"/>
          <w:sz w:val="17"/>
          <w:szCs w:val="17"/>
        </w:rPr>
        <w:t xml:space="preserve">Table 13 – Exchange rates</w:t>
      </w:r>
    </w:p>
    <w:p>
      <w:pPr>
        <w:pStyle w:val="Heading2"/>
      </w:pPr>
      <w:r>
        <w:t xml:space="preserve">C07. Interest rates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50"/>
        <w:gridCol w:w="2000"/>
        <w:gridCol w:w="1250"/>
        <w:gridCol w:w="2270"/>
      </w:tblGrid>
      <w:tr>
        <w:trPr>
          <w:tblHeader/>
        </w:trPr>
        <w:tc>
          <w:tcPr>
            <w:tcW w:type="dxa" w:w="3550"/>
            <w:shd w:fill="1F3864" w:color="auto" w:val="clear"/>
            <w:tcMar>
              <w:top w:type="dxa" w:w="60"/>
              <w:left w:type="dxa" w:w="90"/>
              <w:bottom w:type="dxa" w:w="60"/>
              <w:right w:type="dxa" w:w="90"/>
            </w:tcMar>
          </w:tcPr>
          <w:p>
            <w:pPr>
              <w:spacing w:after="0" w:line="240"/>
              <w:jc w:val="left"/>
            </w:pPr>
            <w:r>
              <w:rPr>
                <w:b/>
                <w:bCs/>
                <w:color w:val="FFFFFF"/>
                <w:sz w:val="18"/>
                <w:szCs w:val="18"/>
              </w:rPr>
              <w:t xml:space="preserve">Indicator</w:t>
            </w:r>
          </w:p>
        </w:tc>
        <w:tc>
          <w:tcPr>
            <w:tcW w:type="dxa" w:w="2000"/>
            <w:shd w:fill="1F3864" w:color="auto" w:val="clear"/>
            <w:tcMar>
              <w:top w:type="dxa" w:w="60"/>
              <w:left w:type="dxa" w:w="90"/>
              <w:bottom w:type="dxa" w:w="60"/>
              <w:right w:type="dxa" w:w="90"/>
            </w:tcMar>
          </w:tcPr>
          <w:p>
            <w:pPr>
              <w:spacing w:after="0" w:line="240"/>
              <w:jc w:val="left"/>
            </w:pPr>
            <w:r>
              <w:rPr>
                <w:b/>
                <w:bCs/>
                <w:color w:val="FFFFFF"/>
                <w:sz w:val="18"/>
                <w:szCs w:val="18"/>
              </w:rPr>
              <w:t xml:space="preserve">Collection code</w:t>
            </w:r>
          </w:p>
        </w:tc>
        <w:tc>
          <w:tcPr>
            <w:tcW w:type="dxa" w:w="1250"/>
            <w:shd w:fill="1F3864" w:color="auto" w:val="clear"/>
            <w:tcMar>
              <w:top w:type="dxa" w:w="60"/>
              <w:left w:type="dxa" w:w="90"/>
              <w:bottom w:type="dxa" w:w="60"/>
              <w:right w:type="dxa" w:w="90"/>
            </w:tcMar>
          </w:tcPr>
          <w:p>
            <w:pPr>
              <w:spacing w:after="0" w:line="240"/>
              <w:jc w:val="left"/>
            </w:pPr>
            <w:r>
              <w:rPr>
                <w:b/>
                <w:bCs/>
                <w:color w:val="FFFFFF"/>
                <w:sz w:val="18"/>
                <w:szCs w:val="18"/>
              </w:rPr>
              <w:t xml:space="preserve">Source</w:t>
            </w:r>
          </w:p>
        </w:tc>
        <w:tc>
          <w:tcPr>
            <w:tcW w:type="dxa" w:w="2270"/>
            <w:shd w:fill="1F3864" w:color="auto" w:val="clear"/>
            <w:tcMar>
              <w:top w:type="dxa" w:w="60"/>
              <w:left w:type="dxa" w:w="90"/>
              <w:bottom w:type="dxa" w:w="60"/>
              <w:right w:type="dxa" w:w="90"/>
            </w:tcMar>
          </w:tcPr>
          <w:p>
            <w:pPr>
              <w:spacing w:after="0" w:line="240"/>
              <w:jc w:val="left"/>
            </w:pPr>
            <w:r>
              <w:rPr>
                <w:b/>
                <w:bCs/>
                <w:color w:val="FFFFFF"/>
                <w:sz w:val="18"/>
                <w:szCs w:val="18"/>
              </w:rPr>
              <w:t xml:space="preserve">Unit</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Interest rate spread</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FR.INR.LNDP</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Points de %</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Deposit interest rate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FR.INR.DPST</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Lending interest rate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FR.INR.LEND</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Real interest rate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FR.INR.RINR</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w:t>
            </w:r>
          </w:p>
        </w:tc>
      </w:tr>
    </w:tbl>
    <w:p>
      <w:pPr>
        <w:spacing w:after="230" w:before="90"/>
        <w:jc w:val="center"/>
      </w:pPr>
      <w:r>
        <w:rPr>
          <w:i/>
          <w:iCs/>
          <w:color w:val="5C6672"/>
          <w:sz w:val="17"/>
          <w:szCs w:val="17"/>
        </w:rPr>
        <w:t xml:space="preserve">Table 14 – Interest rates</w:t>
      </w:r>
    </w:p>
    <w:p>
      <w:pPr>
        <w:pStyle w:val="Heading2"/>
      </w:pPr>
      <w:r>
        <w:t xml:space="preserve">C08. Prices and inflation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50"/>
        <w:gridCol w:w="2000"/>
        <w:gridCol w:w="1250"/>
        <w:gridCol w:w="2270"/>
      </w:tblGrid>
      <w:tr>
        <w:trPr>
          <w:tblHeader/>
        </w:trPr>
        <w:tc>
          <w:tcPr>
            <w:tcW w:type="dxa" w:w="3550"/>
            <w:shd w:fill="1F3864" w:color="auto" w:val="clear"/>
            <w:tcMar>
              <w:top w:type="dxa" w:w="60"/>
              <w:left w:type="dxa" w:w="90"/>
              <w:bottom w:type="dxa" w:w="60"/>
              <w:right w:type="dxa" w:w="90"/>
            </w:tcMar>
          </w:tcPr>
          <w:p>
            <w:pPr>
              <w:spacing w:after="0" w:line="240"/>
              <w:jc w:val="left"/>
            </w:pPr>
            <w:r>
              <w:rPr>
                <w:b/>
                <w:bCs/>
                <w:color w:val="FFFFFF"/>
                <w:sz w:val="18"/>
                <w:szCs w:val="18"/>
              </w:rPr>
              <w:t xml:space="preserve">Indicator</w:t>
            </w:r>
          </w:p>
        </w:tc>
        <w:tc>
          <w:tcPr>
            <w:tcW w:type="dxa" w:w="2000"/>
            <w:shd w:fill="1F3864" w:color="auto" w:val="clear"/>
            <w:tcMar>
              <w:top w:type="dxa" w:w="60"/>
              <w:left w:type="dxa" w:w="90"/>
              <w:bottom w:type="dxa" w:w="60"/>
              <w:right w:type="dxa" w:w="90"/>
            </w:tcMar>
          </w:tcPr>
          <w:p>
            <w:pPr>
              <w:spacing w:after="0" w:line="240"/>
              <w:jc w:val="left"/>
            </w:pPr>
            <w:r>
              <w:rPr>
                <w:b/>
                <w:bCs/>
                <w:color w:val="FFFFFF"/>
                <w:sz w:val="18"/>
                <w:szCs w:val="18"/>
              </w:rPr>
              <w:t xml:space="preserve">Collection code</w:t>
            </w:r>
          </w:p>
        </w:tc>
        <w:tc>
          <w:tcPr>
            <w:tcW w:type="dxa" w:w="1250"/>
            <w:shd w:fill="1F3864" w:color="auto" w:val="clear"/>
            <w:tcMar>
              <w:top w:type="dxa" w:w="60"/>
              <w:left w:type="dxa" w:w="90"/>
              <w:bottom w:type="dxa" w:w="60"/>
              <w:right w:type="dxa" w:w="90"/>
            </w:tcMar>
          </w:tcPr>
          <w:p>
            <w:pPr>
              <w:spacing w:after="0" w:line="240"/>
              <w:jc w:val="left"/>
            </w:pPr>
            <w:r>
              <w:rPr>
                <w:b/>
                <w:bCs/>
                <w:color w:val="FFFFFF"/>
                <w:sz w:val="18"/>
                <w:szCs w:val="18"/>
              </w:rPr>
              <w:t xml:space="preserve">Source</w:t>
            </w:r>
          </w:p>
        </w:tc>
        <w:tc>
          <w:tcPr>
            <w:tcW w:type="dxa" w:w="2270"/>
            <w:shd w:fill="1F3864" w:color="auto" w:val="clear"/>
            <w:tcMar>
              <w:top w:type="dxa" w:w="60"/>
              <w:left w:type="dxa" w:w="90"/>
              <w:bottom w:type="dxa" w:w="60"/>
              <w:right w:type="dxa" w:w="90"/>
            </w:tcMar>
          </w:tcPr>
          <w:p>
            <w:pPr>
              <w:spacing w:after="0" w:line="240"/>
              <w:jc w:val="left"/>
            </w:pPr>
            <w:r>
              <w:rPr>
                <w:b/>
                <w:bCs/>
                <w:color w:val="FFFFFF"/>
                <w:sz w:val="18"/>
                <w:szCs w:val="18"/>
              </w:rPr>
              <w:t xml:space="preserve">Unit</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GDP deflator</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NY.GDP.DEFL.ZS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Indice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Consumer price index</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FP.CPI.TOTL</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Indice 2010 = 100</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End-of-period inflation</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PCPIEPCH</w:t>
            </w:r>
          </w:p>
        </w:tc>
        <w:tc>
          <w:tcPr>
            <w:tcW w:type="dxa" w:w="1250"/>
            <w:tcMar>
              <w:top w:type="dxa" w:w="60"/>
              <w:left w:type="dxa" w:w="90"/>
              <w:bottom w:type="dxa" w:w="60"/>
              <w:right w:type="dxa" w:w="90"/>
            </w:tcMar>
          </w:tcPr>
          <w:p>
            <w:pPr>
              <w:spacing w:after="0" w:line="240"/>
              <w:jc w:val="left"/>
            </w:pPr>
            <w:r>
              <w:rPr>
                <w:color w:val="000000"/>
                <w:sz w:val="16"/>
                <w:szCs w:val="16"/>
              </w:rPr>
              <w:t xml:space="preserve">FMI · WEO</w:t>
            </w:r>
          </w:p>
        </w:tc>
        <w:tc>
          <w:tcPr>
            <w:tcW w:type="dxa" w:w="2270"/>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Average consumer price inflation</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PCPIPCH</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FMI · WEO</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Inflation, consumer prices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FP.CPI.TOTL.ZG</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annuel</w:t>
            </w:r>
          </w:p>
        </w:tc>
      </w:tr>
    </w:tbl>
    <w:p>
      <w:pPr>
        <w:spacing w:after="230" w:before="90"/>
        <w:jc w:val="center"/>
      </w:pPr>
      <w:r>
        <w:rPr>
          <w:i/>
          <w:iCs/>
          <w:color w:val="5C6672"/>
          <w:sz w:val="17"/>
          <w:szCs w:val="17"/>
        </w:rPr>
        <w:t xml:space="preserve">Table 15 – Prices and inflation</w:t>
      </w:r>
    </w:p>
    <w:p>
      <w:pPr>
        <w:pStyle w:val="Heading2"/>
      </w:pPr>
      <w:r>
        <w:t xml:space="preserve">C09. Public and external debt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50"/>
        <w:gridCol w:w="2000"/>
        <w:gridCol w:w="1250"/>
        <w:gridCol w:w="2270"/>
      </w:tblGrid>
      <w:tr>
        <w:trPr>
          <w:tblHeader/>
        </w:trPr>
        <w:tc>
          <w:tcPr>
            <w:tcW w:type="dxa" w:w="3550"/>
            <w:shd w:fill="1F3864" w:color="auto" w:val="clear"/>
            <w:tcMar>
              <w:top w:type="dxa" w:w="60"/>
              <w:left w:type="dxa" w:w="90"/>
              <w:bottom w:type="dxa" w:w="60"/>
              <w:right w:type="dxa" w:w="90"/>
            </w:tcMar>
          </w:tcPr>
          <w:p>
            <w:pPr>
              <w:spacing w:after="0" w:line="240"/>
              <w:jc w:val="left"/>
            </w:pPr>
            <w:r>
              <w:rPr>
                <w:b/>
                <w:bCs/>
                <w:color w:val="FFFFFF"/>
                <w:sz w:val="18"/>
                <w:szCs w:val="18"/>
              </w:rPr>
              <w:t xml:space="preserve">Indicator</w:t>
            </w:r>
          </w:p>
        </w:tc>
        <w:tc>
          <w:tcPr>
            <w:tcW w:type="dxa" w:w="2000"/>
            <w:shd w:fill="1F3864" w:color="auto" w:val="clear"/>
            <w:tcMar>
              <w:top w:type="dxa" w:w="60"/>
              <w:left w:type="dxa" w:w="90"/>
              <w:bottom w:type="dxa" w:w="60"/>
              <w:right w:type="dxa" w:w="90"/>
            </w:tcMar>
          </w:tcPr>
          <w:p>
            <w:pPr>
              <w:spacing w:after="0" w:line="240"/>
              <w:jc w:val="left"/>
            </w:pPr>
            <w:r>
              <w:rPr>
                <w:b/>
                <w:bCs/>
                <w:color w:val="FFFFFF"/>
                <w:sz w:val="18"/>
                <w:szCs w:val="18"/>
              </w:rPr>
              <w:t xml:space="preserve">Collection code</w:t>
            </w:r>
          </w:p>
        </w:tc>
        <w:tc>
          <w:tcPr>
            <w:tcW w:type="dxa" w:w="1250"/>
            <w:shd w:fill="1F3864" w:color="auto" w:val="clear"/>
            <w:tcMar>
              <w:top w:type="dxa" w:w="60"/>
              <w:left w:type="dxa" w:w="90"/>
              <w:bottom w:type="dxa" w:w="60"/>
              <w:right w:type="dxa" w:w="90"/>
            </w:tcMar>
          </w:tcPr>
          <w:p>
            <w:pPr>
              <w:spacing w:after="0" w:line="240"/>
              <w:jc w:val="left"/>
            </w:pPr>
            <w:r>
              <w:rPr>
                <w:b/>
                <w:bCs/>
                <w:color w:val="FFFFFF"/>
                <w:sz w:val="18"/>
                <w:szCs w:val="18"/>
              </w:rPr>
              <w:t xml:space="preserve">Source</w:t>
            </w:r>
          </w:p>
        </w:tc>
        <w:tc>
          <w:tcPr>
            <w:tcW w:type="dxa" w:w="2270"/>
            <w:shd w:fill="1F3864" w:color="auto" w:val="clear"/>
            <w:tcMar>
              <w:top w:type="dxa" w:w="60"/>
              <w:left w:type="dxa" w:w="90"/>
              <w:bottom w:type="dxa" w:w="60"/>
              <w:right w:type="dxa" w:w="90"/>
            </w:tcMar>
          </w:tcPr>
          <w:p>
            <w:pPr>
              <w:spacing w:after="0" w:line="240"/>
              <w:jc w:val="left"/>
            </w:pPr>
            <w:r>
              <w:rPr>
                <w:b/>
                <w:bCs/>
                <w:color w:val="FFFFFF"/>
                <w:sz w:val="18"/>
                <w:szCs w:val="18"/>
              </w:rPr>
              <w:t xml:space="preserve">Unit</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General government gross debt</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GGXWDG_NGDP</w:t>
            </w:r>
          </w:p>
        </w:tc>
        <w:tc>
          <w:tcPr>
            <w:tcW w:type="dxa" w:w="1250"/>
            <w:tcMar>
              <w:top w:type="dxa" w:w="60"/>
              <w:left w:type="dxa" w:w="90"/>
              <w:bottom w:type="dxa" w:w="60"/>
              <w:right w:type="dxa" w:w="90"/>
            </w:tcMar>
          </w:tcPr>
          <w:p>
            <w:pPr>
              <w:spacing w:after="0" w:line="240"/>
              <w:jc w:val="left"/>
            </w:pPr>
            <w:r>
              <w:rPr>
                <w:color w:val="000000"/>
                <w:sz w:val="16"/>
                <w:szCs w:val="16"/>
              </w:rPr>
              <w:t xml:space="preserve">FMI · FM</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Central government debt</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GC.DOD.TOTL.GD.ZS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External debt stocks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DT.DOD.DECT.GN.ZS</w:t>
            </w:r>
          </w:p>
        </w:tc>
        <w:tc>
          <w:tcPr>
            <w:tcW w:type="dxa" w:w="1250"/>
            <w:tcMar>
              <w:top w:type="dxa" w:w="60"/>
              <w:left w:type="dxa" w:w="90"/>
              <w:bottom w:type="dxa" w:w="60"/>
              <w:right w:type="dxa" w:w="90"/>
            </w:tcMar>
          </w:tcPr>
          <w:p>
            <w:pPr>
              <w:spacing w:after="0" w:line="240"/>
              <w:jc w:val="left"/>
            </w:pPr>
            <w:r>
              <w:rPr>
                <w:color w:val="000000"/>
                <w:sz w:val="16"/>
                <w:szCs w:val="16"/>
              </w:rPr>
              <w:t xml:space="preserve">BM · IDS</w:t>
            </w:r>
          </w:p>
        </w:tc>
        <w:tc>
          <w:tcPr>
            <w:tcW w:type="dxa" w:w="2270"/>
            <w:tcMar>
              <w:top w:type="dxa" w:w="60"/>
              <w:left w:type="dxa" w:w="90"/>
              <w:bottom w:type="dxa" w:w="60"/>
              <w:right w:type="dxa" w:w="90"/>
            </w:tcMar>
          </w:tcPr>
          <w:p>
            <w:pPr>
              <w:spacing w:after="0" w:line="240"/>
              <w:jc w:val="left"/>
            </w:pPr>
            <w:r>
              <w:rPr>
                <w:color w:val="000000"/>
                <w:sz w:val="16"/>
                <w:szCs w:val="16"/>
              </w:rPr>
              <w:t xml:space="preserve">% du RNB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Short-term external debt</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DT.DOD.DSTC.CD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IDS</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General government net debt</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GGXWDN_NGDP</w:t>
            </w:r>
          </w:p>
        </w:tc>
        <w:tc>
          <w:tcPr>
            <w:tcW w:type="dxa" w:w="1250"/>
            <w:tcMar>
              <w:top w:type="dxa" w:w="60"/>
              <w:left w:type="dxa" w:w="90"/>
              <w:bottom w:type="dxa" w:w="60"/>
              <w:right w:type="dxa" w:w="90"/>
            </w:tcMar>
          </w:tcPr>
          <w:p>
            <w:pPr>
              <w:spacing w:after="0" w:line="240"/>
              <w:jc w:val="left"/>
            </w:pPr>
            <w:r>
              <w:rPr>
                <w:color w:val="000000"/>
                <w:sz w:val="16"/>
                <w:szCs w:val="16"/>
              </w:rPr>
              <w:t xml:space="preserve">FMI · FM</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Public and publicly guaranteed debt</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DT.DOD.DPPG.CD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IDS</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Short-term debt to reserves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DT.DOD.DSTC.IR.ZS</w:t>
            </w:r>
          </w:p>
        </w:tc>
        <w:tc>
          <w:tcPr>
            <w:tcW w:type="dxa" w:w="1250"/>
            <w:tcMar>
              <w:top w:type="dxa" w:w="60"/>
              <w:left w:type="dxa" w:w="90"/>
              <w:bottom w:type="dxa" w:w="60"/>
              <w:right w:type="dxa" w:w="90"/>
            </w:tcMar>
          </w:tcPr>
          <w:p>
            <w:pPr>
              <w:spacing w:after="0" w:line="240"/>
              <w:jc w:val="left"/>
            </w:pPr>
            <w:r>
              <w:rPr>
                <w:color w:val="000000"/>
                <w:sz w:val="16"/>
                <w:szCs w:val="16"/>
              </w:rPr>
              <w:t xml:space="preserve">BM · IDS</w:t>
            </w:r>
          </w:p>
        </w:tc>
        <w:tc>
          <w:tcPr>
            <w:tcW w:type="dxa" w:w="2270"/>
            <w:tcMar>
              <w:top w:type="dxa" w:w="60"/>
              <w:left w:type="dxa" w:w="90"/>
              <w:bottom w:type="dxa" w:w="60"/>
              <w:right w:type="dxa" w:w="90"/>
            </w:tcMar>
          </w:tcPr>
          <w:p>
            <w:pPr>
              <w:spacing w:after="0" w:line="240"/>
              <w:jc w:val="left"/>
            </w:pPr>
            <w:r>
              <w:rPr>
                <w:color w:val="000000"/>
                <w:sz w:val="16"/>
                <w:szCs w:val="16"/>
              </w:rPr>
              <w:t xml:space="preserve">% des réserves</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Disbursements on new loans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DT.DIS.DPPG.CD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IDS</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Average maturity on new commitments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DT.MAT.DPPG</w:t>
            </w:r>
          </w:p>
        </w:tc>
        <w:tc>
          <w:tcPr>
            <w:tcW w:type="dxa" w:w="1250"/>
            <w:tcMar>
              <w:top w:type="dxa" w:w="60"/>
              <w:left w:type="dxa" w:w="90"/>
              <w:bottom w:type="dxa" w:w="60"/>
              <w:right w:type="dxa" w:w="90"/>
            </w:tcMar>
          </w:tcPr>
          <w:p>
            <w:pPr>
              <w:spacing w:after="0" w:line="240"/>
              <w:jc w:val="left"/>
            </w:pPr>
            <w:r>
              <w:rPr>
                <w:color w:val="000000"/>
                <w:sz w:val="16"/>
                <w:szCs w:val="16"/>
              </w:rPr>
              <w:t xml:space="preserve">BM · IDS</w:t>
            </w:r>
          </w:p>
        </w:tc>
        <w:tc>
          <w:tcPr>
            <w:tcW w:type="dxa" w:w="2270"/>
            <w:tcMar>
              <w:top w:type="dxa" w:w="60"/>
              <w:left w:type="dxa" w:w="90"/>
              <w:bottom w:type="dxa" w:w="60"/>
              <w:right w:type="dxa" w:w="90"/>
            </w:tcMar>
          </w:tcPr>
          <w:p>
            <w:pPr>
              <w:spacing w:after="0" w:line="240"/>
              <w:jc w:val="left"/>
            </w:pPr>
            <w:r>
              <w:rPr>
                <w:color w:val="000000"/>
                <w:sz w:val="16"/>
                <w:szCs w:val="16"/>
              </w:rPr>
              <w:t xml:space="preserve">Années</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Total debt service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DT.TDS.DECT.EX.ZS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IDS</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des exportations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Public debt service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DT.TDS.DPPG.GN.ZS</w:t>
            </w:r>
          </w:p>
        </w:tc>
        <w:tc>
          <w:tcPr>
            <w:tcW w:type="dxa" w:w="1250"/>
            <w:tcMar>
              <w:top w:type="dxa" w:w="60"/>
              <w:left w:type="dxa" w:w="90"/>
              <w:bottom w:type="dxa" w:w="60"/>
              <w:right w:type="dxa" w:w="90"/>
            </w:tcMar>
          </w:tcPr>
          <w:p>
            <w:pPr>
              <w:spacing w:after="0" w:line="240"/>
              <w:jc w:val="left"/>
            </w:pPr>
            <w:r>
              <w:rPr>
                <w:color w:val="000000"/>
                <w:sz w:val="16"/>
                <w:szCs w:val="16"/>
              </w:rPr>
              <w:t xml:space="preserve">BM · IDS</w:t>
            </w:r>
          </w:p>
        </w:tc>
        <w:tc>
          <w:tcPr>
            <w:tcW w:type="dxa" w:w="2270"/>
            <w:tcMar>
              <w:top w:type="dxa" w:w="60"/>
              <w:left w:type="dxa" w:w="90"/>
              <w:bottom w:type="dxa" w:w="60"/>
              <w:right w:type="dxa" w:w="90"/>
            </w:tcMar>
          </w:tcPr>
          <w:p>
            <w:pPr>
              <w:spacing w:after="0" w:line="240"/>
              <w:jc w:val="left"/>
            </w:pPr>
            <w:r>
              <w:rPr>
                <w:color w:val="000000"/>
                <w:sz w:val="16"/>
                <w:szCs w:val="16"/>
              </w:rPr>
              <w:t xml:space="preserve">% du RNB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External debt stocks, total</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DT.DOD.DECT.CD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IDS</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Average interest on new commitments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DT.INR.DPPG</w:t>
            </w:r>
          </w:p>
        </w:tc>
        <w:tc>
          <w:tcPr>
            <w:tcW w:type="dxa" w:w="1250"/>
            <w:tcMar>
              <w:top w:type="dxa" w:w="60"/>
              <w:left w:type="dxa" w:w="90"/>
              <w:bottom w:type="dxa" w:w="60"/>
              <w:right w:type="dxa" w:w="90"/>
            </w:tcMar>
          </w:tcPr>
          <w:p>
            <w:pPr>
              <w:spacing w:after="0" w:line="240"/>
              <w:jc w:val="left"/>
            </w:pPr>
            <w:r>
              <w:rPr>
                <w:color w:val="000000"/>
                <w:sz w:val="16"/>
                <w:szCs w:val="16"/>
              </w:rPr>
              <w:t xml:space="preserve">BM · IDS</w:t>
            </w:r>
          </w:p>
        </w:tc>
        <w:tc>
          <w:tcPr>
            <w:tcW w:type="dxa" w:w="2270"/>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Net transfers on debt</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DT.NTR.DECT.CD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IDS</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Average grant element on new commitments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DT.GRE.DPPG</w:t>
            </w:r>
          </w:p>
        </w:tc>
        <w:tc>
          <w:tcPr>
            <w:tcW w:type="dxa" w:w="1250"/>
            <w:tcMar>
              <w:top w:type="dxa" w:w="60"/>
              <w:left w:type="dxa" w:w="90"/>
              <w:bottom w:type="dxa" w:w="60"/>
              <w:right w:type="dxa" w:w="90"/>
            </w:tcMar>
          </w:tcPr>
          <w:p>
            <w:pPr>
              <w:spacing w:after="0" w:line="240"/>
              <w:jc w:val="left"/>
            </w:pPr>
            <w:r>
              <w:rPr>
                <w:color w:val="000000"/>
                <w:sz w:val="16"/>
                <w:szCs w:val="16"/>
              </w:rPr>
              <w:t xml:space="preserve">BM · IDS</w:t>
            </w:r>
          </w:p>
        </w:tc>
        <w:tc>
          <w:tcPr>
            <w:tcW w:type="dxa" w:w="2270"/>
            <w:tcMar>
              <w:top w:type="dxa" w:w="60"/>
              <w:left w:type="dxa" w:w="90"/>
              <w:bottom w:type="dxa" w:w="60"/>
              <w:right w:type="dxa" w:w="90"/>
            </w:tcMar>
          </w:tcPr>
          <w:p>
            <w:pPr>
              <w:spacing w:after="0" w:line="240"/>
              <w:jc w:val="left"/>
            </w:pPr>
            <w:r>
              <w:rPr>
                <w:color w:val="000000"/>
                <w:sz w:val="16"/>
                <w:szCs w:val="16"/>
              </w:rPr>
              <w:t xml:space="preserve">%</w:t>
            </w:r>
          </w:p>
        </w:tc>
      </w:tr>
    </w:tbl>
    <w:p>
      <w:pPr>
        <w:spacing w:after="230" w:before="90"/>
        <w:jc w:val="center"/>
      </w:pPr>
      <w:r>
        <w:rPr>
          <w:i/>
          <w:iCs/>
          <w:color w:val="5C6672"/>
          <w:sz w:val="17"/>
          <w:szCs w:val="17"/>
        </w:rPr>
        <w:t xml:space="preserve">Table 16 – Public and external debt</w:t>
      </w:r>
    </w:p>
    <w:p>
      <w:pPr>
        <w:pStyle w:val="Heading2"/>
      </w:pPr>
      <w:r>
        <w:t xml:space="preserve">C10. Labour market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50"/>
        <w:gridCol w:w="2000"/>
        <w:gridCol w:w="1250"/>
        <w:gridCol w:w="2270"/>
      </w:tblGrid>
      <w:tr>
        <w:trPr>
          <w:tblHeader/>
        </w:trPr>
        <w:tc>
          <w:tcPr>
            <w:tcW w:type="dxa" w:w="3550"/>
            <w:shd w:fill="1F3864" w:color="auto" w:val="clear"/>
            <w:tcMar>
              <w:top w:type="dxa" w:w="60"/>
              <w:left w:type="dxa" w:w="90"/>
              <w:bottom w:type="dxa" w:w="60"/>
              <w:right w:type="dxa" w:w="90"/>
            </w:tcMar>
          </w:tcPr>
          <w:p>
            <w:pPr>
              <w:spacing w:after="0" w:line="240"/>
              <w:jc w:val="left"/>
            </w:pPr>
            <w:r>
              <w:rPr>
                <w:b/>
                <w:bCs/>
                <w:color w:val="FFFFFF"/>
                <w:sz w:val="18"/>
                <w:szCs w:val="18"/>
              </w:rPr>
              <w:t xml:space="preserve">Indicator</w:t>
            </w:r>
          </w:p>
        </w:tc>
        <w:tc>
          <w:tcPr>
            <w:tcW w:type="dxa" w:w="2000"/>
            <w:shd w:fill="1F3864" w:color="auto" w:val="clear"/>
            <w:tcMar>
              <w:top w:type="dxa" w:w="60"/>
              <w:left w:type="dxa" w:w="90"/>
              <w:bottom w:type="dxa" w:w="60"/>
              <w:right w:type="dxa" w:w="90"/>
            </w:tcMar>
          </w:tcPr>
          <w:p>
            <w:pPr>
              <w:spacing w:after="0" w:line="240"/>
              <w:jc w:val="left"/>
            </w:pPr>
            <w:r>
              <w:rPr>
                <w:b/>
                <w:bCs/>
                <w:color w:val="FFFFFF"/>
                <w:sz w:val="18"/>
                <w:szCs w:val="18"/>
              </w:rPr>
              <w:t xml:space="preserve">Collection code</w:t>
            </w:r>
          </w:p>
        </w:tc>
        <w:tc>
          <w:tcPr>
            <w:tcW w:type="dxa" w:w="1250"/>
            <w:shd w:fill="1F3864" w:color="auto" w:val="clear"/>
            <w:tcMar>
              <w:top w:type="dxa" w:w="60"/>
              <w:left w:type="dxa" w:w="90"/>
              <w:bottom w:type="dxa" w:w="60"/>
              <w:right w:type="dxa" w:w="90"/>
            </w:tcMar>
          </w:tcPr>
          <w:p>
            <w:pPr>
              <w:spacing w:after="0" w:line="240"/>
              <w:jc w:val="left"/>
            </w:pPr>
            <w:r>
              <w:rPr>
                <w:b/>
                <w:bCs/>
                <w:color w:val="FFFFFF"/>
                <w:sz w:val="18"/>
                <w:szCs w:val="18"/>
              </w:rPr>
              <w:t xml:space="preserve">Source</w:t>
            </w:r>
          </w:p>
        </w:tc>
        <w:tc>
          <w:tcPr>
            <w:tcW w:type="dxa" w:w="2270"/>
            <w:shd w:fill="1F3864" w:color="auto" w:val="clear"/>
            <w:tcMar>
              <w:top w:type="dxa" w:w="60"/>
              <w:left w:type="dxa" w:w="90"/>
              <w:bottom w:type="dxa" w:w="60"/>
              <w:right w:type="dxa" w:w="90"/>
            </w:tcMar>
          </w:tcPr>
          <w:p>
            <w:pPr>
              <w:spacing w:after="0" w:line="240"/>
              <w:jc w:val="left"/>
            </w:pPr>
            <w:r>
              <w:rPr>
                <w:b/>
                <w:bCs/>
                <w:color w:val="FFFFFF"/>
                <w:sz w:val="18"/>
                <w:szCs w:val="18"/>
              </w:rPr>
              <w:t xml:space="preserve">Unit</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Employment in agriculture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SL.AGR.EMPL.ZS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 l'emploi total</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Employment in industry</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SL.IND.EMPL.ZS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 l'emploi total</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Employment in services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SL.SRV.EMPL.ZS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 l'emploi total</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Wage and salaried workers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SL.EMP.WORK.ZS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 l'emploi total</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Vulnerable employment</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SL.EMP.VULN.ZS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 l'emploi total</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Youth not in education, employment or training</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SL.UEM.NEET.ZS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des jeunes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GDP per person employed</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SL.GDP.PCAP.EM.KD</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USD PPA 2021</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Labour force, total</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SL.TLF.TOTL.IN</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Personnes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Employment to population ratio</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SL.EMP.TOTL.SP.ZS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des 15 ans et +</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Labour force participation rate, female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SL.TLF.CACT.FE.ZS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des femmes 15 ans +</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Labour force participation rate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SL.TLF.CACT.ZS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des 15 ans et +</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Unemployment, total (national estimate)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SL.UEM.TOTL.NE.ZS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 la pop. active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Unemployment rate (projections)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LUR</w:t>
            </w:r>
          </w:p>
        </w:tc>
        <w:tc>
          <w:tcPr>
            <w:tcW w:type="dxa" w:w="1250"/>
            <w:tcMar>
              <w:top w:type="dxa" w:w="60"/>
              <w:left w:type="dxa" w:w="90"/>
              <w:bottom w:type="dxa" w:w="60"/>
              <w:right w:type="dxa" w:w="90"/>
            </w:tcMar>
          </w:tcPr>
          <w:p>
            <w:pPr>
              <w:spacing w:after="0" w:line="240"/>
              <w:jc w:val="left"/>
            </w:pPr>
            <w:r>
              <w:rPr>
                <w:color w:val="000000"/>
                <w:sz w:val="16"/>
                <w:szCs w:val="16"/>
              </w:rPr>
              <w:t xml:space="preserve">FMI · WEO</w:t>
            </w:r>
          </w:p>
        </w:tc>
        <w:tc>
          <w:tcPr>
            <w:tcW w:type="dxa" w:w="2270"/>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Youth unemployment (15-24)</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SL.UEM.1524.ZS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des 15-24 ans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Unemployment, total (ILO estimate)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SL.UEM.TOTL.ZS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 la pop. active</w:t>
            </w:r>
          </w:p>
        </w:tc>
      </w:tr>
    </w:tbl>
    <w:p>
      <w:pPr>
        <w:spacing w:after="230" w:before="90"/>
        <w:jc w:val="center"/>
      </w:pPr>
      <w:r>
        <w:rPr>
          <w:i/>
          <w:iCs/>
          <w:color w:val="5C6672"/>
          <w:sz w:val="17"/>
          <w:szCs w:val="17"/>
        </w:rPr>
        <w:t xml:space="preserve">Table 17 – Labour market</w:t>
      </w:r>
    </w:p>
    <w:p>
      <w:pPr>
        <w:pStyle w:val="Heading2"/>
      </w:pPr>
      <w:r>
        <w:t xml:space="preserve">C11. Demography and living conditions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50"/>
        <w:gridCol w:w="2000"/>
        <w:gridCol w:w="1250"/>
        <w:gridCol w:w="2270"/>
      </w:tblGrid>
      <w:tr>
        <w:trPr>
          <w:tblHeader/>
        </w:trPr>
        <w:tc>
          <w:tcPr>
            <w:tcW w:type="dxa" w:w="3550"/>
            <w:shd w:fill="1F3864" w:color="auto" w:val="clear"/>
            <w:tcMar>
              <w:top w:type="dxa" w:w="60"/>
              <w:left w:type="dxa" w:w="90"/>
              <w:bottom w:type="dxa" w:w="60"/>
              <w:right w:type="dxa" w:w="90"/>
            </w:tcMar>
          </w:tcPr>
          <w:p>
            <w:pPr>
              <w:spacing w:after="0" w:line="240"/>
              <w:jc w:val="left"/>
            </w:pPr>
            <w:r>
              <w:rPr>
                <w:b/>
                <w:bCs/>
                <w:color w:val="FFFFFF"/>
                <w:sz w:val="18"/>
                <w:szCs w:val="18"/>
              </w:rPr>
              <w:t xml:space="preserve">Indicator</w:t>
            </w:r>
          </w:p>
        </w:tc>
        <w:tc>
          <w:tcPr>
            <w:tcW w:type="dxa" w:w="2000"/>
            <w:shd w:fill="1F3864" w:color="auto" w:val="clear"/>
            <w:tcMar>
              <w:top w:type="dxa" w:w="60"/>
              <w:left w:type="dxa" w:w="90"/>
              <w:bottom w:type="dxa" w:w="60"/>
              <w:right w:type="dxa" w:w="90"/>
            </w:tcMar>
          </w:tcPr>
          <w:p>
            <w:pPr>
              <w:spacing w:after="0" w:line="240"/>
              <w:jc w:val="left"/>
            </w:pPr>
            <w:r>
              <w:rPr>
                <w:b/>
                <w:bCs/>
                <w:color w:val="FFFFFF"/>
                <w:sz w:val="18"/>
                <w:szCs w:val="18"/>
              </w:rPr>
              <w:t xml:space="preserve">Collection code</w:t>
            </w:r>
          </w:p>
        </w:tc>
        <w:tc>
          <w:tcPr>
            <w:tcW w:type="dxa" w:w="1250"/>
            <w:shd w:fill="1F3864" w:color="auto" w:val="clear"/>
            <w:tcMar>
              <w:top w:type="dxa" w:w="60"/>
              <w:left w:type="dxa" w:w="90"/>
              <w:bottom w:type="dxa" w:w="60"/>
              <w:right w:type="dxa" w:w="90"/>
            </w:tcMar>
          </w:tcPr>
          <w:p>
            <w:pPr>
              <w:spacing w:after="0" w:line="240"/>
              <w:jc w:val="left"/>
            </w:pPr>
            <w:r>
              <w:rPr>
                <w:b/>
                <w:bCs/>
                <w:color w:val="FFFFFF"/>
                <w:sz w:val="18"/>
                <w:szCs w:val="18"/>
              </w:rPr>
              <w:t xml:space="preserve">Source</w:t>
            </w:r>
          </w:p>
        </w:tc>
        <w:tc>
          <w:tcPr>
            <w:tcW w:type="dxa" w:w="2270"/>
            <w:shd w:fill="1F3864" w:color="auto" w:val="clear"/>
            <w:tcMar>
              <w:top w:type="dxa" w:w="60"/>
              <w:left w:type="dxa" w:w="90"/>
              <w:bottom w:type="dxa" w:w="60"/>
              <w:right w:type="dxa" w:w="90"/>
            </w:tcMar>
          </w:tcPr>
          <w:p>
            <w:pPr>
              <w:spacing w:after="0" w:line="240"/>
              <w:jc w:val="left"/>
            </w:pPr>
            <w:r>
              <w:rPr>
                <w:b/>
                <w:bCs/>
                <w:color w:val="FFFFFF"/>
                <w:sz w:val="18"/>
                <w:szCs w:val="18"/>
              </w:rPr>
              <w:t xml:space="preserve">Unit</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People using at least basic drinking water</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SH.H2O.BASW.ZS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 la population</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People using at least basic sanitation</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SH.STA.BASS.ZS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 la population</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Survey mean consumption, bottom 40%</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SI.SPR.PC40</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USD PPA / jour</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Coverage of social protection programmes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per_allsp.cov_pop_tot</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ASPIRE</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 la population</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Urban population growth</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SP.URB.GROW</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annuel</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Population growth</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SP.POP.GROW</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annuel</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Population density</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EN.POP.DNST</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Hab. / km²</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Current health expenditure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SH.XPD.CHEX.GD.ZS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Current health expenditure per capita</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SH.XPD.CHEX.PC.CD</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Out-of-pocket health expenditure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SH.XPD.OOPC.CH.ZS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des dép. de santé</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Government expenditure on education</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SE.XPD.TOTL.GD.ZS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Life expectancy at birth</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SP.DYN.LE00.IN</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Années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Gini index</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SI.POV.GINI</w:t>
            </w:r>
          </w:p>
        </w:tc>
        <w:tc>
          <w:tcPr>
            <w:tcW w:type="dxa" w:w="1250"/>
            <w:tcMar>
              <w:top w:type="dxa" w:w="60"/>
              <w:left w:type="dxa" w:w="90"/>
              <w:bottom w:type="dxa" w:w="60"/>
              <w:right w:type="dxa" w:w="90"/>
            </w:tcMar>
          </w:tcPr>
          <w:p>
            <w:pPr>
              <w:spacing w:after="0" w:line="240"/>
              <w:jc w:val="left"/>
            </w:pPr>
            <w:r>
              <w:rPr>
                <w:color w:val="000000"/>
                <w:sz w:val="16"/>
                <w:szCs w:val="16"/>
              </w:rPr>
              <w:t xml:space="preserve">BM · PIP</w:t>
            </w:r>
          </w:p>
        </w:tc>
        <w:tc>
          <w:tcPr>
            <w:tcW w:type="dxa" w:w="2270"/>
            <w:tcMar>
              <w:top w:type="dxa" w:w="60"/>
              <w:left w:type="dxa" w:w="90"/>
              <w:bottom w:type="dxa" w:w="60"/>
              <w:right w:type="dxa" w:w="90"/>
            </w:tcMar>
          </w:tcPr>
          <w:p>
            <w:pPr>
              <w:spacing w:after="0" w:line="240"/>
              <w:jc w:val="left"/>
            </w:pPr>
            <w:r>
              <w:rPr>
                <w:color w:val="000000"/>
                <w:sz w:val="16"/>
                <w:szCs w:val="16"/>
              </w:rPr>
              <w:t xml:space="preserve">Indice 0-100</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Human capital index</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HD.HCI.OVRL</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Indice 0-1</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Fertility rate, total</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SP.DYN.TFRT.IN</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Naissances / femme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Net migration</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SM.POP.NETM</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Personnes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Mortality rate, under-5</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SH.DYN.MORT</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Pour 1 000 nais. viv.</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Mortality rate, infant</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SP.DYN.IMRT.IN</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Pour 1 000 nais. viv.</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Physicians per 1,000 people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SH.MED.PHYS.ZS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Pour 1 000 hab.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Income share held by highest 10%</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SI.DST.10TH.10</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PIP</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Income share held by lowest 20%</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SI.DST.FRST.20</w:t>
            </w:r>
          </w:p>
        </w:tc>
        <w:tc>
          <w:tcPr>
            <w:tcW w:type="dxa" w:w="1250"/>
            <w:tcMar>
              <w:top w:type="dxa" w:w="60"/>
              <w:left w:type="dxa" w:w="90"/>
              <w:bottom w:type="dxa" w:w="60"/>
              <w:right w:type="dxa" w:w="90"/>
            </w:tcMar>
          </w:tcPr>
          <w:p>
            <w:pPr>
              <w:spacing w:after="0" w:line="240"/>
              <w:jc w:val="left"/>
            </w:pPr>
            <w:r>
              <w:rPr>
                <w:color w:val="000000"/>
                <w:sz w:val="16"/>
                <w:szCs w:val="16"/>
              </w:rPr>
              <w:t xml:space="preserve">BM · PIP</w:t>
            </w:r>
          </w:p>
        </w:tc>
        <w:tc>
          <w:tcPr>
            <w:tcW w:type="dxa" w:w="2270"/>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Population, total</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SP.POP.TOTL</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Personnes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Urban population</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SP.URB.TOTL.IN.ZS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total</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Population ages 0-14</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SP.POP.0014.TO.ZS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total</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Population ages 15-64</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SP.POP.1564.TO.ZS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total</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Population ages 65 and above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SP.POP.65UP.TO.ZS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total</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Prevalence of undernourishment</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SN.ITK.DEFC.ZS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 la population</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Age dependency ratio</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SP.POP.DPND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des 15-64 ans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Maternal mortality ratio</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SH.STA.MMRT</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Pour 100 000 nais.</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Pupil-teacher ratio, primary</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SE.PRM.ENRL.TC.ZS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Ratio</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Prevalence of stunting, under-5</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SH.STA.STNT.ZS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des moins de 5 ans</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Death rate, crude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SP.DYN.CDRT.IN</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Pour 1 000 hab.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Birth rate, crude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SP.DYN.CBRT.IN</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Pour 1 000 hab.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School enrolment, tertiary (gross)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SE.TER.ENRR</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Primary completion rate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SE.PRM.CMPT.ZS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groupe d'âge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Adult literacy rate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SE.ADT.LITR.ZS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des 15 ans et +</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Poverty headcount at $2.15 a day</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SI.POV.DDAY</w:t>
            </w:r>
          </w:p>
        </w:tc>
        <w:tc>
          <w:tcPr>
            <w:tcW w:type="dxa" w:w="1250"/>
            <w:tcMar>
              <w:top w:type="dxa" w:w="60"/>
              <w:left w:type="dxa" w:w="90"/>
              <w:bottom w:type="dxa" w:w="60"/>
              <w:right w:type="dxa" w:w="90"/>
            </w:tcMar>
          </w:tcPr>
          <w:p>
            <w:pPr>
              <w:spacing w:after="0" w:line="240"/>
              <w:jc w:val="left"/>
            </w:pPr>
            <w:r>
              <w:rPr>
                <w:color w:val="000000"/>
                <w:sz w:val="16"/>
                <w:szCs w:val="16"/>
              </w:rPr>
              <w:t xml:space="preserve">BM · PIP</w:t>
            </w:r>
          </w:p>
        </w:tc>
        <w:tc>
          <w:tcPr>
            <w:tcW w:type="dxa" w:w="2270"/>
            <w:tcMar>
              <w:top w:type="dxa" w:w="60"/>
              <w:left w:type="dxa" w:w="90"/>
              <w:bottom w:type="dxa" w:w="60"/>
              <w:right w:type="dxa" w:w="90"/>
            </w:tcMar>
          </w:tcPr>
          <w:p>
            <w:pPr>
              <w:spacing w:after="0" w:line="240"/>
              <w:jc w:val="left"/>
            </w:pPr>
            <w:r>
              <w:rPr>
                <w:color w:val="000000"/>
                <w:sz w:val="16"/>
                <w:szCs w:val="16"/>
              </w:rPr>
              <w:t xml:space="preserve">% de la population</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Poverty headcount at $3.65 a day</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SI.POV.LMIC</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PIP</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 la population</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Poverty headcount at $6.85 a day</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SI.POV.UMIC</w:t>
            </w:r>
          </w:p>
        </w:tc>
        <w:tc>
          <w:tcPr>
            <w:tcW w:type="dxa" w:w="1250"/>
            <w:tcMar>
              <w:top w:type="dxa" w:w="60"/>
              <w:left w:type="dxa" w:w="90"/>
              <w:bottom w:type="dxa" w:w="60"/>
              <w:right w:type="dxa" w:w="90"/>
            </w:tcMar>
          </w:tcPr>
          <w:p>
            <w:pPr>
              <w:spacing w:after="0" w:line="240"/>
              <w:jc w:val="left"/>
            </w:pPr>
            <w:r>
              <w:rPr>
                <w:color w:val="000000"/>
                <w:sz w:val="16"/>
                <w:szCs w:val="16"/>
              </w:rPr>
              <w:t xml:space="preserve">BM · PIP</w:t>
            </w:r>
          </w:p>
        </w:tc>
        <w:tc>
          <w:tcPr>
            <w:tcW w:type="dxa" w:w="2270"/>
            <w:tcMar>
              <w:top w:type="dxa" w:w="60"/>
              <w:left w:type="dxa" w:w="90"/>
              <w:bottom w:type="dxa" w:w="60"/>
              <w:right w:type="dxa" w:w="90"/>
            </w:tcMar>
          </w:tcPr>
          <w:p>
            <w:pPr>
              <w:spacing w:after="0" w:line="240"/>
              <w:jc w:val="left"/>
            </w:pPr>
            <w:r>
              <w:rPr>
                <w:color w:val="000000"/>
                <w:sz w:val="16"/>
                <w:szCs w:val="16"/>
              </w:rPr>
              <w:t xml:space="preserve">% de la population</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Poverty headcount at national lines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SI.POV.NAHC</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 la population</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School enrolment, primary (net)</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SE.PRM.NENR</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School enrolment, secondary (net)</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SE.SEC.NENR</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Poverty gap at $2.15 a day</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SI.POV.GAPS</w:t>
            </w:r>
          </w:p>
        </w:tc>
        <w:tc>
          <w:tcPr>
            <w:tcW w:type="dxa" w:w="1250"/>
            <w:tcMar>
              <w:top w:type="dxa" w:w="60"/>
              <w:left w:type="dxa" w:w="90"/>
              <w:bottom w:type="dxa" w:w="60"/>
              <w:right w:type="dxa" w:w="90"/>
            </w:tcMar>
          </w:tcPr>
          <w:p>
            <w:pPr>
              <w:spacing w:after="0" w:line="240"/>
              <w:jc w:val="left"/>
            </w:pPr>
            <w:r>
              <w:rPr>
                <w:color w:val="000000"/>
                <w:sz w:val="16"/>
                <w:szCs w:val="16"/>
              </w:rPr>
              <w:t xml:space="preserve">BM · PIP</w:t>
            </w:r>
          </w:p>
        </w:tc>
        <w:tc>
          <w:tcPr>
            <w:tcW w:type="dxa" w:w="2270"/>
            <w:tcMar>
              <w:top w:type="dxa" w:w="60"/>
              <w:left w:type="dxa" w:w="90"/>
              <w:bottom w:type="dxa" w:w="60"/>
              <w:right w:type="dxa" w:w="90"/>
            </w:tcMar>
          </w:tcPr>
          <w:p>
            <w:pPr>
              <w:spacing w:after="0" w:line="240"/>
              <w:jc w:val="left"/>
            </w:pPr>
            <w:r>
              <w:rPr>
                <w:color w:val="000000"/>
                <w:sz w:val="16"/>
                <w:szCs w:val="16"/>
              </w:rPr>
              <w:t xml:space="preserve">%</w:t>
            </w:r>
          </w:p>
        </w:tc>
      </w:tr>
    </w:tbl>
    <w:p>
      <w:pPr>
        <w:spacing w:after="230" w:before="90"/>
        <w:jc w:val="center"/>
      </w:pPr>
      <w:r>
        <w:rPr>
          <w:i/>
          <w:iCs/>
          <w:color w:val="5C6672"/>
          <w:sz w:val="17"/>
          <w:szCs w:val="17"/>
        </w:rPr>
        <w:t xml:space="preserve">Table 18 – Demography and living conditions</w:t>
      </w:r>
    </w:p>
    <w:p>
      <w:pPr>
        <w:pStyle w:val="Heading2"/>
      </w:pPr>
      <w:r>
        <w:t xml:space="preserve">C12. Economic complexity and productive structure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50"/>
        <w:gridCol w:w="2000"/>
        <w:gridCol w:w="1250"/>
        <w:gridCol w:w="2270"/>
      </w:tblGrid>
      <w:tr>
        <w:trPr>
          <w:tblHeader/>
        </w:trPr>
        <w:tc>
          <w:tcPr>
            <w:tcW w:type="dxa" w:w="3550"/>
            <w:shd w:fill="1F3864" w:color="auto" w:val="clear"/>
            <w:tcMar>
              <w:top w:type="dxa" w:w="60"/>
              <w:left w:type="dxa" w:w="90"/>
              <w:bottom w:type="dxa" w:w="60"/>
              <w:right w:type="dxa" w:w="90"/>
            </w:tcMar>
          </w:tcPr>
          <w:p>
            <w:pPr>
              <w:spacing w:after="0" w:line="240"/>
              <w:jc w:val="left"/>
            </w:pPr>
            <w:r>
              <w:rPr>
                <w:b/>
                <w:bCs/>
                <w:color w:val="FFFFFF"/>
                <w:sz w:val="18"/>
                <w:szCs w:val="18"/>
              </w:rPr>
              <w:t xml:space="preserve">Indicator</w:t>
            </w:r>
          </w:p>
        </w:tc>
        <w:tc>
          <w:tcPr>
            <w:tcW w:type="dxa" w:w="2000"/>
            <w:shd w:fill="1F3864" w:color="auto" w:val="clear"/>
            <w:tcMar>
              <w:top w:type="dxa" w:w="60"/>
              <w:left w:type="dxa" w:w="90"/>
              <w:bottom w:type="dxa" w:w="60"/>
              <w:right w:type="dxa" w:w="90"/>
            </w:tcMar>
          </w:tcPr>
          <w:p>
            <w:pPr>
              <w:spacing w:after="0" w:line="240"/>
              <w:jc w:val="left"/>
            </w:pPr>
            <w:r>
              <w:rPr>
                <w:b/>
                <w:bCs/>
                <w:color w:val="FFFFFF"/>
                <w:sz w:val="18"/>
                <w:szCs w:val="18"/>
              </w:rPr>
              <w:t xml:space="preserve">Collection code</w:t>
            </w:r>
          </w:p>
        </w:tc>
        <w:tc>
          <w:tcPr>
            <w:tcW w:type="dxa" w:w="1250"/>
            <w:shd w:fill="1F3864" w:color="auto" w:val="clear"/>
            <w:tcMar>
              <w:top w:type="dxa" w:w="60"/>
              <w:left w:type="dxa" w:w="90"/>
              <w:bottom w:type="dxa" w:w="60"/>
              <w:right w:type="dxa" w:w="90"/>
            </w:tcMar>
          </w:tcPr>
          <w:p>
            <w:pPr>
              <w:spacing w:after="0" w:line="240"/>
              <w:jc w:val="left"/>
            </w:pPr>
            <w:r>
              <w:rPr>
                <w:b/>
                <w:bCs/>
                <w:color w:val="FFFFFF"/>
                <w:sz w:val="18"/>
                <w:szCs w:val="18"/>
              </w:rPr>
              <w:t xml:space="preserve">Source</w:t>
            </w:r>
          </w:p>
        </w:tc>
        <w:tc>
          <w:tcPr>
            <w:tcW w:type="dxa" w:w="2270"/>
            <w:shd w:fill="1F3864" w:color="auto" w:val="clear"/>
            <w:tcMar>
              <w:top w:type="dxa" w:w="60"/>
              <w:left w:type="dxa" w:w="90"/>
              <w:bottom w:type="dxa" w:w="60"/>
              <w:right w:type="dxa" w:w="90"/>
            </w:tcMar>
          </w:tcPr>
          <w:p>
            <w:pPr>
              <w:spacing w:after="0" w:line="240"/>
              <w:jc w:val="left"/>
            </w:pPr>
            <w:r>
              <w:rPr>
                <w:b/>
                <w:bCs/>
                <w:color w:val="FFFFFF"/>
                <w:sz w:val="18"/>
                <w:szCs w:val="18"/>
              </w:rPr>
              <w:t xml:space="preserve">Unit</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Economic Complexity Index</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eci</w:t>
            </w:r>
          </w:p>
        </w:tc>
        <w:tc>
          <w:tcPr>
            <w:tcW w:type="dxa" w:w="1250"/>
            <w:tcMar>
              <w:top w:type="dxa" w:w="60"/>
              <w:left w:type="dxa" w:w="90"/>
              <w:bottom w:type="dxa" w:w="60"/>
              <w:right w:type="dxa" w:w="90"/>
            </w:tcMar>
          </w:tcPr>
          <w:p>
            <w:pPr>
              <w:spacing w:after="0" w:line="240"/>
              <w:jc w:val="left"/>
            </w:pPr>
            <w:r>
              <w:rPr>
                <w:color w:val="000000"/>
                <w:sz w:val="16"/>
                <w:szCs w:val="16"/>
              </w:rPr>
              <w:t xml:space="preserve">Harvard · Atlas</w:t>
            </w:r>
          </w:p>
        </w:tc>
        <w:tc>
          <w:tcPr>
            <w:tcW w:type="dxa" w:w="2270"/>
            <w:tcMar>
              <w:top w:type="dxa" w:w="60"/>
              <w:left w:type="dxa" w:w="90"/>
              <w:bottom w:type="dxa" w:w="60"/>
              <w:right w:type="dxa" w:w="90"/>
            </w:tcMar>
          </w:tcPr>
          <w:p>
            <w:pPr>
              <w:spacing w:after="0" w:line="240"/>
              <w:jc w:val="left"/>
            </w:pPr>
            <w:r>
              <w:rPr>
                <w:color w:val="000000"/>
                <w:sz w:val="16"/>
                <w:szCs w:val="16"/>
              </w:rPr>
              <w:t xml:space="preserve">Score standardisé</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Complexity Outlook Index</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coi</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Harvard · Atlas</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Score standardisé</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High-technology exports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TX.VAL.TECH.MF.ZS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des exp. manuf.</w:t>
            </w:r>
          </w:p>
        </w:tc>
      </w:tr>
    </w:tbl>
    <w:p>
      <w:pPr>
        <w:spacing w:after="230" w:before="90"/>
        <w:jc w:val="center"/>
      </w:pPr>
      <w:r>
        <w:rPr>
          <w:i/>
          <w:iCs/>
          <w:color w:val="5C6672"/>
          <w:sz w:val="17"/>
          <w:szCs w:val="17"/>
        </w:rPr>
        <w:t xml:space="preserve">Table 19 – Economic complexity and productive structure</w:t>
      </w:r>
    </w:p>
    <w:p>
      <w:pPr>
        <w:pStyle w:val="Heading2"/>
      </w:pPr>
      <w:r>
        <w:t xml:space="preserve">C13. Governance and business environment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50"/>
        <w:gridCol w:w="2000"/>
        <w:gridCol w:w="1250"/>
        <w:gridCol w:w="2270"/>
      </w:tblGrid>
      <w:tr>
        <w:trPr>
          <w:tblHeader/>
        </w:trPr>
        <w:tc>
          <w:tcPr>
            <w:tcW w:type="dxa" w:w="3550"/>
            <w:shd w:fill="1F3864" w:color="auto" w:val="clear"/>
            <w:tcMar>
              <w:top w:type="dxa" w:w="60"/>
              <w:left w:type="dxa" w:w="90"/>
              <w:bottom w:type="dxa" w:w="60"/>
              <w:right w:type="dxa" w:w="90"/>
            </w:tcMar>
          </w:tcPr>
          <w:p>
            <w:pPr>
              <w:spacing w:after="0" w:line="240"/>
              <w:jc w:val="left"/>
            </w:pPr>
            <w:r>
              <w:rPr>
                <w:b/>
                <w:bCs/>
                <w:color w:val="FFFFFF"/>
                <w:sz w:val="18"/>
                <w:szCs w:val="18"/>
              </w:rPr>
              <w:t xml:space="preserve">Indicator</w:t>
            </w:r>
          </w:p>
        </w:tc>
        <w:tc>
          <w:tcPr>
            <w:tcW w:type="dxa" w:w="2000"/>
            <w:shd w:fill="1F3864" w:color="auto" w:val="clear"/>
            <w:tcMar>
              <w:top w:type="dxa" w:w="60"/>
              <w:left w:type="dxa" w:w="90"/>
              <w:bottom w:type="dxa" w:w="60"/>
              <w:right w:type="dxa" w:w="90"/>
            </w:tcMar>
          </w:tcPr>
          <w:p>
            <w:pPr>
              <w:spacing w:after="0" w:line="240"/>
              <w:jc w:val="left"/>
            </w:pPr>
            <w:r>
              <w:rPr>
                <w:b/>
                <w:bCs/>
                <w:color w:val="FFFFFF"/>
                <w:sz w:val="18"/>
                <w:szCs w:val="18"/>
              </w:rPr>
              <w:t xml:space="preserve">Collection code</w:t>
            </w:r>
          </w:p>
        </w:tc>
        <w:tc>
          <w:tcPr>
            <w:tcW w:type="dxa" w:w="1250"/>
            <w:shd w:fill="1F3864" w:color="auto" w:val="clear"/>
            <w:tcMar>
              <w:top w:type="dxa" w:w="60"/>
              <w:left w:type="dxa" w:w="90"/>
              <w:bottom w:type="dxa" w:w="60"/>
              <w:right w:type="dxa" w:w="90"/>
            </w:tcMar>
          </w:tcPr>
          <w:p>
            <w:pPr>
              <w:spacing w:after="0" w:line="240"/>
              <w:jc w:val="left"/>
            </w:pPr>
            <w:r>
              <w:rPr>
                <w:b/>
                <w:bCs/>
                <w:color w:val="FFFFFF"/>
                <w:sz w:val="18"/>
                <w:szCs w:val="18"/>
              </w:rPr>
              <w:t xml:space="preserve">Source</w:t>
            </w:r>
          </w:p>
        </w:tc>
        <w:tc>
          <w:tcPr>
            <w:tcW w:type="dxa" w:w="2270"/>
            <w:shd w:fill="1F3864" w:color="auto" w:val="clear"/>
            <w:tcMar>
              <w:top w:type="dxa" w:w="60"/>
              <w:left w:type="dxa" w:w="90"/>
              <w:bottom w:type="dxa" w:w="60"/>
              <w:right w:type="dxa" w:w="90"/>
            </w:tcMar>
          </w:tcPr>
          <w:p>
            <w:pPr>
              <w:spacing w:after="0" w:line="240"/>
              <w:jc w:val="left"/>
            </w:pPr>
            <w:r>
              <w:rPr>
                <w:b/>
                <w:bCs/>
                <w:color w:val="FFFFFF"/>
                <w:sz w:val="18"/>
                <w:szCs w:val="18"/>
              </w:rPr>
              <w:t xml:space="preserve">Unit</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Government effectiveness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GE.EST</w:t>
            </w:r>
          </w:p>
        </w:tc>
        <w:tc>
          <w:tcPr>
            <w:tcW w:type="dxa" w:w="1250"/>
            <w:tcMar>
              <w:top w:type="dxa" w:w="60"/>
              <w:left w:type="dxa" w:w="90"/>
              <w:bottom w:type="dxa" w:w="60"/>
              <w:right w:type="dxa" w:w="90"/>
            </w:tcMar>
          </w:tcPr>
          <w:p>
            <w:pPr>
              <w:spacing w:after="0" w:line="240"/>
              <w:jc w:val="left"/>
            </w:pPr>
            <w:r>
              <w:rPr>
                <w:color w:val="000000"/>
                <w:sz w:val="16"/>
                <w:szCs w:val="16"/>
              </w:rPr>
              <w:t xml:space="preserve">BM · WGI</w:t>
            </w:r>
          </w:p>
        </w:tc>
        <w:tc>
          <w:tcPr>
            <w:tcW w:type="dxa" w:w="2270"/>
            <w:tcMar>
              <w:top w:type="dxa" w:w="60"/>
              <w:left w:type="dxa" w:w="90"/>
              <w:bottom w:type="dxa" w:w="60"/>
              <w:right w:type="dxa" w:w="90"/>
            </w:tcMar>
          </w:tcPr>
          <w:p>
            <w:pPr>
              <w:spacing w:after="0" w:line="240"/>
              <w:jc w:val="left"/>
            </w:pPr>
            <w:r>
              <w:rPr>
                <w:color w:val="000000"/>
                <w:sz w:val="16"/>
                <w:szCs w:val="16"/>
              </w:rPr>
              <w:t xml:space="preserve">Score -2,5 à 2,5</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Voice and accountability</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VA.EST</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WGI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Score -2,5 à 2,5</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Business Ready, regulatory pillar</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BREADY_REG</w:t>
            </w:r>
          </w:p>
        </w:tc>
        <w:tc>
          <w:tcPr>
            <w:tcW w:type="dxa" w:w="1250"/>
            <w:tcMar>
              <w:top w:type="dxa" w:w="60"/>
              <w:left w:type="dxa" w:w="90"/>
              <w:bottom w:type="dxa" w:w="60"/>
              <w:right w:type="dxa" w:w="90"/>
            </w:tcMar>
          </w:tcPr>
          <w:p>
            <w:pPr>
              <w:spacing w:after="0" w:line="240"/>
              <w:jc w:val="left"/>
            </w:pPr>
            <w:r>
              <w:rPr>
                <w:color w:val="000000"/>
                <w:sz w:val="16"/>
                <w:szCs w:val="16"/>
              </w:rPr>
              <w:t xml:space="preserve">BM · B-READY</w:t>
            </w:r>
          </w:p>
        </w:tc>
        <w:tc>
          <w:tcPr>
            <w:tcW w:type="dxa" w:w="2270"/>
            <w:tcMar>
              <w:top w:type="dxa" w:w="60"/>
              <w:left w:type="dxa" w:w="90"/>
              <w:bottom w:type="dxa" w:w="60"/>
              <w:right w:type="dxa" w:w="90"/>
            </w:tcMar>
          </w:tcPr>
          <w:p>
            <w:pPr>
              <w:spacing w:after="0" w:line="240"/>
              <w:jc w:val="left"/>
            </w:pPr>
            <w:r>
              <w:rPr>
                <w:color w:val="000000"/>
                <w:sz w:val="16"/>
                <w:szCs w:val="16"/>
              </w:rPr>
              <w:t xml:space="preserve">Score 0-100</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Control of corruption</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CC.EST</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WGI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Score -2,5 à 2,5</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CPIA public sector management</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IQ.CPA.PUBS.XQ</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Score 1-6</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CPIA economic management</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IQ.CPA.ECON.XQ</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Score 1-6</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CPIA transparency and corruption</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IQ.CPA.TRAN.XQ</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Score 1-6</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Regulatory quality</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RQ.EST</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WGI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Score -2,5 à 2,5</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Political stability and absence of violence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PV.EST</w:t>
            </w:r>
          </w:p>
        </w:tc>
        <w:tc>
          <w:tcPr>
            <w:tcW w:type="dxa" w:w="1250"/>
            <w:tcMar>
              <w:top w:type="dxa" w:w="60"/>
              <w:left w:type="dxa" w:w="90"/>
              <w:bottom w:type="dxa" w:w="60"/>
              <w:right w:type="dxa" w:w="90"/>
            </w:tcMar>
          </w:tcPr>
          <w:p>
            <w:pPr>
              <w:spacing w:after="0" w:line="240"/>
              <w:jc w:val="left"/>
            </w:pPr>
            <w:r>
              <w:rPr>
                <w:color w:val="000000"/>
                <w:sz w:val="16"/>
                <w:szCs w:val="16"/>
              </w:rPr>
              <w:t xml:space="preserve">BM · WGI</w:t>
            </w:r>
          </w:p>
        </w:tc>
        <w:tc>
          <w:tcPr>
            <w:tcW w:type="dxa" w:w="2270"/>
            <w:tcMar>
              <w:top w:type="dxa" w:w="60"/>
              <w:left w:type="dxa" w:w="90"/>
              <w:bottom w:type="dxa" w:w="60"/>
              <w:right w:type="dxa" w:w="90"/>
            </w:tcMar>
          </w:tcPr>
          <w:p>
            <w:pPr>
              <w:spacing w:after="0" w:line="240"/>
              <w:jc w:val="left"/>
            </w:pPr>
            <w:r>
              <w:rPr>
                <w:color w:val="000000"/>
                <w:sz w:val="16"/>
                <w:szCs w:val="16"/>
              </w:rPr>
              <w:t xml:space="preserve">Score -2,5 à 2,5</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Time to prepare and pay taxes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IC.TAX.DURS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Heures / an</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Rule of law</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RL.EST</w:t>
            </w:r>
          </w:p>
        </w:tc>
        <w:tc>
          <w:tcPr>
            <w:tcW w:type="dxa" w:w="1250"/>
            <w:tcMar>
              <w:top w:type="dxa" w:w="60"/>
              <w:left w:type="dxa" w:w="90"/>
              <w:bottom w:type="dxa" w:w="60"/>
              <w:right w:type="dxa" w:w="90"/>
            </w:tcMar>
          </w:tcPr>
          <w:p>
            <w:pPr>
              <w:spacing w:after="0" w:line="240"/>
              <w:jc w:val="left"/>
            </w:pPr>
            <w:r>
              <w:rPr>
                <w:color w:val="000000"/>
                <w:sz w:val="16"/>
                <w:szCs w:val="16"/>
              </w:rPr>
              <w:t xml:space="preserve">BM · WGI</w:t>
            </w:r>
          </w:p>
        </w:tc>
        <w:tc>
          <w:tcPr>
            <w:tcW w:type="dxa" w:w="2270"/>
            <w:tcMar>
              <w:top w:type="dxa" w:w="60"/>
              <w:left w:type="dxa" w:w="90"/>
              <w:bottom w:type="dxa" w:w="60"/>
              <w:right w:type="dxa" w:w="90"/>
            </w:tcMar>
          </w:tcPr>
          <w:p>
            <w:pPr>
              <w:spacing w:after="0" w:line="240"/>
              <w:jc w:val="left"/>
            </w:pPr>
            <w:r>
              <w:rPr>
                <w:color w:val="000000"/>
                <w:sz w:val="16"/>
                <w:szCs w:val="16"/>
              </w:rPr>
              <w:t xml:space="preserve">Score -2,5 à 2,5</w:t>
            </w:r>
          </w:p>
        </w:tc>
      </w:tr>
    </w:tbl>
    <w:p>
      <w:pPr>
        <w:spacing w:after="230" w:before="90"/>
        <w:jc w:val="center"/>
      </w:pPr>
      <w:r>
        <w:rPr>
          <w:i/>
          <w:iCs/>
          <w:color w:val="5C6672"/>
          <w:sz w:val="17"/>
          <w:szCs w:val="17"/>
        </w:rPr>
        <w:t xml:space="preserve">Table 20 – Governance and business environment</w:t>
      </w:r>
    </w:p>
    <w:p>
      <w:pPr>
        <w:pStyle w:val="Heading2"/>
      </w:pPr>
      <w:r>
        <w:t xml:space="preserve">C14. Energy, environment and agriculture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50"/>
        <w:gridCol w:w="2000"/>
        <w:gridCol w:w="1250"/>
        <w:gridCol w:w="2270"/>
      </w:tblGrid>
      <w:tr>
        <w:trPr>
          <w:tblHeader/>
        </w:trPr>
        <w:tc>
          <w:tcPr>
            <w:tcW w:type="dxa" w:w="3550"/>
            <w:shd w:fill="1F3864" w:color="auto" w:val="clear"/>
            <w:tcMar>
              <w:top w:type="dxa" w:w="60"/>
              <w:left w:type="dxa" w:w="90"/>
              <w:bottom w:type="dxa" w:w="60"/>
              <w:right w:type="dxa" w:w="90"/>
            </w:tcMar>
          </w:tcPr>
          <w:p>
            <w:pPr>
              <w:spacing w:after="0" w:line="240"/>
              <w:jc w:val="left"/>
            </w:pPr>
            <w:r>
              <w:rPr>
                <w:b/>
                <w:bCs/>
                <w:color w:val="FFFFFF"/>
                <w:sz w:val="18"/>
                <w:szCs w:val="18"/>
              </w:rPr>
              <w:t xml:space="preserve">Indicator</w:t>
            </w:r>
          </w:p>
        </w:tc>
        <w:tc>
          <w:tcPr>
            <w:tcW w:type="dxa" w:w="2000"/>
            <w:shd w:fill="1F3864" w:color="auto" w:val="clear"/>
            <w:tcMar>
              <w:top w:type="dxa" w:w="60"/>
              <w:left w:type="dxa" w:w="90"/>
              <w:bottom w:type="dxa" w:w="60"/>
              <w:right w:type="dxa" w:w="90"/>
            </w:tcMar>
          </w:tcPr>
          <w:p>
            <w:pPr>
              <w:spacing w:after="0" w:line="240"/>
              <w:jc w:val="left"/>
            </w:pPr>
            <w:r>
              <w:rPr>
                <w:b/>
                <w:bCs/>
                <w:color w:val="FFFFFF"/>
                <w:sz w:val="18"/>
                <w:szCs w:val="18"/>
              </w:rPr>
              <w:t xml:space="preserve">Collection code</w:t>
            </w:r>
          </w:p>
        </w:tc>
        <w:tc>
          <w:tcPr>
            <w:tcW w:type="dxa" w:w="1250"/>
            <w:shd w:fill="1F3864" w:color="auto" w:val="clear"/>
            <w:tcMar>
              <w:top w:type="dxa" w:w="60"/>
              <w:left w:type="dxa" w:w="90"/>
              <w:bottom w:type="dxa" w:w="60"/>
              <w:right w:type="dxa" w:w="90"/>
            </w:tcMar>
          </w:tcPr>
          <w:p>
            <w:pPr>
              <w:spacing w:after="0" w:line="240"/>
              <w:jc w:val="left"/>
            </w:pPr>
            <w:r>
              <w:rPr>
                <w:b/>
                <w:bCs/>
                <w:color w:val="FFFFFF"/>
                <w:sz w:val="18"/>
                <w:szCs w:val="18"/>
              </w:rPr>
              <w:t xml:space="preserve">Source</w:t>
            </w:r>
          </w:p>
        </w:tc>
        <w:tc>
          <w:tcPr>
            <w:tcW w:type="dxa" w:w="2270"/>
            <w:shd w:fill="1F3864" w:color="auto" w:val="clear"/>
            <w:tcMar>
              <w:top w:type="dxa" w:w="60"/>
              <w:left w:type="dxa" w:w="90"/>
              <w:bottom w:type="dxa" w:w="60"/>
              <w:right w:type="dxa" w:w="90"/>
            </w:tcMar>
          </w:tcPr>
          <w:p>
            <w:pPr>
              <w:spacing w:after="0" w:line="240"/>
              <w:jc w:val="left"/>
            </w:pPr>
            <w:r>
              <w:rPr>
                <w:b/>
                <w:bCs/>
                <w:color w:val="FFFFFF"/>
                <w:sz w:val="18"/>
                <w:szCs w:val="18"/>
              </w:rPr>
              <w:t xml:space="preserve">Unit</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Fixed broadband subscriptions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IT.NET.BBND.P2</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Pour 100 hab.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Mobile cellular subscriptions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IT.CEL.SETS.P2</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Pour 100 hab.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Access to electricity</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EG.ELC.ACCS.ZS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 la population</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Fertilizer consumption</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AG.CON.FERT.ZS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kg / ha de terres arables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Electric power consumption per capita</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EG.USE.ELEC.KH.PC</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kWh / hab.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Energy use per capita</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EG.USE.PCAP.KG.OE</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kg équiv. pétrole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Agricultural raw materials exports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TX.VAL.AGRI.ZS.UN</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des exp. de march.</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ICT service exports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BX.GSR.CCIS.ZS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des exp. de services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PM2.5 air pollution exposure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EN.ATM.PM25.MC.M3</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µg / m³</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Food imports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TM.VAL.FOOD.ZS.UN</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des imp. de march.</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Logistics performance index, overall</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LP.LPI.OVRL.XQ</w:t>
            </w:r>
          </w:p>
        </w:tc>
        <w:tc>
          <w:tcPr>
            <w:tcW w:type="dxa" w:w="1250"/>
            <w:tcMar>
              <w:top w:type="dxa" w:w="60"/>
              <w:left w:type="dxa" w:w="90"/>
              <w:bottom w:type="dxa" w:w="60"/>
              <w:right w:type="dxa" w:w="90"/>
            </w:tcMar>
          </w:tcPr>
          <w:p>
            <w:pPr>
              <w:spacing w:after="0" w:line="240"/>
              <w:jc w:val="left"/>
            </w:pPr>
            <w:r>
              <w:rPr>
                <w:color w:val="000000"/>
                <w:sz w:val="16"/>
                <w:szCs w:val="16"/>
              </w:rPr>
              <w:t xml:space="preserve">BM · LPI</w:t>
            </w:r>
          </w:p>
        </w:tc>
        <w:tc>
          <w:tcPr>
            <w:tcW w:type="dxa" w:w="2270"/>
            <w:tcMar>
              <w:top w:type="dxa" w:w="60"/>
              <w:left w:type="dxa" w:w="90"/>
              <w:bottom w:type="dxa" w:w="60"/>
              <w:right w:type="dxa" w:w="90"/>
            </w:tcMar>
          </w:tcPr>
          <w:p>
            <w:pPr>
              <w:spacing w:after="0" w:line="240"/>
              <w:jc w:val="left"/>
            </w:pPr>
            <w:r>
              <w:rPr>
                <w:color w:val="000000"/>
                <w:sz w:val="16"/>
                <w:szCs w:val="16"/>
              </w:rPr>
              <w:t xml:space="preserve">Score 1-5</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Food production index</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AG.PRD.FOOD.XD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Indice 2014-2016 = 100</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Livestock production index</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AG.PRD.LVSK.XD</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Indice 2014-2016 = 100</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Crop production index</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AG.PRD.CROP.XD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Indice 2014-2016 = 100</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CO2 emissions per unit of GDP</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EN.GHG.CO2.RT.GDP.PP.KD</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kg / USD PPA</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Energy intensity of GDP</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EG.EGY.PRIM.PP.KD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MJ / USD PPA 2017</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Renewable energy consumption</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EG.FEC.RNEW.ZS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 la conso finale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Electric power transmission and distribution losses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EG.ELC.LOSS.ZS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 la production</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Annual freshwater withdrawals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ER.H2O.FWTL.ZS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des ressources</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Cereal yield</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AG.YLD.CREL.KG</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kg / hectare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Mineral rents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NY.GDP.MINR.RT.ZS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Oil rents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NY.GDP.PETR.RT.ZS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Total natural resources rents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NY.GDP.TOTL.RT.ZS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Forest area</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AG.LND.FRST.ZS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territoire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Agricultural land</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AG.LND.AGRI.ZS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territoire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Arable land per capita</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AG.LND.ARBL.HA.PC</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Hectares / hab.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Container port traffic</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IS.SHP.GOOD.TU</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EVP</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Air transport, freight</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IS.AIR.GOOD.MT.K1</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Millions t-km</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Individuals using the Internet</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IT.NET.USER.ZS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 la population</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Agriculture value added per worker</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NV.AGR.EMPL.KD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constants 2015</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CO2 emissions per capita</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EN.GHG.CO2.PC.CE.AR5</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t équiv. CO2 / hab.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CO2 emissions, total</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EN.GHG.CO2.MT.CE.AR5</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Mt équiv. CO2</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Adjusted net savings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NY.ADJ.SVNG.GN.ZS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RNB</w:t>
            </w:r>
          </w:p>
        </w:tc>
      </w:tr>
    </w:tbl>
    <w:p>
      <w:pPr>
        <w:spacing w:after="230" w:before="90"/>
        <w:jc w:val="center"/>
      </w:pPr>
      <w:r>
        <w:rPr>
          <w:i/>
          <w:iCs/>
          <w:color w:val="5C6672"/>
          <w:sz w:val="17"/>
          <w:szCs w:val="17"/>
        </w:rPr>
        <w:t xml:space="preserve">Table 21 – Energy, environment and agriculture</w:t>
      </w:r>
    </w:p>
    <w:p>
      <w:r>
        <w:br w:type="page"/>
      </w:r>
    </w:p>
    <w:p>
      <w:pPr>
        <w:spacing w:after="60" w:before="0"/>
      </w:pPr>
      <w:r>
        <w:rPr>
          <w:b/>
          <w:bCs/>
          <w:color w:val="C8A24A"/>
          <w:sz w:val="20"/>
          <w:szCs w:val="20"/>
        </w:rPr>
        <w:t xml:space="preserve">Appendix B</w:t>
      </w:r>
    </w:p>
    <w:p>
      <w:pPr>
        <w:pStyle w:val="Heading1"/>
        <w:spacing w:after="220" w:before="0"/>
      </w:pPr>
      <w:r>
        <w:t xml:space="preserve">Frequency reference</w:t>
      </w:r>
    </w:p>
    <w:p>
      <w:pPr>
        <w:spacing w:after="140" w:line="288"/>
        <w:jc w:val="both"/>
      </w:pPr>
      <w:r>
        <w:rPr>
          <w:b w:val="false"/>
          <w:bCs w:val="false"/>
          <w:i w:val="false"/>
          <w:iCs w:val="false"/>
          <w:sz w:val="21"/>
          <w:szCs w:val="21"/>
        </w:rPr>
        <w:t xml:space="preserve">The database schema recognises seven steps. Not all are fed.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70"/>
      </w:tblGrid>
      <w:tr>
        <w:trPr>
          <w:tblHeader/>
        </w:trPr>
        <w:tc>
          <w:tcPr>
            <w:tcW w:type="dxa" w:w="2400"/>
            <w:shd w:fill="1F3864" w:color="auto" w:val="clear"/>
            <w:tcMar>
              <w:top w:type="dxa" w:w="60"/>
              <w:left w:type="dxa" w:w="90"/>
              <w:bottom w:type="dxa" w:w="60"/>
              <w:right w:type="dxa" w:w="90"/>
            </w:tcMar>
          </w:tcPr>
          <w:p>
            <w:pPr>
              <w:spacing w:after="0" w:line="240"/>
              <w:jc w:val="left"/>
            </w:pPr>
            <w:r>
              <w:rPr>
                <w:b/>
                <w:bCs/>
                <w:color w:val="FFFFFF"/>
                <w:sz w:val="18"/>
                <w:szCs w:val="18"/>
              </w:rPr>
              <w:t xml:space="preserve">Code</w:t>
            </w:r>
          </w:p>
        </w:tc>
        <w:tc>
          <w:tcPr>
            <w:tcW w:type="dxa" w:w="3400"/>
            <w:shd w:fill="1F3864" w:color="auto" w:val="clear"/>
            <w:tcMar>
              <w:top w:type="dxa" w:w="60"/>
              <w:left w:type="dxa" w:w="90"/>
              <w:bottom w:type="dxa" w:w="60"/>
              <w:right w:type="dxa" w:w="90"/>
            </w:tcMar>
          </w:tcPr>
          <w:p>
            <w:pPr>
              <w:spacing w:after="0" w:line="240"/>
              <w:jc w:val="left"/>
            </w:pPr>
            <w:r>
              <w:rPr>
                <w:b/>
                <w:bCs/>
                <w:color w:val="FFFFFF"/>
                <w:sz w:val="18"/>
                <w:szCs w:val="18"/>
              </w:rPr>
              <w:t xml:space="preserve">Label</w:t>
            </w:r>
          </w:p>
        </w:tc>
        <w:tc>
          <w:tcPr>
            <w:tcW w:type="dxa" w:w="3270"/>
            <w:shd w:fill="1F3864" w:color="auto" w:val="clear"/>
            <w:tcMar>
              <w:top w:type="dxa" w:w="60"/>
              <w:left w:type="dxa" w:w="90"/>
              <w:bottom w:type="dxa" w:w="60"/>
              <w:right w:type="dxa" w:w="90"/>
            </w:tcMar>
          </w:tcPr>
          <w:p>
            <w:pPr>
              <w:spacing w:after="0" w:line="240"/>
              <w:jc w:val="left"/>
            </w:pPr>
            <w:r>
              <w:rPr>
                <w:b/>
                <w:bCs/>
                <w:color w:val="FFFFFF"/>
                <w:sz w:val="18"/>
                <w:szCs w:val="18"/>
              </w:rPr>
              <w:t xml:space="preserve">Fed today</w:t>
            </w:r>
          </w:p>
        </w:tc>
      </w:tr>
      <w:tr>
        <w:tc>
          <w:tcPr>
            <w:tcW w:type="dxa" w:w="2400"/>
            <w:tcMar>
              <w:top w:type="dxa" w:w="60"/>
              <w:left w:type="dxa" w:w="90"/>
              <w:bottom w:type="dxa" w:w="60"/>
              <w:right w:type="dxa" w:w="90"/>
            </w:tcMar>
          </w:tcPr>
          <w:p>
            <w:pPr>
              <w:spacing w:after="0" w:line="240"/>
              <w:jc w:val="left"/>
            </w:pPr>
            <w:r>
              <w:rPr>
                <w:color w:val="000000"/>
                <w:sz w:val="18"/>
                <w:szCs w:val="18"/>
              </w:rPr>
              <w:t xml:space="preserve">A</w:t>
            </w:r>
          </w:p>
        </w:tc>
        <w:tc>
          <w:tcPr>
            <w:tcW w:type="dxa" w:w="3400"/>
            <w:tcMar>
              <w:top w:type="dxa" w:w="60"/>
              <w:left w:type="dxa" w:w="90"/>
              <w:bottom w:type="dxa" w:w="60"/>
              <w:right w:type="dxa" w:w="90"/>
            </w:tcMar>
          </w:tcPr>
          <w:p>
            <w:pPr>
              <w:spacing w:after="0" w:line="240"/>
              <w:jc w:val="left"/>
            </w:pPr>
            <w:r>
              <w:rPr>
                <w:color w:val="000000"/>
                <w:sz w:val="18"/>
                <w:szCs w:val="18"/>
              </w:rPr>
              <w:t xml:space="preserve">Annual</w:t>
            </w:r>
          </w:p>
        </w:tc>
        <w:tc>
          <w:tcPr>
            <w:tcW w:type="dxa" w:w="3270"/>
            <w:tcMar>
              <w:top w:type="dxa" w:w="60"/>
              <w:left w:type="dxa" w:w="90"/>
              <w:bottom w:type="dxa" w:w="60"/>
              <w:right w:type="dxa" w:w="90"/>
            </w:tcMar>
          </w:tcPr>
          <w:p>
            <w:pPr>
              <w:spacing w:after="0" w:line="240"/>
              <w:jc w:val="left"/>
            </w:pPr>
            <w:r>
              <w:rPr>
                <w:color w:val="000000"/>
                <w:sz w:val="18"/>
                <w:szCs w:val="18"/>
              </w:rPr>
              <w:t xml:space="preserve">Yes, most of the catalogue</w:t>
            </w:r>
          </w:p>
        </w:tc>
      </w:tr>
      <w:tr>
        <w:tc>
          <w:tcPr>
            <w:tcW w:type="dxa" w:w="2400"/>
            <w:shd w:fill="F4F6F9" w:color="auto" w:val="clear"/>
            <w:tcMar>
              <w:top w:type="dxa" w:w="60"/>
              <w:left w:type="dxa" w:w="90"/>
              <w:bottom w:type="dxa" w:w="60"/>
              <w:right w:type="dxa" w:w="90"/>
            </w:tcMar>
          </w:tcPr>
          <w:p>
            <w:pPr>
              <w:spacing w:after="0" w:line="240"/>
              <w:jc w:val="left"/>
            </w:pPr>
            <w:r>
              <w:rPr>
                <w:color w:val="000000"/>
                <w:sz w:val="18"/>
                <w:szCs w:val="18"/>
              </w:rPr>
              <w:t xml:space="preserve">S</w:t>
            </w:r>
          </w:p>
        </w:tc>
        <w:tc>
          <w:tcPr>
            <w:tcW w:type="dxa" w:w="3400"/>
            <w:shd w:fill="F4F6F9" w:color="auto" w:val="clear"/>
            <w:tcMar>
              <w:top w:type="dxa" w:w="60"/>
              <w:left w:type="dxa" w:w="90"/>
              <w:bottom w:type="dxa" w:w="60"/>
              <w:right w:type="dxa" w:w="90"/>
            </w:tcMar>
          </w:tcPr>
          <w:p>
            <w:pPr>
              <w:spacing w:after="0" w:line="240"/>
              <w:jc w:val="left"/>
            </w:pPr>
            <w:r>
              <w:rPr>
                <w:color w:val="000000"/>
                <w:sz w:val="18"/>
                <w:szCs w:val="18"/>
              </w:rPr>
              <w:t xml:space="preserve">Half-yearly</w:t>
            </w:r>
          </w:p>
        </w:tc>
        <w:tc>
          <w:tcPr>
            <w:tcW w:type="dxa" w:w="3270"/>
            <w:shd w:fill="F4F6F9" w:color="auto" w:val="clear"/>
            <w:tcMar>
              <w:top w:type="dxa" w:w="60"/>
              <w:left w:type="dxa" w:w="90"/>
              <w:bottom w:type="dxa" w:w="60"/>
              <w:right w:type="dxa" w:w="90"/>
            </w:tcMar>
          </w:tcPr>
          <w:p>
            <w:pPr>
              <w:spacing w:after="0" w:line="240"/>
              <w:jc w:val="left"/>
            </w:pPr>
            <w:r>
              <w:rPr>
                <w:color w:val="000000"/>
                <w:sz w:val="18"/>
                <w:szCs w:val="18"/>
              </w:rPr>
              <w:t xml:space="preserve">No</w:t>
            </w:r>
          </w:p>
        </w:tc>
      </w:tr>
      <w:tr>
        <w:tc>
          <w:tcPr>
            <w:tcW w:type="dxa" w:w="2400"/>
            <w:tcMar>
              <w:top w:type="dxa" w:w="60"/>
              <w:left w:type="dxa" w:w="90"/>
              <w:bottom w:type="dxa" w:w="60"/>
              <w:right w:type="dxa" w:w="90"/>
            </w:tcMar>
          </w:tcPr>
          <w:p>
            <w:pPr>
              <w:spacing w:after="0" w:line="240"/>
              <w:jc w:val="left"/>
            </w:pPr>
            <w:r>
              <w:rPr>
                <w:color w:val="000000"/>
                <w:sz w:val="18"/>
                <w:szCs w:val="18"/>
              </w:rPr>
              <w:t xml:space="preserve">T</w:t>
            </w:r>
          </w:p>
        </w:tc>
        <w:tc>
          <w:tcPr>
            <w:tcW w:type="dxa" w:w="3400"/>
            <w:tcMar>
              <w:top w:type="dxa" w:w="60"/>
              <w:left w:type="dxa" w:w="90"/>
              <w:bottom w:type="dxa" w:w="60"/>
              <w:right w:type="dxa" w:w="90"/>
            </w:tcMar>
          </w:tcPr>
          <w:p>
            <w:pPr>
              <w:spacing w:after="0" w:line="240"/>
              <w:jc w:val="left"/>
            </w:pPr>
            <w:r>
              <w:rPr>
                <w:color w:val="000000"/>
                <w:sz w:val="18"/>
                <w:szCs w:val="18"/>
              </w:rPr>
              <w:t xml:space="preserve">Quarterly</w:t>
            </w:r>
          </w:p>
        </w:tc>
        <w:tc>
          <w:tcPr>
            <w:tcW w:type="dxa" w:w="3270"/>
            <w:tcMar>
              <w:top w:type="dxa" w:w="60"/>
              <w:left w:type="dxa" w:w="90"/>
              <w:bottom w:type="dxa" w:w="60"/>
              <w:right w:type="dxa" w:w="90"/>
            </w:tcMar>
          </w:tcPr>
          <w:p>
            <w:pPr>
              <w:spacing w:after="0" w:line="240"/>
              <w:jc w:val="left"/>
            </w:pPr>
            <w:r>
              <w:rPr>
                <w:color w:val="000000"/>
                <w:sz w:val="18"/>
                <w:szCs w:val="18"/>
              </w:rPr>
              <w:t xml:space="preserve">No</w:t>
            </w:r>
          </w:p>
        </w:tc>
      </w:tr>
      <w:tr>
        <w:tc>
          <w:tcPr>
            <w:tcW w:type="dxa" w:w="2400"/>
            <w:shd w:fill="F4F6F9" w:color="auto" w:val="clear"/>
            <w:tcMar>
              <w:top w:type="dxa" w:w="60"/>
              <w:left w:type="dxa" w:w="90"/>
              <w:bottom w:type="dxa" w:w="60"/>
              <w:right w:type="dxa" w:w="90"/>
            </w:tcMar>
          </w:tcPr>
          <w:p>
            <w:pPr>
              <w:spacing w:after="0" w:line="240"/>
              <w:jc w:val="left"/>
            </w:pPr>
            <w:r>
              <w:rPr>
                <w:color w:val="000000"/>
                <w:sz w:val="18"/>
                <w:szCs w:val="18"/>
              </w:rPr>
              <w:t xml:space="preserve">M</w:t>
            </w:r>
          </w:p>
        </w:tc>
        <w:tc>
          <w:tcPr>
            <w:tcW w:type="dxa" w:w="3400"/>
            <w:shd w:fill="F4F6F9" w:color="auto" w:val="clear"/>
            <w:tcMar>
              <w:top w:type="dxa" w:w="60"/>
              <w:left w:type="dxa" w:w="90"/>
              <w:bottom w:type="dxa" w:w="60"/>
              <w:right w:type="dxa" w:w="90"/>
            </w:tcMar>
          </w:tcPr>
          <w:p>
            <w:pPr>
              <w:spacing w:after="0" w:line="240"/>
              <w:jc w:val="left"/>
            </w:pPr>
            <w:r>
              <w:rPr>
                <w:color w:val="000000"/>
                <w:sz w:val="18"/>
                <w:szCs w:val="18"/>
              </w:rPr>
              <w:t xml:space="preserve">Monthly</w:t>
            </w:r>
          </w:p>
        </w:tc>
        <w:tc>
          <w:tcPr>
            <w:tcW w:type="dxa" w:w="3270"/>
            <w:shd w:fill="F4F6F9" w:color="auto" w:val="clear"/>
            <w:tcMar>
              <w:top w:type="dxa" w:w="60"/>
              <w:left w:type="dxa" w:w="90"/>
              <w:bottom w:type="dxa" w:w="60"/>
              <w:right w:type="dxa" w:w="90"/>
            </w:tcMar>
          </w:tcPr>
          <w:p>
            <w:pPr>
              <w:spacing w:after="0" w:line="240"/>
              <w:jc w:val="left"/>
            </w:pPr>
            <w:r>
              <w:rPr>
                <w:color w:val="000000"/>
                <w:sz w:val="18"/>
                <w:szCs w:val="18"/>
              </w:rPr>
              <w:t xml:space="preserve">Yes, commodity prices</w:t>
            </w:r>
          </w:p>
        </w:tc>
      </w:tr>
      <w:tr>
        <w:tc>
          <w:tcPr>
            <w:tcW w:type="dxa" w:w="2400"/>
            <w:tcMar>
              <w:top w:type="dxa" w:w="60"/>
              <w:left w:type="dxa" w:w="90"/>
              <w:bottom w:type="dxa" w:w="60"/>
              <w:right w:type="dxa" w:w="90"/>
            </w:tcMar>
          </w:tcPr>
          <w:p>
            <w:pPr>
              <w:spacing w:after="0" w:line="240"/>
              <w:jc w:val="left"/>
            </w:pPr>
            <w:r>
              <w:rPr>
                <w:color w:val="000000"/>
                <w:sz w:val="18"/>
                <w:szCs w:val="18"/>
              </w:rPr>
              <w:t xml:space="preserve">H</w:t>
            </w:r>
          </w:p>
        </w:tc>
        <w:tc>
          <w:tcPr>
            <w:tcW w:type="dxa" w:w="3400"/>
            <w:tcMar>
              <w:top w:type="dxa" w:w="60"/>
              <w:left w:type="dxa" w:w="90"/>
              <w:bottom w:type="dxa" w:w="60"/>
              <w:right w:type="dxa" w:w="90"/>
            </w:tcMar>
          </w:tcPr>
          <w:p>
            <w:pPr>
              <w:spacing w:after="0" w:line="240"/>
              <w:jc w:val="left"/>
            </w:pPr>
            <w:r>
              <w:rPr>
                <w:color w:val="000000"/>
                <w:sz w:val="18"/>
                <w:szCs w:val="18"/>
              </w:rPr>
              <w:t xml:space="preserve">Weekly</w:t>
            </w:r>
          </w:p>
        </w:tc>
        <w:tc>
          <w:tcPr>
            <w:tcW w:type="dxa" w:w="3270"/>
            <w:tcMar>
              <w:top w:type="dxa" w:w="60"/>
              <w:left w:type="dxa" w:w="90"/>
              <w:bottom w:type="dxa" w:w="60"/>
              <w:right w:type="dxa" w:w="90"/>
            </w:tcMar>
          </w:tcPr>
          <w:p>
            <w:pPr>
              <w:spacing w:after="0" w:line="240"/>
              <w:jc w:val="left"/>
            </w:pPr>
            <w:r>
              <w:rPr>
                <w:color w:val="000000"/>
                <w:sz w:val="18"/>
                <w:szCs w:val="18"/>
              </w:rPr>
              <w:t xml:space="preserve">No</w:t>
            </w:r>
          </w:p>
        </w:tc>
      </w:tr>
      <w:tr>
        <w:tc>
          <w:tcPr>
            <w:tcW w:type="dxa" w:w="2400"/>
            <w:shd w:fill="F4F6F9" w:color="auto" w:val="clear"/>
            <w:tcMar>
              <w:top w:type="dxa" w:w="60"/>
              <w:left w:type="dxa" w:w="90"/>
              <w:bottom w:type="dxa" w:w="60"/>
              <w:right w:type="dxa" w:w="90"/>
            </w:tcMar>
          </w:tcPr>
          <w:p>
            <w:pPr>
              <w:spacing w:after="0" w:line="240"/>
              <w:jc w:val="left"/>
            </w:pPr>
            <w:r>
              <w:rPr>
                <w:color w:val="000000"/>
                <w:sz w:val="18"/>
                <w:szCs w:val="18"/>
              </w:rPr>
              <w:t xml:space="preserve">J</w:t>
            </w:r>
          </w:p>
        </w:tc>
        <w:tc>
          <w:tcPr>
            <w:tcW w:type="dxa" w:w="3400"/>
            <w:shd w:fill="F4F6F9" w:color="auto" w:val="clear"/>
            <w:tcMar>
              <w:top w:type="dxa" w:w="60"/>
              <w:left w:type="dxa" w:w="90"/>
              <w:bottom w:type="dxa" w:w="60"/>
              <w:right w:type="dxa" w:w="90"/>
            </w:tcMar>
          </w:tcPr>
          <w:p>
            <w:pPr>
              <w:spacing w:after="0" w:line="240"/>
              <w:jc w:val="left"/>
            </w:pPr>
            <w:r>
              <w:rPr>
                <w:color w:val="000000"/>
                <w:sz w:val="18"/>
                <w:szCs w:val="18"/>
              </w:rPr>
              <w:t xml:space="preserve">Daily</w:t>
            </w:r>
          </w:p>
        </w:tc>
        <w:tc>
          <w:tcPr>
            <w:tcW w:type="dxa" w:w="3270"/>
            <w:shd w:fill="F4F6F9" w:color="auto" w:val="clear"/>
            <w:tcMar>
              <w:top w:type="dxa" w:w="60"/>
              <w:left w:type="dxa" w:w="90"/>
              <w:bottom w:type="dxa" w:w="60"/>
              <w:right w:type="dxa" w:w="90"/>
            </w:tcMar>
          </w:tcPr>
          <w:p>
            <w:pPr>
              <w:spacing w:after="0" w:line="240"/>
              <w:jc w:val="left"/>
            </w:pPr>
            <w:r>
              <w:rPr>
                <w:color w:val="000000"/>
                <w:sz w:val="18"/>
                <w:szCs w:val="18"/>
              </w:rPr>
              <w:t xml:space="preserve">No</w:t>
            </w:r>
          </w:p>
        </w:tc>
      </w:tr>
      <w:tr>
        <w:tc>
          <w:tcPr>
            <w:tcW w:type="dxa" w:w="2400"/>
            <w:tcMar>
              <w:top w:type="dxa" w:w="60"/>
              <w:left w:type="dxa" w:w="90"/>
              <w:bottom w:type="dxa" w:w="60"/>
              <w:right w:type="dxa" w:w="90"/>
            </w:tcMar>
          </w:tcPr>
          <w:p>
            <w:pPr>
              <w:spacing w:after="0" w:line="240"/>
              <w:jc w:val="left"/>
            </w:pPr>
            <w:r>
              <w:rPr>
                <w:color w:val="000000"/>
                <w:sz w:val="18"/>
                <w:szCs w:val="18"/>
              </w:rPr>
              <w:t xml:space="preserve">I</w:t>
            </w:r>
          </w:p>
        </w:tc>
        <w:tc>
          <w:tcPr>
            <w:tcW w:type="dxa" w:w="3400"/>
            <w:tcMar>
              <w:top w:type="dxa" w:w="60"/>
              <w:left w:type="dxa" w:w="90"/>
              <w:bottom w:type="dxa" w:w="60"/>
              <w:right w:type="dxa" w:w="90"/>
            </w:tcMar>
          </w:tcPr>
          <w:p>
            <w:pPr>
              <w:spacing w:after="0" w:line="240"/>
              <w:jc w:val="left"/>
            </w:pPr>
            <w:r>
              <w:rPr>
                <w:color w:val="000000"/>
                <w:sz w:val="18"/>
                <w:szCs w:val="18"/>
              </w:rPr>
              <w:t xml:space="preserve">Intraday</w:t>
            </w:r>
          </w:p>
        </w:tc>
        <w:tc>
          <w:tcPr>
            <w:tcW w:type="dxa" w:w="3270"/>
            <w:tcMar>
              <w:top w:type="dxa" w:w="60"/>
              <w:left w:type="dxa" w:w="90"/>
              <w:bottom w:type="dxa" w:w="60"/>
              <w:right w:type="dxa" w:w="90"/>
            </w:tcMar>
          </w:tcPr>
          <w:p>
            <w:pPr>
              <w:spacing w:after="0" w:line="240"/>
              <w:jc w:val="left"/>
            </w:pPr>
            <w:r>
              <w:rPr>
                <w:color w:val="000000"/>
                <w:sz w:val="18"/>
                <w:szCs w:val="18"/>
              </w:rPr>
              <w:t xml:space="preserve">No</w:t>
            </w:r>
          </w:p>
        </w:tc>
      </w:tr>
    </w:tbl>
    <w:p>
      <w:pPr>
        <w:spacing w:after="220" w:before="90"/>
        <w:jc w:val="center"/>
      </w:pPr>
      <w:r>
        <w:rPr>
          <w:i/>
          <w:iCs/>
          <w:color w:val="5C6672"/>
          <w:sz w:val="17"/>
          <w:szCs w:val="17"/>
        </w:rPr>
        <w:t xml:space="preserve">Table 22 – Recognised frequencies</w:t>
      </w:r>
    </w:p>
    <w:p>
      <w:pPr>
        <w:spacing w:after="140" w:line="288"/>
        <w:jc w:val="both"/>
      </w:pPr>
      <w:r>
        <w:rPr>
          <w:b w:val="false"/>
          <w:bCs w:val="false"/>
          <w:i w:val="false"/>
          <w:iCs w:val="false"/>
          <w:sz w:val="21"/>
          <w:szCs w:val="21"/>
        </w:rPr>
        <w:t xml:space="preserve">Steps that are not fed are never offered in the filter. The day a source feeds them, they will appear with no interface change.</w:t>
      </w:r>
    </w:p>
    <w:p>
      <w:r>
        <w:br w:type="page"/>
      </w:r>
    </w:p>
    <w:p>
      <w:pPr>
        <w:spacing w:after="60" w:before="0"/>
      </w:pPr>
      <w:r>
        <w:rPr>
          <w:b/>
          <w:bCs/>
          <w:color w:val="C8A24A"/>
          <w:sz w:val="20"/>
          <w:szCs w:val="20"/>
        </w:rPr>
        <w:t xml:space="preserve">Appendix C</w:t>
      </w:r>
    </w:p>
    <w:p>
      <w:pPr>
        <w:pStyle w:val="Heading1"/>
        <w:spacing w:after="220" w:before="0"/>
      </w:pPr>
      <w:r>
        <w:t xml:space="preserve">Glossary</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6070"/>
      </w:tblGrid>
      <w:tr>
        <w:trPr>
          <w:tblHeader/>
        </w:trPr>
        <w:tc>
          <w:tcPr>
            <w:tcW w:type="dxa" w:w="3000"/>
            <w:shd w:fill="1F3864" w:color="auto" w:val="clear"/>
            <w:tcMar>
              <w:top w:type="dxa" w:w="60"/>
              <w:left w:type="dxa" w:w="90"/>
              <w:bottom w:type="dxa" w:w="60"/>
              <w:right w:type="dxa" w:w="90"/>
            </w:tcMar>
          </w:tcPr>
          <w:p>
            <w:pPr>
              <w:spacing w:after="0" w:line="240"/>
              <w:jc w:val="left"/>
            </w:pPr>
            <w:r>
              <w:rPr>
                <w:b/>
                <w:bCs/>
                <w:color w:val="FFFFFF"/>
                <w:sz w:val="18"/>
                <w:szCs w:val="18"/>
              </w:rPr>
              <w:t xml:space="preserve">Term</w:t>
            </w:r>
          </w:p>
        </w:tc>
        <w:tc>
          <w:tcPr>
            <w:tcW w:type="dxa" w:w="6070"/>
            <w:shd w:fill="1F3864" w:color="auto" w:val="clear"/>
            <w:tcMar>
              <w:top w:type="dxa" w:w="60"/>
              <w:left w:type="dxa" w:w="90"/>
              <w:bottom w:type="dxa" w:w="60"/>
              <w:right w:type="dxa" w:w="90"/>
            </w:tcMar>
          </w:tcPr>
          <w:p>
            <w:pPr>
              <w:spacing w:after="0" w:line="240"/>
              <w:jc w:val="left"/>
            </w:pPr>
            <w:r>
              <w:rPr>
                <w:b/>
                <w:bCs/>
                <w:color w:val="FFFFFF"/>
                <w:sz w:val="18"/>
                <w:szCs w:val="18"/>
              </w:rPr>
              <w:t xml:space="preserve">Definition</w:t>
            </w:r>
          </w:p>
        </w:tc>
      </w:tr>
      <w:tr>
        <w:tc>
          <w:tcPr>
            <w:tcW w:type="dxa" w:w="3000"/>
            <w:tcMar>
              <w:top w:type="dxa" w:w="60"/>
              <w:left w:type="dxa" w:w="90"/>
              <w:bottom w:type="dxa" w:w="60"/>
              <w:right w:type="dxa" w:w="90"/>
            </w:tcMar>
          </w:tcPr>
          <w:p>
            <w:pPr>
              <w:spacing w:after="0" w:line="240"/>
              <w:jc w:val="left"/>
            </w:pPr>
            <w:r>
              <w:rPr>
                <w:color w:val="000000"/>
                <w:sz w:val="18"/>
                <w:szCs w:val="18"/>
              </w:rPr>
              <w:t xml:space="preserve">Aggregate</w:t>
            </w:r>
          </w:p>
        </w:tc>
        <w:tc>
          <w:tcPr>
            <w:tcW w:type="dxa" w:w="6070"/>
            <w:tcMar>
              <w:top w:type="dxa" w:w="60"/>
              <w:left w:type="dxa" w:w="90"/>
              <w:bottom w:type="dxa" w:w="60"/>
              <w:right w:type="dxa" w:w="90"/>
            </w:tcMar>
          </w:tcPr>
          <w:p>
            <w:pPr>
              <w:spacing w:after="0" w:line="240"/>
              <w:jc w:val="left"/>
            </w:pPr>
            <w:r>
              <w:rPr>
                <w:color w:val="000000"/>
                <w:sz w:val="18"/>
                <w:szCs w:val="18"/>
              </w:rPr>
              <w:t xml:space="preserve">A grouping of countries published by the provider: the world, a region, an income group. Excluded from maps and rankings.</w:t>
            </w:r>
          </w:p>
        </w:tc>
      </w:tr>
      <w:tr>
        <w:tc>
          <w:tcPr>
            <w:tcW w:type="dxa" w:w="3000"/>
            <w:shd w:fill="F4F6F9" w:color="auto" w:val="clear"/>
            <w:tcMar>
              <w:top w:type="dxa" w:w="60"/>
              <w:left w:type="dxa" w:w="90"/>
              <w:bottom w:type="dxa" w:w="60"/>
              <w:right w:type="dxa" w:w="90"/>
            </w:tcMar>
          </w:tcPr>
          <w:p>
            <w:pPr>
              <w:spacing w:after="0" w:line="240"/>
              <w:jc w:val="left"/>
            </w:pPr>
            <w:r>
              <w:rPr>
                <w:color w:val="000000"/>
                <w:sz w:val="18"/>
                <w:szCs w:val="18"/>
              </w:rPr>
              <w:t xml:space="preserve">Base 100</w:t>
            </w:r>
          </w:p>
        </w:tc>
        <w:tc>
          <w:tcPr>
            <w:tcW w:type="dxa" w:w="6070"/>
            <w:shd w:fill="F4F6F9" w:color="auto" w:val="clear"/>
            <w:tcMar>
              <w:top w:type="dxa" w:w="60"/>
              <w:left w:type="dxa" w:w="90"/>
              <w:bottom w:type="dxa" w:w="60"/>
              <w:right w:type="dxa" w:w="90"/>
            </w:tcMar>
          </w:tcPr>
          <w:p>
            <w:pPr>
              <w:spacing w:after="0" w:line="240"/>
              <w:jc w:val="left"/>
            </w:pPr>
            <w:r>
              <w:rPr>
                <w:color w:val="000000"/>
                <w:sz w:val="18"/>
                <w:szCs w:val="18"/>
              </w:rPr>
              <w:t xml:space="preserve">Transformation rebasing each series to one hundred at its first observation, to compare relative movements.</w:t>
            </w:r>
          </w:p>
        </w:tc>
      </w:tr>
      <w:tr>
        <w:tc>
          <w:tcPr>
            <w:tcW w:type="dxa" w:w="3000"/>
            <w:tcMar>
              <w:top w:type="dxa" w:w="60"/>
              <w:left w:type="dxa" w:w="90"/>
              <w:bottom w:type="dxa" w:w="60"/>
              <w:right w:type="dxa" w:w="90"/>
            </w:tcMar>
          </w:tcPr>
          <w:p>
            <w:pPr>
              <w:spacing w:after="0" w:line="240"/>
              <w:jc w:val="left"/>
            </w:pPr>
            <w:r>
              <w:rPr>
                <w:color w:val="000000"/>
                <w:sz w:val="18"/>
                <w:szCs w:val="18"/>
              </w:rPr>
              <w:t xml:space="preserve">Category</w:t>
            </w:r>
          </w:p>
        </w:tc>
        <w:tc>
          <w:tcPr>
            <w:tcW w:type="dxa" w:w="6070"/>
            <w:tcMar>
              <w:top w:type="dxa" w:w="60"/>
              <w:left w:type="dxa" w:w="90"/>
              <w:bottom w:type="dxa" w:w="60"/>
              <w:right w:type="dxa" w:w="90"/>
            </w:tcMar>
          </w:tcPr>
          <w:p>
            <w:pPr>
              <w:spacing w:after="0" w:line="240"/>
              <w:jc w:val="left"/>
            </w:pPr>
            <w:r>
              <w:rPr>
                <w:color w:val="000000"/>
                <w:sz w:val="18"/>
                <w:szCs w:val="18"/>
              </w:rPr>
              <w:t xml:space="preserve">One of the fourteen thematic groupings of indicators.</w:t>
            </w:r>
          </w:p>
        </w:tc>
      </w:tr>
      <w:tr>
        <w:tc>
          <w:tcPr>
            <w:tcW w:type="dxa" w:w="3000"/>
            <w:shd w:fill="F4F6F9" w:color="auto" w:val="clear"/>
            <w:tcMar>
              <w:top w:type="dxa" w:w="60"/>
              <w:left w:type="dxa" w:w="90"/>
              <w:bottom w:type="dxa" w:w="60"/>
              <w:right w:type="dxa" w:w="90"/>
            </w:tcMar>
          </w:tcPr>
          <w:p>
            <w:pPr>
              <w:spacing w:after="0" w:line="240"/>
              <w:jc w:val="left"/>
            </w:pPr>
            <w:r>
              <w:rPr>
                <w:color w:val="000000"/>
                <w:sz w:val="18"/>
                <w:szCs w:val="18"/>
              </w:rPr>
              <w:t xml:space="preserve">Collection code</w:t>
            </w:r>
          </w:p>
        </w:tc>
        <w:tc>
          <w:tcPr>
            <w:tcW w:type="dxa" w:w="6070"/>
            <w:shd w:fill="F4F6F9" w:color="auto" w:val="clear"/>
            <w:tcMar>
              <w:top w:type="dxa" w:w="60"/>
              <w:left w:type="dxa" w:w="90"/>
              <w:bottom w:type="dxa" w:w="60"/>
              <w:right w:type="dxa" w:w="90"/>
            </w:tcMar>
          </w:tcPr>
          <w:p>
            <w:pPr>
              <w:spacing w:after="0" w:line="240"/>
              <w:jc w:val="left"/>
            </w:pPr>
            <w:r>
              <w:rPr>
                <w:color w:val="000000"/>
                <w:sz w:val="18"/>
                <w:szCs w:val="18"/>
              </w:rPr>
              <w:t xml:space="preserve">Identifier of the series with its provider. Must not be altered.</w:t>
            </w:r>
          </w:p>
        </w:tc>
      </w:tr>
      <w:tr>
        <w:tc>
          <w:tcPr>
            <w:tcW w:type="dxa" w:w="3000"/>
            <w:tcMar>
              <w:top w:type="dxa" w:w="60"/>
              <w:left w:type="dxa" w:w="90"/>
              <w:bottom w:type="dxa" w:w="60"/>
              <w:right w:type="dxa" w:w="90"/>
            </w:tcMar>
          </w:tcPr>
          <w:p>
            <w:pPr>
              <w:spacing w:after="0" w:line="240"/>
              <w:jc w:val="left"/>
            </w:pPr>
            <w:r>
              <w:rPr>
                <w:color w:val="000000"/>
                <w:sz w:val="18"/>
                <w:szCs w:val="18"/>
              </w:rPr>
              <w:t xml:space="preserve">Collection</w:t>
            </w:r>
          </w:p>
        </w:tc>
        <w:tc>
          <w:tcPr>
            <w:tcW w:type="dxa" w:w="6070"/>
            <w:tcMar>
              <w:top w:type="dxa" w:w="60"/>
              <w:left w:type="dxa" w:w="90"/>
              <w:bottom w:type="dxa" w:w="60"/>
              <w:right w:type="dxa" w:w="90"/>
            </w:tcMar>
          </w:tcPr>
          <w:p>
            <w:pPr>
              <w:spacing w:after="0" w:line="240"/>
              <w:jc w:val="left"/>
            </w:pPr>
            <w:r>
              <w:rPr>
                <w:color w:val="000000"/>
                <w:sz w:val="18"/>
                <w:szCs w:val="18"/>
              </w:rPr>
              <w:t xml:space="preserve">Running the connectors towards the providers, followed by writing to the database.</w:t>
            </w:r>
          </w:p>
        </w:tc>
      </w:tr>
      <w:tr>
        <w:tc>
          <w:tcPr>
            <w:tcW w:type="dxa" w:w="3000"/>
            <w:shd w:fill="F4F6F9" w:color="auto" w:val="clear"/>
            <w:tcMar>
              <w:top w:type="dxa" w:w="60"/>
              <w:left w:type="dxa" w:w="90"/>
              <w:bottom w:type="dxa" w:w="60"/>
              <w:right w:type="dxa" w:w="90"/>
            </w:tcMar>
          </w:tcPr>
          <w:p>
            <w:pPr>
              <w:spacing w:after="0" w:line="240"/>
              <w:jc w:val="left"/>
            </w:pPr>
            <w:r>
              <w:rPr>
                <w:color w:val="000000"/>
                <w:sz w:val="18"/>
                <w:szCs w:val="18"/>
              </w:rPr>
              <w:t xml:space="preserve">Connector</w:t>
            </w:r>
          </w:p>
        </w:tc>
        <w:tc>
          <w:tcPr>
            <w:tcW w:type="dxa" w:w="6070"/>
            <w:shd w:fill="F4F6F9" w:color="auto" w:val="clear"/>
            <w:tcMar>
              <w:top w:type="dxa" w:w="60"/>
              <w:left w:type="dxa" w:w="90"/>
              <w:bottom w:type="dxa" w:w="60"/>
              <w:right w:type="dxa" w:w="90"/>
            </w:tcMar>
          </w:tcPr>
          <w:p>
            <w:pPr>
              <w:spacing w:after="0" w:line="240"/>
              <w:jc w:val="left"/>
            </w:pPr>
            <w:r>
              <w:rPr>
                <w:color w:val="000000"/>
                <w:sz w:val="18"/>
                <w:szCs w:val="18"/>
              </w:rPr>
              <w:t xml:space="preserve">Component responsible for querying one provider and normalising its response.</w:t>
            </w:r>
          </w:p>
        </w:tc>
      </w:tr>
      <w:tr>
        <w:tc>
          <w:tcPr>
            <w:tcW w:type="dxa" w:w="3000"/>
            <w:tcMar>
              <w:top w:type="dxa" w:w="60"/>
              <w:left w:type="dxa" w:w="90"/>
              <w:bottom w:type="dxa" w:w="60"/>
              <w:right w:type="dxa" w:w="90"/>
            </w:tcMar>
          </w:tcPr>
          <w:p>
            <w:pPr>
              <w:spacing w:after="0" w:line="240"/>
              <w:jc w:val="left"/>
            </w:pPr>
            <w:r>
              <w:rPr>
                <w:color w:val="000000"/>
                <w:sz w:val="18"/>
                <w:szCs w:val="18"/>
              </w:rPr>
              <w:t xml:space="preserve">Frequency</w:t>
            </w:r>
          </w:p>
        </w:tc>
        <w:tc>
          <w:tcPr>
            <w:tcW w:type="dxa" w:w="6070"/>
            <w:tcMar>
              <w:top w:type="dxa" w:w="60"/>
              <w:left w:type="dxa" w:w="90"/>
              <w:bottom w:type="dxa" w:w="60"/>
              <w:right w:type="dxa" w:w="90"/>
            </w:tcMar>
          </w:tcPr>
          <w:p>
            <w:pPr>
              <w:spacing w:after="0" w:line="240"/>
              <w:jc w:val="left"/>
            </w:pPr>
            <w:r>
              <w:rPr>
                <w:color w:val="000000"/>
                <w:sz w:val="18"/>
                <w:szCs w:val="18"/>
              </w:rPr>
              <w:t xml:space="preserve">Time step of a series: annual, quarterly, monthly.</w:t>
            </w:r>
          </w:p>
        </w:tc>
      </w:tr>
      <w:tr>
        <w:tc>
          <w:tcPr>
            <w:tcW w:type="dxa" w:w="3000"/>
            <w:shd w:fill="F4F6F9" w:color="auto" w:val="clear"/>
            <w:tcMar>
              <w:top w:type="dxa" w:w="60"/>
              <w:left w:type="dxa" w:w="90"/>
              <w:bottom w:type="dxa" w:w="60"/>
              <w:right w:type="dxa" w:w="90"/>
            </w:tcMar>
          </w:tcPr>
          <w:p>
            <w:pPr>
              <w:spacing w:after="0" w:line="240"/>
              <w:jc w:val="left"/>
            </w:pPr>
            <w:r>
              <w:rPr>
                <w:color w:val="000000"/>
                <w:sz w:val="18"/>
                <w:szCs w:val="18"/>
              </w:rPr>
              <w:t xml:space="preserve">Collection log</w:t>
            </w:r>
          </w:p>
        </w:tc>
        <w:tc>
          <w:tcPr>
            <w:tcW w:type="dxa" w:w="6070"/>
            <w:shd w:fill="F4F6F9" w:color="auto" w:val="clear"/>
            <w:tcMar>
              <w:top w:type="dxa" w:w="60"/>
              <w:left w:type="dxa" w:w="90"/>
              <w:bottom w:type="dxa" w:w="60"/>
              <w:right w:type="dxa" w:w="90"/>
            </w:tcMar>
          </w:tcPr>
          <w:p>
            <w:pPr>
              <w:spacing w:after="0" w:line="240"/>
              <w:jc w:val="left"/>
            </w:pPr>
            <w:r>
              <w:rPr>
                <w:color w:val="000000"/>
                <w:sz w:val="18"/>
                <w:szCs w:val="18"/>
              </w:rPr>
              <w:t xml:space="preserve">Timestamped record of each run, with its status and errors.</w:t>
            </w:r>
          </w:p>
        </w:tc>
      </w:tr>
      <w:tr>
        <w:tc>
          <w:tcPr>
            <w:tcW w:type="dxa" w:w="3000"/>
            <w:tcMar>
              <w:top w:type="dxa" w:w="60"/>
              <w:left w:type="dxa" w:w="90"/>
              <w:bottom w:type="dxa" w:w="60"/>
              <w:right w:type="dxa" w:w="90"/>
            </w:tcMar>
          </w:tcPr>
          <w:p>
            <w:pPr>
              <w:spacing w:after="0" w:line="240"/>
              <w:jc w:val="left"/>
            </w:pPr>
            <w:r>
              <w:rPr>
                <w:color w:val="000000"/>
                <w:sz w:val="18"/>
                <w:szCs w:val="18"/>
              </w:rPr>
              <w:t xml:space="preserve">Observation</w:t>
            </w:r>
          </w:p>
        </w:tc>
        <w:tc>
          <w:tcPr>
            <w:tcW w:type="dxa" w:w="6070"/>
            <w:tcMar>
              <w:top w:type="dxa" w:w="60"/>
              <w:left w:type="dxa" w:w="90"/>
              <w:bottom w:type="dxa" w:w="60"/>
              <w:right w:type="dxa" w:w="90"/>
            </w:tcMar>
          </w:tcPr>
          <w:p>
            <w:pPr>
              <w:spacing w:after="0" w:line="240"/>
              <w:jc w:val="left"/>
            </w:pPr>
            <w:r>
              <w:rPr>
                <w:color w:val="000000"/>
                <w:sz w:val="18"/>
                <w:szCs w:val="18"/>
              </w:rPr>
              <w:t xml:space="preserve">One value, for an indicator, a country, a frequency and a period.</w:t>
            </w:r>
          </w:p>
        </w:tc>
      </w:tr>
      <w:tr>
        <w:tc>
          <w:tcPr>
            <w:tcW w:type="dxa" w:w="3000"/>
            <w:shd w:fill="F4F6F9" w:color="auto" w:val="clear"/>
            <w:tcMar>
              <w:top w:type="dxa" w:w="60"/>
              <w:left w:type="dxa" w:w="90"/>
              <w:bottom w:type="dxa" w:w="60"/>
              <w:right w:type="dxa" w:w="90"/>
            </w:tcMar>
          </w:tcPr>
          <w:p>
            <w:pPr>
              <w:spacing w:after="0" w:line="240"/>
              <w:jc w:val="left"/>
            </w:pPr>
            <w:r>
              <w:rPr>
                <w:color w:val="000000"/>
                <w:sz w:val="18"/>
                <w:szCs w:val="18"/>
              </w:rPr>
              <w:t xml:space="preserve">Projection</w:t>
            </w:r>
          </w:p>
        </w:tc>
        <w:tc>
          <w:tcPr>
            <w:tcW w:type="dxa" w:w="6070"/>
            <w:shd w:fill="F4F6F9" w:color="auto" w:val="clear"/>
            <w:tcMar>
              <w:top w:type="dxa" w:w="60"/>
              <w:left w:type="dxa" w:w="90"/>
              <w:bottom w:type="dxa" w:w="60"/>
              <w:right w:type="dxa" w:w="90"/>
            </w:tcMar>
          </w:tcPr>
          <w:p>
            <w:pPr>
              <w:spacing w:after="0" w:line="240"/>
              <w:jc w:val="left"/>
            </w:pPr>
            <w:r>
              <w:rPr>
                <w:color w:val="000000"/>
                <w:sz w:val="18"/>
                <w:szCs w:val="18"/>
              </w:rPr>
              <w:t xml:space="preserve">Statistical extension of the observed series, with no economic assumption.</w:t>
            </w:r>
          </w:p>
        </w:tc>
      </w:tr>
      <w:tr>
        <w:tc>
          <w:tcPr>
            <w:tcW w:type="dxa" w:w="3000"/>
            <w:tcMar>
              <w:top w:type="dxa" w:w="60"/>
              <w:left w:type="dxa" w:w="90"/>
              <w:bottom w:type="dxa" w:w="60"/>
              <w:right w:type="dxa" w:w="90"/>
            </w:tcMar>
          </w:tcPr>
          <w:p>
            <w:pPr>
              <w:spacing w:after="0" w:line="240"/>
              <w:jc w:val="left"/>
            </w:pPr>
            <w:r>
              <w:rPr>
                <w:color w:val="000000"/>
                <w:sz w:val="18"/>
                <w:szCs w:val="18"/>
              </w:rPr>
              <w:t xml:space="preserve">Series</w:t>
            </w:r>
          </w:p>
        </w:tc>
        <w:tc>
          <w:tcPr>
            <w:tcW w:type="dxa" w:w="6070"/>
            <w:tcMar>
              <w:top w:type="dxa" w:w="60"/>
              <w:left w:type="dxa" w:w="90"/>
              <w:bottom w:type="dxa" w:w="60"/>
              <w:right w:type="dxa" w:w="90"/>
            </w:tcMar>
          </w:tcPr>
          <w:p>
            <w:pPr>
              <w:spacing w:after="0" w:line="240"/>
              <w:jc w:val="left"/>
            </w:pPr>
            <w:r>
              <w:rPr>
                <w:color w:val="000000"/>
                <w:sz w:val="18"/>
                <w:szCs w:val="18"/>
              </w:rPr>
              <w:t xml:space="preserve">An indicator, a frequency and a set of countries, displayed together.</w:t>
            </w:r>
          </w:p>
        </w:tc>
      </w:tr>
      <w:tr>
        <w:tc>
          <w:tcPr>
            <w:tcW w:type="dxa" w:w="3000"/>
            <w:shd w:fill="F4F6F9" w:color="auto" w:val="clear"/>
            <w:tcMar>
              <w:top w:type="dxa" w:w="60"/>
              <w:left w:type="dxa" w:w="90"/>
              <w:bottom w:type="dxa" w:w="60"/>
              <w:right w:type="dxa" w:w="90"/>
            </w:tcMar>
          </w:tcPr>
          <w:p>
            <w:pPr>
              <w:spacing w:after="0" w:line="240"/>
              <w:jc w:val="left"/>
            </w:pPr>
            <w:r>
              <w:rPr>
                <w:color w:val="000000"/>
                <w:sz w:val="18"/>
                <w:szCs w:val="18"/>
              </w:rPr>
              <w:t xml:space="preserve">Series with gaps</w:t>
            </w:r>
          </w:p>
        </w:tc>
        <w:tc>
          <w:tcPr>
            <w:tcW w:type="dxa" w:w="6070"/>
            <w:shd w:fill="F4F6F9" w:color="auto" w:val="clear"/>
            <w:tcMar>
              <w:top w:type="dxa" w:w="60"/>
              <w:left w:type="dxa" w:w="90"/>
              <w:bottom w:type="dxa" w:w="60"/>
              <w:right w:type="dxa" w:w="90"/>
            </w:tcMar>
          </w:tcPr>
          <w:p>
            <w:pPr>
              <w:spacing w:after="0" w:line="240"/>
              <w:jc w:val="left"/>
            </w:pPr>
            <w:r>
              <w:rPr>
                <w:color w:val="000000"/>
                <w:sz w:val="18"/>
                <w:szCs w:val="18"/>
              </w:rPr>
              <w:t xml:space="preserve">A series with missing periods, drawn as a dashed line.</w:t>
            </w:r>
          </w:p>
        </w:tc>
      </w:tr>
    </w:tbl>
    <w:p>
      <w:pPr>
        <w:spacing w:after="220" w:before="90"/>
        <w:jc w:val="center"/>
      </w:pPr>
      <w:r>
        <w:rPr>
          <w:i/>
          <w:iCs/>
          <w:color w:val="5C6672"/>
          <w:sz w:val="17"/>
          <w:szCs w:val="17"/>
        </w:rPr>
        <w:t xml:space="preserve">Table 23 – Terms used in this manual</w:t>
      </w:r>
    </w:p>
    <w:p>
      <w:r>
        <w:br w:type="page"/>
      </w:r>
    </w:p>
    <w:p>
      <w:pPr>
        <w:spacing w:after="60" w:before="0"/>
      </w:pPr>
      <w:r>
        <w:rPr>
          <w:b/>
          <w:bCs/>
          <w:color w:val="C8A24A"/>
          <w:sz w:val="20"/>
          <w:szCs w:val="20"/>
        </w:rPr>
        <w:t xml:space="preserve">Appendix D</w:t>
      </w:r>
    </w:p>
    <w:p>
      <w:pPr>
        <w:pStyle w:val="Heading1"/>
        <w:spacing w:after="220" w:before="0"/>
      </w:pPr>
      <w:r>
        <w:t xml:space="preserve">References</w:t>
      </w:r>
    </w:p>
    <w:p>
      <w:pPr>
        <w:pStyle w:val="ListParagraph"/>
        <w:numPr>
          <w:ilvl w:val="0"/>
          <w:numId w:val="3"/>
        </w:numPr>
        <w:spacing w:after="90" w:line="288"/>
        <w:jc w:val="both"/>
      </w:pPr>
      <w:r>
        <w:rPr>
          <w:sz w:val="21"/>
          <w:szCs w:val="21"/>
        </w:rPr>
        <w:t xml:space="preserve">World Bank, World Development Indicators.</w:t>
      </w:r>
    </w:p>
    <w:p>
      <w:pPr>
        <w:pStyle w:val="ListParagraph"/>
        <w:numPr>
          <w:ilvl w:val="0"/>
          <w:numId w:val="3"/>
        </w:numPr>
        <w:spacing w:after="90" w:line="288"/>
        <w:jc w:val="both"/>
      </w:pPr>
      <w:r>
        <w:rPr>
          <w:sz w:val="21"/>
          <w:szCs w:val="21"/>
        </w:rPr>
        <w:t xml:space="preserve">World Bank, Commodity Markets Outlook and Pink Sheet, monthly commodity prices.</w:t>
      </w:r>
    </w:p>
    <w:p>
      <w:pPr>
        <w:pStyle w:val="ListParagraph"/>
        <w:numPr>
          <w:ilvl w:val="0"/>
          <w:numId w:val="3"/>
        </w:numPr>
        <w:spacing w:after="90" w:line="288"/>
        <w:jc w:val="both"/>
      </w:pPr>
      <w:r>
        <w:rPr>
          <w:sz w:val="21"/>
          <w:szCs w:val="21"/>
        </w:rPr>
        <w:t xml:space="preserve">International Monetary Fund, World Economic Outlook database.</w:t>
      </w:r>
    </w:p>
    <w:p>
      <w:pPr>
        <w:pStyle w:val="ListParagraph"/>
        <w:numPr>
          <w:ilvl w:val="0"/>
          <w:numId w:val="3"/>
        </w:numPr>
        <w:spacing w:after="90" w:line="288"/>
        <w:jc w:val="both"/>
      </w:pPr>
      <w:r>
        <w:rPr>
          <w:sz w:val="21"/>
          <w:szCs w:val="21"/>
        </w:rPr>
        <w:t xml:space="preserve">International Monetary Fund, Fiscal Monitor.</w:t>
      </w:r>
    </w:p>
    <w:p>
      <w:pPr>
        <w:pStyle w:val="ListParagraph"/>
        <w:numPr>
          <w:ilvl w:val="0"/>
          <w:numId w:val="3"/>
        </w:numPr>
        <w:spacing w:after="90" w:line="288"/>
        <w:jc w:val="both"/>
      </w:pPr>
      <w:r>
        <w:rPr>
          <w:sz w:val="21"/>
          <w:szCs w:val="21"/>
        </w:rPr>
        <w:t xml:space="preserve">Hausmann R., Hidalgo C. et al., The Atlas of Economic Complexity, Growth Lab, Harvard University.</w:t>
      </w:r>
    </w:p>
    <w:p>
      <w:pPr>
        <w:pStyle w:val="ListParagraph"/>
        <w:numPr>
          <w:ilvl w:val="0"/>
          <w:numId w:val="3"/>
        </w:numPr>
        <w:spacing w:after="90" w:line="288"/>
        <w:jc w:val="both"/>
      </w:pPr>
      <w:r>
        <w:rPr>
          <w:sz w:val="21"/>
          <w:szCs w:val="21"/>
        </w:rPr>
        <w:t xml:space="preserve">Hyndman R. J. and Athanasopoulos G., Forecasting: Principles and Practice, for the extension methods and their intervals.</w:t>
      </w:r>
    </w:p>
    <w:p>
      <w:pPr>
        <w:pStyle w:val="ListParagraph"/>
        <w:numPr>
          <w:ilvl w:val="0"/>
          <w:numId w:val="3"/>
        </w:numPr>
        <w:spacing w:after="90" w:line="288"/>
        <w:jc w:val="both"/>
      </w:pPr>
      <w:r>
        <w:rPr>
          <w:sz w:val="21"/>
          <w:szCs w:val="21"/>
        </w:rPr>
        <w:t xml:space="preserve">Internal documentation OPESc 4.2.0, DAPE / MINEPAT, for shock simulation and reference projections.</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1E8" w:sz="4"/>
      </w:pBdr>
      <w:jc w:val="center"/>
    </w:pPr>
    <w:r>
      <w:rPr>
        <w:color w:val="808080"/>
        <w:sz w:val="15"/>
        <w:szCs w:val="15"/>
      </w:rPr>
      <w:t xml:space="preserve">OPESc+ 1.0 – User manual   ·   DAPE / MINEPAT   ·   Page </w:t>
    </w:r>
    <w:r>
      <w:rPr>
        <w:color w:val="8080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8"/>
      </w:pPr>
    </w:lvl>
  </w:abstractNum>
  <w:abstractNum w:abstractNumId="3" w15:restartNumberingAfterBreak="0">
    <w:multiLevelType w:val="hybridMultilevel"/>
    <w:lvl w:ilvl="0" w15:tentative="1">
      <w:start w:val="1"/>
      <w:numFmt w:val="decimal"/>
      <w:lvlText w:val="%1."/>
      <w:lvlJc w:val="left"/>
      <w:pPr>
        <w:ind w:left="518"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20" w:before="260"/>
    </w:pPr>
    <w:rPr>
      <w:rFonts w:ascii="Calibri" w:cs="Calibri" w:eastAsia="Calibri" w:hAnsi="Calibri"/>
      <w:b/>
      <w:bCs/>
      <w:color w:val="1F3864"/>
      <w:sz w:val="34"/>
      <w:szCs w:val="34"/>
    </w:rPr>
  </w:style>
  <w:style w:type="paragraph" w:styleId="Heading2">
    <w:name w:val="Heading 2"/>
    <w:basedOn w:val="Normal"/>
    <w:next w:val="Normal"/>
    <w:qFormat/>
    <w:pPr>
      <w:spacing w:after="140" w:before="300"/>
    </w:pPr>
    <w:rPr>
      <w:rFonts w:ascii="Calibri" w:cs="Calibri" w:eastAsia="Calibri" w:hAnsi="Calibri"/>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OPESc+ : OPESc+ User Manual</dc:title>
  <dc:creator>OPESc+</dc:creator>
  <cp:lastModifiedBy>Un-named</cp:lastModifiedBy>
  <cp:revision>1</cp:revision>
  <dcterms:created xsi:type="dcterms:W3CDTF">2026-08-31T02:43:39.815Z</dcterms:created>
  <dcterms:modified xsi:type="dcterms:W3CDTF">2026-08-31T02:43:39.815Z</dcterms:modified>
</cp:coreProperties>
</file>

<file path=docProps/custom.xml><?xml version="1.0" encoding="utf-8"?>
<Properties xmlns="http://schemas.openxmlformats.org/officeDocument/2006/custom-properties" xmlns:vt="http://schemas.openxmlformats.org/officeDocument/2006/docPropsVTypes"/>
</file>