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jc w:val="center"/>
      </w:pPr>
      <w:r>
        <w:rPr>
          <w:b/>
          <w:bCs/>
          <w:color w:val="000000"/>
          <w:sz w:val="40"/>
          <w:szCs w:val="40"/>
        </w:rPr>
        <w:t xml:space="preserve">OP</w:t>
      </w:r>
    </w:p>
    <w:p>
      <w:pPr>
        <w:spacing w:after="140"/>
        <w:jc w:val="center"/>
      </w:pPr>
      <w:r>
        <w:rPr>
          <w:b/>
          <w:bCs/>
          <w:color w:val="000000"/>
          <w:sz w:val="44"/>
          <w:szCs w:val="44"/>
        </w:rPr>
        <w:t xml:space="preserve">OPESc+ User Manual</w:t>
      </w:r>
    </w:p>
    <w:p>
      <w:pPr>
        <w:spacing w:after="280"/>
        <w:jc w:val="center"/>
      </w:pPr>
      <w:r>
        <w:rPr>
          <w:color w:val="000000"/>
          <w:sz w:val="26"/>
          <w:szCs w:val="26"/>
        </w:rPr>
        <w:t xml:space="preserve">Observatory of Economic Outlook</w:t>
      </w:r>
    </w:p>
    <w:p>
      <w:pPr>
        <w:spacing w:after="2600"/>
        <w:jc w:val="center"/>
      </w:pPr>
      <w:r>
        <w:rPr>
          <w:color w:val="000000"/>
          <w:sz w:val="24"/>
          <w:szCs w:val="24"/>
        </w:rPr>
        <w:t xml:space="preserve">Version 2.1</w:t>
      </w:r>
    </w:p>
    <w:p>
      <w:pPr>
        <w:spacing w:after="70"/>
        <w:jc w:val="center"/>
      </w:pPr>
      <w:r>
        <w:rPr>
          <w:color w:val="000000"/>
          <w:sz w:val="22"/>
          <w:szCs w:val="22"/>
        </w:rPr>
        <w:t xml:space="preserve">Economic Analysis and Policy Division</w:t>
      </w:r>
    </w:p>
    <w:p>
      <w:pPr>
        <w:spacing w:after="70"/>
        <w:jc w:val="center"/>
      </w:pPr>
      <w:r>
        <w:rPr>
          <w:color w:val="000000"/>
          <w:sz w:val="22"/>
          <w:szCs w:val="22"/>
        </w:rPr>
        <w:t xml:space="preserve">MINEPAT</w:t>
      </w:r>
    </w:p>
    <w:p>
      <w:pPr>
        <w:jc w:val="center"/>
      </w:pPr>
      <w:r>
        <w:rPr>
          <w:color w:val="000000"/>
          <w:sz w:val="22"/>
          <w:szCs w:val="22"/>
        </w:rPr>
        <w:t xml:space="preserve">September 2026</w:t>
      </w:r>
    </w:p>
    <w:p>
      <w:pPr>
        <w:sectPr>
          <w:pgSz w:w="11906" w:h="16838" w:orient="portrait"/>
          <w:pgMar w:top="1276" w:right="1276" w:bottom="1276" w:left="1276" w:header="708" w:footer="708" w:gutter="0"/>
          <w:pgNumType/>
          <w:docGrid w:linePitch="360"/>
        </w:sectPr>
      </w:pPr>
    </w:p>
    <w:p>
      <w:pPr>
        <w:pStyle w:val="Heading1"/>
        <w:spacing w:after="260" w:before="0"/>
      </w:pPr>
      <w:r>
        <w:t xml:space="preserve">Contents</w:t>
      </w:r>
    </w:p>
    <w:p>
      <w:pPr>
        <w:tabs>
          <w:tab w:val="right" w:pos="9354" w:leader="dot"/>
        </w:tabs>
        <w:spacing w:after="60" w:line="240"/>
      </w:pPr>
      <w:r>
        <w:rPr>
          <w:b/>
          <w:bCs/>
          <w:color w:val="3A3A3A"/>
          <w:sz w:val="21"/>
          <w:szCs w:val="21"/>
        </w:rPr>
        <w:t xml:space="preserve">Executive summary</w:t>
      </w:r>
      <w:r>
        <w:rPr>
          <w:color w:val="5C6672"/>
          <w:sz w:val="19"/>
          <w:szCs w:val="19"/>
        </w:rPr>
        <w:t xml:space="preserve">	5</w:t>
      </w:r>
    </w:p>
    <w:p>
      <w:pPr>
        <w:tabs>
          <w:tab w:val="right" w:pos="9354" w:leader="dot"/>
        </w:tabs>
        <w:spacing w:after="60" w:line="240"/>
      </w:pPr>
      <w:r>
        <w:rPr>
          <w:b/>
          <w:bCs/>
          <w:color w:val="3A3A3A"/>
          <w:sz w:val="21"/>
          <w:szCs w:val="21"/>
        </w:rPr>
        <w:t xml:space="preserve">1. General presentation</w:t>
      </w:r>
      <w:r>
        <w:rPr>
          <w:color w:val="5C6672"/>
          <w:sz w:val="19"/>
          <w:szCs w:val="19"/>
        </w:rPr>
        <w:t xml:space="preserve">	6</w:t>
      </w:r>
    </w:p>
    <w:p>
      <w:pPr>
        <w:tabs>
          <w:tab w:val="right" w:pos="9354" w:leader="dot"/>
        </w:tabs>
        <w:spacing w:after="30" w:line="240"/>
        <w:ind w:left="340"/>
      </w:pPr>
      <w:r>
        <w:rPr>
          <w:b w:val="false"/>
          <w:bCs w:val="false"/>
          <w:color w:val="3C4650"/>
          <w:sz w:val="19"/>
          <w:szCs w:val="19"/>
        </w:rPr>
        <w:t xml:space="preserve">Purpose</w:t>
      </w:r>
      <w:r>
        <w:rPr>
          <w:color w:val="5C6672"/>
          <w:sz w:val="19"/>
          <w:szCs w:val="19"/>
        </w:rPr>
        <w:t xml:space="preserve">	6</w:t>
      </w:r>
    </w:p>
    <w:p>
      <w:pPr>
        <w:tabs>
          <w:tab w:val="right" w:pos="9354" w:leader="dot"/>
        </w:tabs>
        <w:spacing w:after="30" w:line="240"/>
        <w:ind w:left="340"/>
      </w:pPr>
      <w:r>
        <w:rPr>
          <w:b w:val="false"/>
          <w:bCs w:val="false"/>
          <w:color w:val="3C4650"/>
          <w:sz w:val="19"/>
          <w:szCs w:val="19"/>
        </w:rPr>
        <w:t xml:space="preserve">Functional architecture</w:t>
      </w:r>
      <w:r>
        <w:rPr>
          <w:color w:val="5C6672"/>
          <w:sz w:val="19"/>
          <w:szCs w:val="19"/>
        </w:rPr>
        <w:t xml:space="preserve">	6</w:t>
      </w:r>
    </w:p>
    <w:p>
      <w:pPr>
        <w:tabs>
          <w:tab w:val="right" w:pos="9354" w:leader="dot"/>
        </w:tabs>
        <w:spacing w:after="30" w:line="240"/>
        <w:ind w:left="340"/>
      </w:pPr>
      <w:r>
        <w:rPr>
          <w:b w:val="false"/>
          <w:bCs w:val="false"/>
          <w:color w:val="3C4650"/>
          <w:sz w:val="19"/>
          <w:szCs w:val="19"/>
        </w:rPr>
        <w:t xml:space="preserve">Scope</w:t>
      </w:r>
      <w:r>
        <w:rPr>
          <w:color w:val="5C6672"/>
          <w:sz w:val="19"/>
          <w:szCs w:val="19"/>
        </w:rPr>
        <w:t xml:space="preserve">	6</w:t>
      </w:r>
    </w:p>
    <w:p>
      <w:pPr>
        <w:tabs>
          <w:tab w:val="right" w:pos="9354" w:leader="dot"/>
        </w:tabs>
        <w:spacing w:after="30" w:line="240"/>
        <w:ind w:left="340"/>
      </w:pPr>
      <w:r>
        <w:rPr>
          <w:b w:val="false"/>
          <w:bCs w:val="false"/>
          <w:color w:val="3C4650"/>
          <w:sz w:val="19"/>
          <w:szCs w:val="19"/>
        </w:rPr>
        <w:t xml:space="preserve">Sources</w:t>
      </w:r>
      <w:r>
        <w:rPr>
          <w:color w:val="5C6672"/>
          <w:sz w:val="19"/>
          <w:szCs w:val="19"/>
        </w:rPr>
        <w:t xml:space="preserve">	6</w:t>
      </w:r>
    </w:p>
    <w:p>
      <w:pPr>
        <w:tabs>
          <w:tab w:val="right" w:pos="9354" w:leader="dot"/>
        </w:tabs>
        <w:spacing w:after="60" w:line="240"/>
      </w:pPr>
      <w:r>
        <w:rPr>
          <w:b/>
          <w:bCs/>
          <w:color w:val="3A3A3A"/>
          <w:sz w:val="21"/>
          <w:szCs w:val="21"/>
        </w:rPr>
        <w:t xml:space="preserve">2. Getting started</w:t>
      </w:r>
      <w:r>
        <w:rPr>
          <w:color w:val="5C6672"/>
          <w:sz w:val="19"/>
          <w:szCs w:val="19"/>
        </w:rPr>
        <w:t xml:space="preserve">	8</w:t>
      </w:r>
    </w:p>
    <w:p>
      <w:pPr>
        <w:tabs>
          <w:tab w:val="right" w:pos="9354" w:leader="dot"/>
        </w:tabs>
        <w:spacing w:after="30" w:line="240"/>
        <w:ind w:left="340"/>
      </w:pPr>
      <w:r>
        <w:rPr>
          <w:b w:val="false"/>
          <w:bCs w:val="false"/>
          <w:color w:val="3C4650"/>
          <w:sz w:val="19"/>
          <w:szCs w:val="19"/>
        </w:rPr>
        <w:t xml:space="preserve">The banner</w:t>
      </w:r>
      <w:r>
        <w:rPr>
          <w:color w:val="5C6672"/>
          <w:sz w:val="19"/>
          <w:szCs w:val="19"/>
        </w:rPr>
        <w:t xml:space="preserve">	8</w:t>
      </w:r>
    </w:p>
    <w:p>
      <w:pPr>
        <w:tabs>
          <w:tab w:val="right" w:pos="9354" w:leader="dot"/>
        </w:tabs>
        <w:spacing w:after="30" w:line="240"/>
        <w:ind w:left="340"/>
      </w:pPr>
      <w:r>
        <w:rPr>
          <w:b w:val="false"/>
          <w:bCs w:val="false"/>
          <w:color w:val="3C4650"/>
          <w:sz w:val="19"/>
          <w:szCs w:val="19"/>
        </w:rPr>
        <w:t xml:space="preserve">The five tabs</w:t>
      </w:r>
      <w:r>
        <w:rPr>
          <w:color w:val="5C6672"/>
          <w:sz w:val="19"/>
          <w:szCs w:val="19"/>
        </w:rPr>
        <w:t xml:space="preserve">	8</w:t>
      </w:r>
    </w:p>
    <w:p>
      <w:pPr>
        <w:tabs>
          <w:tab w:val="right" w:pos="9354" w:leader="dot"/>
        </w:tabs>
        <w:spacing w:after="30" w:line="240"/>
        <w:ind w:left="340"/>
      </w:pPr>
      <w:r>
        <w:rPr>
          <w:b w:val="false"/>
          <w:bCs w:val="false"/>
          <w:color w:val="3C4650"/>
          <w:sz w:val="19"/>
          <w:szCs w:val="19"/>
        </w:rPr>
        <w:t xml:space="preserve">Switching language</w:t>
      </w:r>
      <w:r>
        <w:rPr>
          <w:color w:val="5C6672"/>
          <w:sz w:val="19"/>
          <w:szCs w:val="19"/>
        </w:rPr>
        <w:t xml:space="preserve">	8</w:t>
      </w:r>
    </w:p>
    <w:p>
      <w:pPr>
        <w:tabs>
          <w:tab w:val="right" w:pos="9354" w:leader="dot"/>
        </w:tabs>
        <w:spacing w:after="30" w:line="240"/>
        <w:ind w:left="340"/>
      </w:pPr>
      <w:r>
        <w:rPr>
          <w:b w:val="false"/>
          <w:bCs w:val="false"/>
          <w:color w:val="3C4650"/>
          <w:sz w:val="19"/>
          <w:szCs w:val="19"/>
        </w:rPr>
        <w:t xml:space="preserve">Downloading the manual</w:t>
      </w:r>
      <w:r>
        <w:rPr>
          <w:color w:val="5C6672"/>
          <w:sz w:val="19"/>
          <w:szCs w:val="19"/>
        </w:rPr>
        <w:t xml:space="preserve">	8</w:t>
      </w:r>
    </w:p>
    <w:p>
      <w:pPr>
        <w:tabs>
          <w:tab w:val="right" w:pos="9354" w:leader="dot"/>
        </w:tabs>
        <w:spacing w:after="60" w:line="240"/>
      </w:pPr>
      <w:r>
        <w:rPr>
          <w:b/>
          <w:bCs/>
          <w:color w:val="3A3A3A"/>
          <w:sz w:val="21"/>
          <w:szCs w:val="21"/>
        </w:rPr>
        <w:t xml:space="preserve">3. The Home tab</w:t>
      </w:r>
      <w:r>
        <w:rPr>
          <w:color w:val="5C6672"/>
          <w:sz w:val="19"/>
          <w:szCs w:val="19"/>
        </w:rPr>
        <w:t xml:space="preserve">	8</w:t>
      </w:r>
    </w:p>
    <w:p>
      <w:pPr>
        <w:tabs>
          <w:tab w:val="right" w:pos="9354" w:leader="dot"/>
        </w:tabs>
        <w:spacing w:after="60" w:line="240"/>
      </w:pPr>
      <w:r>
        <w:rPr>
          <w:b/>
          <w:bCs/>
          <w:color w:val="3A3A3A"/>
          <w:sz w:val="21"/>
          <w:szCs w:val="21"/>
        </w:rPr>
        <w:t xml:space="preserve">4. The dashboard</w:t>
      </w:r>
      <w:r>
        <w:rPr>
          <w:color w:val="5C6672"/>
          <w:sz w:val="19"/>
          <w:szCs w:val="19"/>
        </w:rPr>
        <w:t xml:space="preserve">	9</w:t>
      </w:r>
    </w:p>
    <w:p>
      <w:pPr>
        <w:tabs>
          <w:tab w:val="right" w:pos="9354" w:leader="dot"/>
        </w:tabs>
        <w:spacing w:after="30" w:line="240"/>
        <w:ind w:left="340"/>
      </w:pPr>
      <w:r>
        <w:rPr>
          <w:b w:val="false"/>
          <w:bCs w:val="false"/>
          <w:color w:val="3C4650"/>
          <w:sz w:val="19"/>
          <w:szCs w:val="19"/>
        </w:rPr>
        <w:t xml:space="preserve">What appears at start-up</w:t>
      </w:r>
      <w:r>
        <w:rPr>
          <w:color w:val="5C6672"/>
          <w:sz w:val="19"/>
          <w:szCs w:val="19"/>
        </w:rPr>
        <w:t xml:space="preserve">	10</w:t>
      </w:r>
    </w:p>
    <w:p>
      <w:pPr>
        <w:tabs>
          <w:tab w:val="right" w:pos="9354" w:leader="dot"/>
        </w:tabs>
        <w:spacing w:after="30" w:line="240"/>
        <w:ind w:left="340"/>
      </w:pPr>
      <w:r>
        <w:rPr>
          <w:b w:val="false"/>
          <w:bCs w:val="false"/>
          <w:color w:val="3C4650"/>
          <w:sz w:val="19"/>
          <w:szCs w:val="19"/>
        </w:rPr>
        <w:t xml:space="preserve">Choosing a category</w:t>
      </w:r>
      <w:r>
        <w:rPr>
          <w:color w:val="5C6672"/>
          <w:sz w:val="19"/>
          <w:szCs w:val="19"/>
        </w:rPr>
        <w:t xml:space="preserve">	10</w:t>
      </w:r>
    </w:p>
    <w:p>
      <w:pPr>
        <w:tabs>
          <w:tab w:val="right" w:pos="9354" w:leader="dot"/>
        </w:tabs>
        <w:spacing w:after="30" w:line="240"/>
        <w:ind w:left="340"/>
      </w:pPr>
      <w:r>
        <w:rPr>
          <w:b w:val="false"/>
          <w:bCs w:val="false"/>
          <w:color w:val="3C4650"/>
          <w:sz w:val="19"/>
          <w:szCs w:val="19"/>
        </w:rPr>
        <w:t xml:space="preserve">The filter bar</w:t>
      </w:r>
      <w:r>
        <w:rPr>
          <w:color w:val="5C6672"/>
          <w:sz w:val="19"/>
          <w:szCs w:val="19"/>
        </w:rPr>
        <w:t xml:space="preserve">	10</w:t>
      </w:r>
    </w:p>
    <w:p>
      <w:pPr>
        <w:tabs>
          <w:tab w:val="right" w:pos="9354" w:leader="dot"/>
        </w:tabs>
        <w:spacing w:after="30" w:line="240"/>
        <w:ind w:left="340"/>
      </w:pPr>
      <w:r>
        <w:rPr>
          <w:b w:val="false"/>
          <w:bCs w:val="false"/>
          <w:color w:val="3C4650"/>
          <w:sz w:val="19"/>
          <w:szCs w:val="19"/>
        </w:rPr>
        <w:t xml:space="preserve">Overlaying series</w:t>
      </w:r>
      <w:r>
        <w:rPr>
          <w:color w:val="5C6672"/>
          <w:sz w:val="19"/>
          <w:szCs w:val="19"/>
        </w:rPr>
        <w:t xml:space="preserve">	11</w:t>
      </w:r>
    </w:p>
    <w:p>
      <w:pPr>
        <w:tabs>
          <w:tab w:val="right" w:pos="9354" w:leader="dot"/>
        </w:tabs>
        <w:spacing w:after="30" w:line="240"/>
        <w:ind w:left="340"/>
      </w:pPr>
      <w:r>
        <w:rPr>
          <w:b w:val="false"/>
          <w:bCs w:val="false"/>
          <w:color w:val="3C4650"/>
          <w:sz w:val="19"/>
          <w:szCs w:val="19"/>
        </w:rPr>
        <w:t xml:space="preserve">The four representations</w:t>
      </w:r>
      <w:r>
        <w:rPr>
          <w:color w:val="5C6672"/>
          <w:sz w:val="19"/>
          <w:szCs w:val="19"/>
        </w:rPr>
        <w:t xml:space="preserve">	11</w:t>
      </w:r>
    </w:p>
    <w:p>
      <w:pPr>
        <w:tabs>
          <w:tab w:val="right" w:pos="9354" w:leader="dot"/>
        </w:tabs>
        <w:spacing w:after="30" w:line="240"/>
        <w:ind w:left="340"/>
      </w:pPr>
      <w:r>
        <w:rPr>
          <w:b w:val="false"/>
          <w:bCs w:val="false"/>
          <w:color w:val="3C4650"/>
          <w:sz w:val="19"/>
          <w:szCs w:val="19"/>
        </w:rPr>
        <w:t xml:space="preserve">Projections</w:t>
      </w:r>
      <w:r>
        <w:rPr>
          <w:color w:val="5C6672"/>
          <w:sz w:val="19"/>
          <w:szCs w:val="19"/>
        </w:rPr>
        <w:t xml:space="preserve">	11</w:t>
      </w:r>
    </w:p>
    <w:p>
      <w:pPr>
        <w:tabs>
          <w:tab w:val="right" w:pos="9354" w:leader="dot"/>
        </w:tabs>
        <w:spacing w:after="30" w:line="240"/>
        <w:ind w:left="340"/>
      </w:pPr>
      <w:r>
        <w:rPr>
          <w:b w:val="false"/>
          <w:bCs w:val="false"/>
          <w:color w:val="3C4650"/>
          <w:sz w:val="19"/>
          <w:szCs w:val="19"/>
        </w:rPr>
        <w:t xml:space="preserve">Exporting</w:t>
      </w:r>
      <w:r>
        <w:rPr>
          <w:color w:val="5C6672"/>
          <w:sz w:val="19"/>
          <w:szCs w:val="19"/>
        </w:rPr>
        <w:t xml:space="preserve">	12</w:t>
      </w:r>
    </w:p>
    <w:p>
      <w:pPr>
        <w:tabs>
          <w:tab w:val="right" w:pos="9354" w:leader="dot"/>
        </w:tabs>
        <w:spacing w:after="60" w:line="240"/>
      </w:pPr>
      <w:r>
        <w:rPr>
          <w:b/>
          <w:bCs/>
          <w:color w:val="3A3A3A"/>
          <w:sz w:val="21"/>
          <w:szCs w:val="21"/>
        </w:rPr>
        <w:t xml:space="preserve">5. Map analysis</w:t>
      </w:r>
      <w:r>
        <w:rPr>
          <w:color w:val="5C6672"/>
          <w:sz w:val="19"/>
          <w:szCs w:val="19"/>
        </w:rPr>
        <w:t xml:space="preserve">	12</w:t>
      </w:r>
    </w:p>
    <w:p>
      <w:pPr>
        <w:tabs>
          <w:tab w:val="right" w:pos="9354" w:leader="dot"/>
        </w:tabs>
        <w:spacing w:after="30" w:line="240"/>
        <w:ind w:left="340"/>
      </w:pPr>
      <w:r>
        <w:rPr>
          <w:b w:val="false"/>
          <w:bCs w:val="false"/>
          <w:color w:val="3C4650"/>
          <w:sz w:val="19"/>
          <w:szCs w:val="19"/>
        </w:rPr>
        <w:t xml:space="preserve">Reading the scale</w:t>
      </w:r>
      <w:r>
        <w:rPr>
          <w:color w:val="5C6672"/>
          <w:sz w:val="19"/>
          <w:szCs w:val="19"/>
        </w:rPr>
        <w:t xml:space="preserve">	12</w:t>
      </w:r>
    </w:p>
    <w:p>
      <w:pPr>
        <w:tabs>
          <w:tab w:val="right" w:pos="9354" w:leader="dot"/>
        </w:tabs>
        <w:spacing w:after="30" w:line="240"/>
        <w:ind w:left="340"/>
      </w:pPr>
      <w:r>
        <w:rPr>
          <w:b w:val="false"/>
          <w:bCs w:val="false"/>
          <w:color w:val="3C4650"/>
          <w:sz w:val="19"/>
          <w:szCs w:val="19"/>
        </w:rPr>
        <w:t xml:space="preserve">The country profile</w:t>
      </w:r>
      <w:r>
        <w:rPr>
          <w:color w:val="5C6672"/>
          <w:sz w:val="19"/>
          <w:szCs w:val="19"/>
        </w:rPr>
        <w:t xml:space="preserve">	13</w:t>
      </w:r>
    </w:p>
    <w:p>
      <w:pPr>
        <w:tabs>
          <w:tab w:val="right" w:pos="9354" w:leader="dot"/>
        </w:tabs>
        <w:spacing w:after="60" w:line="240"/>
      </w:pPr>
      <w:r>
        <w:rPr>
          <w:b/>
          <w:bCs/>
          <w:color w:val="3A3A3A"/>
          <w:sz w:val="21"/>
          <w:szCs w:val="21"/>
        </w:rPr>
        <w:t xml:space="preserve">6. The database</w:t>
      </w:r>
      <w:r>
        <w:rPr>
          <w:color w:val="5C6672"/>
          <w:sz w:val="19"/>
          <w:szCs w:val="19"/>
        </w:rPr>
        <w:t xml:space="preserve">	14</w:t>
      </w:r>
    </w:p>
    <w:p>
      <w:pPr>
        <w:tabs>
          <w:tab w:val="right" w:pos="9354" w:leader="dot"/>
        </w:tabs>
        <w:spacing w:after="60" w:line="240"/>
      </w:pPr>
      <w:r>
        <w:rPr>
          <w:b/>
          <w:bCs/>
          <w:color w:val="3A3A3A"/>
          <w:sz w:val="21"/>
          <w:szCs w:val="21"/>
        </w:rPr>
        <w:t xml:space="preserve">7. GoogleOPESc+, guided search</w:t>
      </w:r>
      <w:r>
        <w:rPr>
          <w:color w:val="5C6672"/>
          <w:sz w:val="19"/>
          <w:szCs w:val="19"/>
        </w:rPr>
        <w:t xml:space="preserve">	14</w:t>
      </w:r>
    </w:p>
    <w:p>
      <w:pPr>
        <w:tabs>
          <w:tab w:val="right" w:pos="9354" w:leader="dot"/>
        </w:tabs>
        <w:spacing w:after="30" w:line="240"/>
        <w:ind w:left="340"/>
      </w:pPr>
      <w:r>
        <w:rPr>
          <w:b w:val="false"/>
          <w:bCs w:val="false"/>
          <w:color w:val="3C4650"/>
          <w:sz w:val="19"/>
          <w:szCs w:val="19"/>
        </w:rPr>
        <w:t xml:space="preserve">What is displayed</w:t>
      </w:r>
      <w:r>
        <w:rPr>
          <w:color w:val="5C6672"/>
          <w:sz w:val="19"/>
          <w:szCs w:val="19"/>
        </w:rPr>
        <w:t xml:space="preserve">	14</w:t>
      </w:r>
    </w:p>
    <w:p>
      <w:pPr>
        <w:tabs>
          <w:tab w:val="right" w:pos="9354" w:leader="dot"/>
        </w:tabs>
        <w:spacing w:after="30" w:line="240"/>
        <w:ind w:left="340"/>
      </w:pPr>
      <w:r>
        <w:rPr>
          <w:b w:val="false"/>
          <w:bCs w:val="false"/>
          <w:color w:val="3C4650"/>
          <w:sz w:val="19"/>
          <w:szCs w:val="19"/>
        </w:rPr>
        <w:t xml:space="preserve">Suggestions while typing</w:t>
      </w:r>
      <w:r>
        <w:rPr>
          <w:color w:val="5C6672"/>
          <w:sz w:val="19"/>
          <w:szCs w:val="19"/>
        </w:rPr>
        <w:t xml:space="preserve">	14</w:t>
      </w:r>
    </w:p>
    <w:p>
      <w:pPr>
        <w:tabs>
          <w:tab w:val="right" w:pos="9354" w:leader="dot"/>
        </w:tabs>
        <w:spacing w:after="30" w:line="240"/>
        <w:ind w:left="340"/>
      </w:pPr>
      <w:r>
        <w:rPr>
          <w:b w:val="false"/>
          <w:bCs w:val="false"/>
          <w:color w:val="3C4650"/>
          <w:sz w:val="19"/>
          <w:szCs w:val="19"/>
        </w:rPr>
        <w:t xml:space="preserve">The definition and its source</w:t>
      </w:r>
      <w:r>
        <w:rPr>
          <w:color w:val="5C6672"/>
          <w:sz w:val="19"/>
          <w:szCs w:val="19"/>
        </w:rPr>
        <w:t xml:space="preserve">	16</w:t>
      </w:r>
    </w:p>
    <w:p>
      <w:pPr>
        <w:tabs>
          <w:tab w:val="right" w:pos="9354" w:leader="dot"/>
        </w:tabs>
        <w:spacing w:after="30" w:line="240"/>
        <w:ind w:left="340"/>
      </w:pPr>
      <w:r>
        <w:rPr>
          <w:b w:val="false"/>
          <w:bCs w:val="false"/>
          <w:color w:val="3C4650"/>
          <w:sz w:val="19"/>
          <w:szCs w:val="19"/>
        </w:rPr>
        <w:t xml:space="preserve">Configuring web search</w:t>
      </w:r>
      <w:r>
        <w:rPr>
          <w:color w:val="5C6672"/>
          <w:sz w:val="19"/>
          <w:szCs w:val="19"/>
        </w:rPr>
        <w:t xml:space="preserve">	16</w:t>
      </w:r>
    </w:p>
    <w:p>
      <w:pPr>
        <w:tabs>
          <w:tab w:val="right" w:pos="9354" w:leader="dot"/>
        </w:tabs>
        <w:spacing w:after="60" w:line="240"/>
      </w:pPr>
      <w:r>
        <w:rPr>
          <w:b/>
          <w:bCs/>
          <w:color w:val="3A3A3A"/>
          <w:sz w:val="21"/>
          <w:szCs w:val="21"/>
        </w:rPr>
        <w:t xml:space="preserve">8. Data collection</w:t>
      </w:r>
      <w:r>
        <w:rPr>
          <w:color w:val="5C6672"/>
          <w:sz w:val="19"/>
          <w:szCs w:val="19"/>
        </w:rPr>
        <w:t xml:space="preserve">	16</w:t>
      </w:r>
    </w:p>
    <w:p>
      <w:pPr>
        <w:tabs>
          <w:tab w:val="right" w:pos="9354" w:leader="dot"/>
        </w:tabs>
        <w:spacing w:after="30" w:line="240"/>
        <w:ind w:left="340"/>
      </w:pPr>
      <w:r>
        <w:rPr>
          <w:b w:val="false"/>
          <w:bCs w:val="false"/>
          <w:color w:val="3C4650"/>
          <w:sz w:val="19"/>
          <w:szCs w:val="19"/>
        </w:rPr>
        <w:t xml:space="preserve">Triggering an update</w:t>
      </w:r>
      <w:r>
        <w:rPr>
          <w:color w:val="5C6672"/>
          <w:sz w:val="19"/>
          <w:szCs w:val="19"/>
        </w:rPr>
        <w:t xml:space="preserve">	17</w:t>
      </w:r>
    </w:p>
    <w:p>
      <w:pPr>
        <w:tabs>
          <w:tab w:val="right" w:pos="9354" w:leader="dot"/>
        </w:tabs>
        <w:spacing w:after="30" w:line="240"/>
        <w:ind w:left="340"/>
      </w:pPr>
      <w:r>
        <w:rPr>
          <w:b w:val="false"/>
          <w:bCs w:val="false"/>
          <w:color w:val="3C4650"/>
          <w:sz w:val="19"/>
          <w:szCs w:val="19"/>
        </w:rPr>
        <w:t xml:space="preserve">Recommended rhythm</w:t>
      </w:r>
      <w:r>
        <w:rPr>
          <w:color w:val="5C6672"/>
          <w:sz w:val="19"/>
          <w:szCs w:val="19"/>
        </w:rPr>
        <w:t xml:space="preserve">	17</w:t>
      </w:r>
    </w:p>
    <w:p>
      <w:pPr>
        <w:tabs>
          <w:tab w:val="right" w:pos="9354" w:leader="dot"/>
        </w:tabs>
        <w:spacing w:after="60" w:line="240"/>
      </w:pPr>
      <w:r>
        <w:rPr>
          <w:b/>
          <w:bCs/>
          <w:color w:val="3A3A3A"/>
          <w:sz w:val="21"/>
          <w:szCs w:val="21"/>
        </w:rPr>
        <w:t xml:space="preserve">9. Importing an external database</w:t>
      </w:r>
      <w:r>
        <w:rPr>
          <w:color w:val="5C6672"/>
          <w:sz w:val="19"/>
          <w:szCs w:val="19"/>
        </w:rPr>
        <w:t xml:space="preserve">	17</w:t>
      </w:r>
    </w:p>
    <w:p>
      <w:pPr>
        <w:tabs>
          <w:tab w:val="right" w:pos="9354" w:leader="dot"/>
        </w:tabs>
        <w:spacing w:after="30" w:line="240"/>
        <w:ind w:left="340"/>
      </w:pPr>
      <w:r>
        <w:rPr>
          <w:b w:val="false"/>
          <w:bCs w:val="false"/>
          <w:color w:val="3C4650"/>
          <w:sz w:val="19"/>
          <w:szCs w:val="19"/>
        </w:rPr>
        <w:t xml:space="preserve">The file shipped with the platform</w:t>
      </w:r>
      <w:r>
        <w:rPr>
          <w:color w:val="5C6672"/>
          <w:sz w:val="19"/>
          <w:szCs w:val="19"/>
        </w:rPr>
        <w:t xml:space="preserve">	17</w:t>
      </w:r>
    </w:p>
    <w:p>
      <w:pPr>
        <w:tabs>
          <w:tab w:val="right" w:pos="9354" w:leader="dot"/>
        </w:tabs>
        <w:spacing w:after="30" w:line="240"/>
        <w:ind w:left="340"/>
      </w:pPr>
      <w:r>
        <w:rPr>
          <w:b w:val="false"/>
          <w:bCs w:val="false"/>
          <w:color w:val="3C4650"/>
          <w:sz w:val="19"/>
          <w:szCs w:val="19"/>
        </w:rPr>
        <w:t xml:space="preserve">Importing your own file</w:t>
      </w:r>
      <w:r>
        <w:rPr>
          <w:color w:val="5C6672"/>
          <w:sz w:val="19"/>
          <w:szCs w:val="19"/>
        </w:rPr>
        <w:t xml:space="preserve">	18</w:t>
      </w:r>
    </w:p>
    <w:p>
      <w:pPr>
        <w:tabs>
          <w:tab w:val="right" w:pos="9354" w:leader="dot"/>
        </w:tabs>
        <w:spacing w:after="30" w:line="240"/>
        <w:ind w:left="340"/>
      </w:pPr>
      <w:r>
        <w:rPr>
          <w:b w:val="false"/>
          <w:bCs w:val="false"/>
          <w:color w:val="3C4650"/>
          <w:sz w:val="19"/>
          <w:szCs w:val="19"/>
        </w:rPr>
        <w:t xml:space="preserve">The commodity price category</w:t>
      </w:r>
      <w:r>
        <w:rPr>
          <w:color w:val="5C6672"/>
          <w:sz w:val="19"/>
          <w:szCs w:val="19"/>
        </w:rPr>
        <w:t xml:space="preserve">	18</w:t>
      </w:r>
    </w:p>
    <w:p>
      <w:pPr>
        <w:tabs>
          <w:tab w:val="right" w:pos="9354" w:leader="dot"/>
        </w:tabs>
        <w:spacing w:after="60" w:line="240"/>
      </w:pPr>
      <w:r>
        <w:rPr>
          <w:b/>
          <w:bCs/>
          <w:color w:val="3A3A3A"/>
          <w:sz w:val="21"/>
          <w:szCs w:val="21"/>
        </w:rPr>
        <w:t xml:space="preserve">10. Methodology</w:t>
      </w:r>
      <w:r>
        <w:rPr>
          <w:color w:val="5C6672"/>
          <w:sz w:val="19"/>
          <w:szCs w:val="19"/>
        </w:rPr>
        <w:t xml:space="preserve">	18</w:t>
      </w:r>
    </w:p>
    <w:p>
      <w:pPr>
        <w:tabs>
          <w:tab w:val="right" w:pos="9354" w:leader="dot"/>
        </w:tabs>
        <w:spacing w:after="30" w:line="240"/>
        <w:ind w:left="340"/>
      </w:pPr>
      <w:r>
        <w:rPr>
          <w:b w:val="false"/>
          <w:bCs w:val="false"/>
          <w:color w:val="3C4650"/>
          <w:sz w:val="19"/>
          <w:szCs w:val="19"/>
        </w:rPr>
        <w:t xml:space="preserve">Period normalisation</w:t>
      </w:r>
      <w:r>
        <w:rPr>
          <w:color w:val="5C6672"/>
          <w:sz w:val="19"/>
          <w:szCs w:val="19"/>
        </w:rPr>
        <w:t xml:space="preserve">	18</w:t>
      </w:r>
    </w:p>
    <w:p>
      <w:pPr>
        <w:tabs>
          <w:tab w:val="right" w:pos="9354" w:leader="dot"/>
        </w:tabs>
        <w:spacing w:after="30" w:line="240"/>
        <w:ind w:left="340"/>
      </w:pPr>
      <w:r>
        <w:rPr>
          <w:b w:val="false"/>
          <w:bCs w:val="false"/>
          <w:color w:val="3C4650"/>
          <w:sz w:val="19"/>
          <w:szCs w:val="19"/>
        </w:rPr>
        <w:t xml:space="preserve">Aggregating a monthly series</w:t>
      </w:r>
      <w:r>
        <w:rPr>
          <w:color w:val="5C6672"/>
          <w:sz w:val="19"/>
          <w:szCs w:val="19"/>
        </w:rPr>
        <w:t xml:space="preserve">	18</w:t>
      </w:r>
    </w:p>
    <w:p>
      <w:pPr>
        <w:tabs>
          <w:tab w:val="right" w:pos="9354" w:leader="dot"/>
        </w:tabs>
        <w:spacing w:after="30" w:line="240"/>
        <w:ind w:left="340"/>
      </w:pPr>
      <w:r>
        <w:rPr>
          <w:b w:val="false"/>
          <w:bCs w:val="false"/>
          <w:color w:val="3C4650"/>
          <w:sz w:val="19"/>
          <w:szCs w:val="19"/>
        </w:rPr>
        <w:t xml:space="preserve">Rebasing to 100</w:t>
      </w:r>
      <w:r>
        <w:rPr>
          <w:color w:val="5C6672"/>
          <w:sz w:val="19"/>
          <w:szCs w:val="19"/>
        </w:rPr>
        <w:t xml:space="preserve">	18</w:t>
      </w:r>
    </w:p>
    <w:p>
      <w:pPr>
        <w:tabs>
          <w:tab w:val="right" w:pos="9354" w:leader="dot"/>
        </w:tabs>
        <w:spacing w:after="30" w:line="240"/>
        <w:ind w:left="340"/>
      </w:pPr>
      <w:r>
        <w:rPr>
          <w:b w:val="false"/>
          <w:bCs w:val="false"/>
          <w:color w:val="3C4650"/>
          <w:sz w:val="19"/>
          <w:szCs w:val="19"/>
        </w:rPr>
        <w:t xml:space="preserve">Projections</w:t>
      </w:r>
      <w:r>
        <w:rPr>
          <w:color w:val="5C6672"/>
          <w:sz w:val="19"/>
          <w:szCs w:val="19"/>
        </w:rPr>
        <w:t xml:space="preserve">	18</w:t>
      </w:r>
    </w:p>
    <w:p>
      <w:pPr>
        <w:tabs>
          <w:tab w:val="right" w:pos="9354" w:leader="dot"/>
        </w:tabs>
        <w:spacing w:after="30" w:line="240"/>
        <w:ind w:left="340"/>
      </w:pPr>
      <w:r>
        <w:rPr>
          <w:b w:val="false"/>
          <w:bCs w:val="false"/>
          <w:color w:val="3C4650"/>
          <w:sz w:val="19"/>
          <w:szCs w:val="19"/>
        </w:rPr>
        <w:t xml:space="preserve">Map scale</w:t>
      </w:r>
      <w:r>
        <w:rPr>
          <w:color w:val="5C6672"/>
          <w:sz w:val="19"/>
          <w:szCs w:val="19"/>
        </w:rPr>
        <w:t xml:space="preserve">	19</w:t>
      </w:r>
    </w:p>
    <w:p>
      <w:pPr>
        <w:tabs>
          <w:tab w:val="right" w:pos="9354" w:leader="dot"/>
        </w:tabs>
        <w:spacing w:after="30" w:line="240"/>
        <w:ind w:left="340"/>
      </w:pPr>
      <w:r>
        <w:rPr>
          <w:b w:val="false"/>
          <w:bCs w:val="false"/>
          <w:color w:val="3C4650"/>
          <w:sz w:val="19"/>
          <w:szCs w:val="19"/>
        </w:rPr>
        <w:t xml:space="preserve">Missing values</w:t>
      </w:r>
      <w:r>
        <w:rPr>
          <w:color w:val="5C6672"/>
          <w:sz w:val="19"/>
          <w:szCs w:val="19"/>
        </w:rPr>
        <w:t xml:space="preserve">	19</w:t>
      </w:r>
    </w:p>
    <w:p>
      <w:pPr>
        <w:tabs>
          <w:tab w:val="right" w:pos="9354" w:leader="dot"/>
        </w:tabs>
        <w:spacing w:after="60" w:line="240"/>
      </w:pPr>
      <w:r>
        <w:rPr>
          <w:b/>
          <w:bCs/>
          <w:color w:val="3A3A3A"/>
          <w:sz w:val="21"/>
          <w:szCs w:val="21"/>
        </w:rPr>
        <w:t xml:space="preserve">11. Limitations and points to watch</w:t>
      </w:r>
      <w:r>
        <w:rPr>
          <w:color w:val="5C6672"/>
          <w:sz w:val="19"/>
          <w:szCs w:val="19"/>
        </w:rPr>
        <w:t xml:space="preserve">	19</w:t>
      </w:r>
    </w:p>
    <w:p>
      <w:pPr>
        <w:tabs>
          <w:tab w:val="right" w:pos="9354" w:leader="dot"/>
        </w:tabs>
        <w:spacing w:after="30" w:line="240"/>
        <w:ind w:left="340"/>
      </w:pPr>
      <w:r>
        <w:rPr>
          <w:b w:val="false"/>
          <w:bCs w:val="false"/>
          <w:color w:val="3C4650"/>
          <w:sz w:val="19"/>
          <w:szCs w:val="19"/>
        </w:rPr>
        <w:t xml:space="preserve">Country coding</w:t>
      </w:r>
      <w:r>
        <w:rPr>
          <w:color w:val="5C6672"/>
          <w:sz w:val="19"/>
          <w:szCs w:val="19"/>
        </w:rPr>
        <w:t xml:space="preserve">	19</w:t>
      </w:r>
    </w:p>
    <w:p>
      <w:pPr>
        <w:tabs>
          <w:tab w:val="right" w:pos="9354" w:leader="dot"/>
        </w:tabs>
        <w:spacing w:after="30" w:line="240"/>
        <w:ind w:left="340"/>
      </w:pPr>
      <w:r>
        <w:rPr>
          <w:b w:val="false"/>
          <w:bCs w:val="false"/>
          <w:color w:val="3C4650"/>
          <w:sz w:val="19"/>
          <w:szCs w:val="19"/>
        </w:rPr>
        <w:t xml:space="preserve">Revisions</w:t>
      </w:r>
      <w:r>
        <w:rPr>
          <w:color w:val="5C6672"/>
          <w:sz w:val="19"/>
          <w:szCs w:val="19"/>
        </w:rPr>
        <w:t xml:space="preserve">	19</w:t>
      </w:r>
    </w:p>
    <w:p>
      <w:pPr>
        <w:tabs>
          <w:tab w:val="right" w:pos="9354" w:leader="dot"/>
        </w:tabs>
        <w:spacing w:after="30" w:line="240"/>
        <w:ind w:left="340"/>
      </w:pPr>
      <w:r>
        <w:rPr>
          <w:b w:val="false"/>
          <w:bCs w:val="false"/>
          <w:color w:val="3C4650"/>
          <w:sz w:val="19"/>
          <w:szCs w:val="19"/>
        </w:rPr>
        <w:t xml:space="preserve">Economic complexity</w:t>
      </w:r>
      <w:r>
        <w:rPr>
          <w:color w:val="5C6672"/>
          <w:sz w:val="19"/>
          <w:szCs w:val="19"/>
        </w:rPr>
        <w:t xml:space="preserve">	19</w:t>
      </w:r>
    </w:p>
    <w:p>
      <w:pPr>
        <w:tabs>
          <w:tab w:val="right" w:pos="9354" w:leader="dot"/>
        </w:tabs>
        <w:spacing w:after="30" w:line="240"/>
        <w:ind w:left="340"/>
      </w:pPr>
      <w:r>
        <w:rPr>
          <w:b w:val="false"/>
          <w:bCs w:val="false"/>
          <w:color w:val="3C4650"/>
          <w:sz w:val="19"/>
          <w:szCs w:val="19"/>
        </w:rPr>
        <w:t xml:space="preserve">Commodity price units</w:t>
      </w:r>
      <w:r>
        <w:rPr>
          <w:color w:val="5C6672"/>
          <w:sz w:val="19"/>
          <w:szCs w:val="19"/>
        </w:rPr>
        <w:t xml:space="preserve">	20</w:t>
      </w:r>
    </w:p>
    <w:p>
      <w:pPr>
        <w:tabs>
          <w:tab w:val="right" w:pos="9354" w:leader="dot"/>
        </w:tabs>
        <w:spacing w:after="30" w:line="240"/>
        <w:ind w:left="340"/>
      </w:pPr>
      <w:r>
        <w:rPr>
          <w:b w:val="false"/>
          <w:bCs w:val="false"/>
          <w:color w:val="3C4650"/>
          <w:sz w:val="19"/>
          <w:szCs w:val="19"/>
        </w:rPr>
        <w:t xml:space="preserve">Fine frequencies</w:t>
      </w:r>
      <w:r>
        <w:rPr>
          <w:color w:val="5C6672"/>
          <w:sz w:val="19"/>
          <w:szCs w:val="19"/>
        </w:rPr>
        <w:t xml:space="preserve">	20</w:t>
      </w:r>
    </w:p>
    <w:p>
      <w:pPr>
        <w:tabs>
          <w:tab w:val="right" w:pos="9354" w:leader="dot"/>
        </w:tabs>
        <w:spacing w:after="60" w:line="240"/>
      </w:pPr>
      <w:r>
        <w:rPr>
          <w:b/>
          <w:bCs/>
          <w:color w:val="3A3A3A"/>
          <w:sz w:val="21"/>
          <w:szCs w:val="21"/>
        </w:rPr>
        <w:t xml:space="preserve">12. Quick operating guide</w:t>
      </w:r>
      <w:r>
        <w:rPr>
          <w:color w:val="5C6672"/>
          <w:sz w:val="19"/>
          <w:szCs w:val="19"/>
        </w:rPr>
        <w:t xml:space="preserve">	20</w:t>
      </w:r>
    </w:p>
    <w:p>
      <w:pPr>
        <w:tabs>
          <w:tab w:val="right" w:pos="9354" w:leader="dot"/>
        </w:tabs>
        <w:spacing w:after="30" w:line="240"/>
        <w:ind w:left="340"/>
      </w:pPr>
      <w:r>
        <w:rPr>
          <w:b w:val="false"/>
          <w:bCs w:val="false"/>
          <w:color w:val="3C4650"/>
          <w:sz w:val="19"/>
          <w:szCs w:val="19"/>
        </w:rPr>
        <w:t xml:space="preserve">Consulting an indicator</w:t>
      </w:r>
      <w:r>
        <w:rPr>
          <w:color w:val="5C6672"/>
          <w:sz w:val="19"/>
          <w:szCs w:val="19"/>
        </w:rPr>
        <w:t xml:space="preserve">	20</w:t>
      </w:r>
    </w:p>
    <w:p>
      <w:pPr>
        <w:tabs>
          <w:tab w:val="right" w:pos="9354" w:leader="dot"/>
        </w:tabs>
        <w:spacing w:after="30" w:line="240"/>
        <w:ind w:left="340"/>
      </w:pPr>
      <w:r>
        <w:rPr>
          <w:b w:val="false"/>
          <w:bCs w:val="false"/>
          <w:color w:val="3C4650"/>
          <w:sz w:val="19"/>
          <w:szCs w:val="19"/>
        </w:rPr>
        <w:t xml:space="preserve">Comparing several indicators</w:t>
      </w:r>
      <w:r>
        <w:rPr>
          <w:color w:val="5C6672"/>
          <w:sz w:val="19"/>
          <w:szCs w:val="19"/>
        </w:rPr>
        <w:t xml:space="preserve">	21</w:t>
      </w:r>
    </w:p>
    <w:p>
      <w:pPr>
        <w:tabs>
          <w:tab w:val="right" w:pos="9354" w:leader="dot"/>
        </w:tabs>
        <w:spacing w:after="30" w:line="240"/>
        <w:ind w:left="340"/>
      </w:pPr>
      <w:r>
        <w:rPr>
          <w:b w:val="false"/>
          <w:bCs w:val="false"/>
          <w:color w:val="3C4650"/>
          <w:sz w:val="19"/>
          <w:szCs w:val="19"/>
        </w:rPr>
        <w:t xml:space="preserve">Updating the data</w:t>
      </w:r>
      <w:r>
        <w:rPr>
          <w:color w:val="5C6672"/>
          <w:sz w:val="19"/>
          <w:szCs w:val="19"/>
        </w:rPr>
        <w:t xml:space="preserve">	21</w:t>
      </w:r>
    </w:p>
    <w:p>
      <w:pPr>
        <w:tabs>
          <w:tab w:val="right" w:pos="9354" w:leader="dot"/>
        </w:tabs>
        <w:spacing w:after="60" w:line="240"/>
      </w:pPr>
      <w:r>
        <w:rPr>
          <w:b/>
          <w:bCs/>
          <w:color w:val="3A3A3A"/>
          <w:sz w:val="21"/>
          <w:szCs w:val="21"/>
        </w:rPr>
        <w:t xml:space="preserve">13. Frequently asked questions</w:t>
      </w:r>
      <w:r>
        <w:rPr>
          <w:color w:val="5C6672"/>
          <w:sz w:val="19"/>
          <w:szCs w:val="19"/>
        </w:rPr>
        <w:t xml:space="preserve">	21</w:t>
      </w:r>
    </w:p>
    <w:p>
      <w:pPr>
        <w:tabs>
          <w:tab w:val="right" w:pos="9354" w:leader="dot"/>
        </w:tabs>
        <w:spacing w:after="30" w:line="240"/>
        <w:ind w:left="340"/>
      </w:pPr>
      <w:r>
        <w:rPr>
          <w:b w:val="false"/>
          <w:bCs w:val="false"/>
          <w:color w:val="3C4650"/>
          <w:sz w:val="19"/>
          <w:szCs w:val="19"/>
        </w:rPr>
        <w:t xml:space="preserve">The filter only offers annual frequency</w:t>
      </w:r>
      <w:r>
        <w:rPr>
          <w:color w:val="5C6672"/>
          <w:sz w:val="19"/>
          <w:szCs w:val="19"/>
        </w:rPr>
        <w:t xml:space="preserve">	21</w:t>
      </w:r>
    </w:p>
    <w:p>
      <w:pPr>
        <w:tabs>
          <w:tab w:val="right" w:pos="9354" w:leader="dot"/>
        </w:tabs>
        <w:spacing w:after="30" w:line="240"/>
        <w:ind w:left="340"/>
      </w:pPr>
      <w:r>
        <w:rPr>
          <w:b w:val="false"/>
          <w:bCs w:val="false"/>
          <w:color w:val="3C4650"/>
          <w:sz w:val="19"/>
          <w:szCs w:val="19"/>
        </w:rPr>
        <w:t xml:space="preserve">An indicator is marked as not collected</w:t>
      </w:r>
      <w:r>
        <w:rPr>
          <w:color w:val="5C6672"/>
          <w:sz w:val="19"/>
          <w:szCs w:val="19"/>
        </w:rPr>
        <w:t xml:space="preserve">	21</w:t>
      </w:r>
    </w:p>
    <w:p>
      <w:pPr>
        <w:tabs>
          <w:tab w:val="right" w:pos="9354" w:leader="dot"/>
        </w:tabs>
        <w:spacing w:after="30" w:line="240"/>
        <w:ind w:left="340"/>
      </w:pPr>
      <w:r>
        <w:rPr>
          <w:b w:val="false"/>
          <w:bCs w:val="false"/>
          <w:color w:val="3C4650"/>
          <w:sz w:val="19"/>
          <w:szCs w:val="19"/>
        </w:rPr>
        <w:t xml:space="preserve">The chart is empty although the indicator is collected</w:t>
      </w:r>
      <w:r>
        <w:rPr>
          <w:color w:val="5C6672"/>
          <w:sz w:val="19"/>
          <w:szCs w:val="19"/>
        </w:rPr>
        <w:t xml:space="preserve">	21</w:t>
      </w:r>
    </w:p>
    <w:p>
      <w:pPr>
        <w:tabs>
          <w:tab w:val="right" w:pos="9354" w:leader="dot"/>
        </w:tabs>
        <w:spacing w:after="30" w:line="240"/>
        <w:ind w:left="340"/>
      </w:pPr>
      <w:r>
        <w:rPr>
          <w:b w:val="false"/>
          <w:bCs w:val="false"/>
          <w:color w:val="3C4650"/>
          <w:sz w:val="19"/>
          <w:szCs w:val="19"/>
        </w:rPr>
        <w:t xml:space="preserve">The map stays grey for many countries</w:t>
      </w:r>
      <w:r>
        <w:rPr>
          <w:color w:val="5C6672"/>
          <w:sz w:val="19"/>
          <w:szCs w:val="19"/>
        </w:rPr>
        <w:t xml:space="preserve">	21</w:t>
      </w:r>
    </w:p>
    <w:p>
      <w:pPr>
        <w:tabs>
          <w:tab w:val="right" w:pos="9354" w:leader="dot"/>
        </w:tabs>
        <w:spacing w:after="30" w:line="240"/>
        <w:ind w:left="340"/>
      </w:pPr>
      <w:r>
        <w:rPr>
          <w:b w:val="false"/>
          <w:bCs w:val="false"/>
          <w:color w:val="3C4650"/>
          <w:sz w:val="19"/>
          <w:szCs w:val="19"/>
        </w:rPr>
        <w:t xml:space="preserve">Can a value be edited</w:t>
      </w:r>
      <w:r>
        <w:rPr>
          <w:color w:val="5C6672"/>
          <w:sz w:val="19"/>
          <w:szCs w:val="19"/>
        </w:rPr>
        <w:t xml:space="preserve">	21</w:t>
      </w:r>
    </w:p>
    <w:p>
      <w:pPr>
        <w:tabs>
          <w:tab w:val="right" w:pos="9354" w:leader="dot"/>
        </w:tabs>
        <w:spacing w:after="30" w:line="240"/>
        <w:ind w:left="340"/>
      </w:pPr>
      <w:r>
        <w:rPr>
          <w:b w:val="false"/>
          <w:bCs w:val="false"/>
          <w:color w:val="3C4650"/>
          <w:sz w:val="19"/>
          <w:szCs w:val="19"/>
        </w:rPr>
        <w:t xml:space="preserve">Do the projections commit the ministry</w:t>
      </w:r>
      <w:r>
        <w:rPr>
          <w:color w:val="5C6672"/>
          <w:sz w:val="19"/>
          <w:szCs w:val="19"/>
        </w:rPr>
        <w:t xml:space="preserve">	22</w:t>
      </w:r>
    </w:p>
    <w:p>
      <w:pPr>
        <w:tabs>
          <w:tab w:val="right" w:pos="9354" w:leader="dot"/>
        </w:tabs>
        <w:spacing w:after="30" w:line="240"/>
        <w:ind w:left="340"/>
      </w:pPr>
      <w:r>
        <w:rPr>
          <w:b w:val="false"/>
          <w:bCs w:val="false"/>
          <w:color w:val="3C4650"/>
          <w:sz w:val="19"/>
          <w:szCs w:val="19"/>
        </w:rPr>
        <w:t xml:space="preserve">A pie chart shows a warning</w:t>
      </w:r>
      <w:r>
        <w:rPr>
          <w:color w:val="5C6672"/>
          <w:sz w:val="19"/>
          <w:szCs w:val="19"/>
        </w:rPr>
        <w:t xml:space="preserve">	30</w:t>
      </w:r>
    </w:p>
    <w:p>
      <w:pPr>
        <w:tabs>
          <w:tab w:val="right" w:pos="9354" w:leader="dot"/>
        </w:tabs>
        <w:spacing w:after="60" w:line="240"/>
      </w:pPr>
      <w:r>
        <w:rPr>
          <w:b/>
          <w:bCs/>
          <w:color w:val="3A3A3A"/>
          <w:sz w:val="21"/>
          <w:szCs w:val="21"/>
        </w:rPr>
        <w:t xml:space="preserve">Appendix A. Indicator catalogue</w:t>
      </w:r>
      <w:r>
        <w:rPr>
          <w:color w:val="5C6672"/>
          <w:sz w:val="19"/>
          <w:szCs w:val="19"/>
        </w:rPr>
        <w:t xml:space="preserve">	30</w:t>
      </w:r>
    </w:p>
    <w:p>
      <w:pPr>
        <w:tabs>
          <w:tab w:val="right" w:pos="9354" w:leader="dot"/>
        </w:tabs>
        <w:spacing w:after="60" w:line="240"/>
      </w:pPr>
      <w:r>
        <w:rPr>
          <w:b/>
          <w:bCs/>
          <w:color w:val="3A3A3A"/>
          <w:sz w:val="21"/>
          <w:szCs w:val="21"/>
        </w:rPr>
        <w:t xml:space="preserve">Appendix B. Frequency reference</w:t>
      </w:r>
      <w:r>
        <w:rPr>
          <w:color w:val="5C6672"/>
          <w:sz w:val="19"/>
          <w:szCs w:val="19"/>
        </w:rPr>
        <w:t xml:space="preserve">	30</w:t>
      </w:r>
    </w:p>
    <w:p>
      <w:pPr>
        <w:tabs>
          <w:tab w:val="right" w:pos="9354" w:leader="dot"/>
        </w:tabs>
        <w:spacing w:after="60" w:line="240"/>
      </w:pPr>
      <w:r>
        <w:rPr>
          <w:b/>
          <w:bCs/>
          <w:color w:val="3A3A3A"/>
          <w:sz w:val="21"/>
          <w:szCs w:val="21"/>
        </w:rPr>
        <w:t xml:space="preserve">Appendix C. Glossary</w:t>
      </w:r>
      <w:r>
        <w:rPr>
          <w:color w:val="5C6672"/>
          <w:sz w:val="19"/>
          <w:szCs w:val="19"/>
        </w:rPr>
        <w:t xml:space="preserve">	</w:t>
      </w:r>
    </w:p>
    <w:p>
      <w:pPr>
        <w:tabs>
          <w:tab w:val="right" w:pos="9354" w:leader="dot"/>
        </w:tabs>
        <w:spacing w:after="60" w:line="240"/>
      </w:pPr>
      <w:r>
        <w:rPr>
          <w:b/>
          <w:bCs/>
          <w:color w:val="3A3A3A"/>
          <w:sz w:val="21"/>
          <w:szCs w:val="21"/>
        </w:rPr>
        <w:t xml:space="preserve">Appendix D. References</w:t>
      </w:r>
      <w:r>
        <w:rPr>
          <w:color w:val="5C6672"/>
          <w:sz w:val="19"/>
          <w:szCs w:val="19"/>
        </w:rPr>
        <w:t xml:space="preserve">	</w:t>
      </w:r>
    </w:p>
    <w:p>
      <w:r>
        <w:br w:type="page"/>
      </w:r>
    </w:p>
    <w:p>
      <w:pPr>
        <w:pStyle w:val="Heading1"/>
        <w:spacing w:after="260" w:before="0"/>
      </w:pPr>
      <w:r>
        <w:t xml:space="preserve">List of tables</w:t>
      </w:r>
    </w:p>
    <w:p>
      <w:pPr>
        <w:spacing w:after="70" w:line="288"/>
        <w:jc w:val="left"/>
      </w:pPr>
      <w:r>
        <w:rPr>
          <w:b w:val="false"/>
          <w:bCs w:val="false"/>
          <w:i w:val="false"/>
          <w:iCs w:val="false"/>
          <w:sz w:val="21"/>
          <w:szCs w:val="21"/>
        </w:rPr>
        <w:t xml:space="preserve">Table 1.1. Scope of the database</w:t>
      </w:r>
    </w:p>
    <w:p>
      <w:pPr>
        <w:spacing w:after="70" w:line="288"/>
        <w:jc w:val="left"/>
      </w:pPr>
      <w:r>
        <w:rPr>
          <w:b w:val="false"/>
          <w:bCs w:val="false"/>
          <w:i w:val="false"/>
          <w:iCs w:val="false"/>
          <w:sz w:val="21"/>
          <w:szCs w:val="21"/>
        </w:rPr>
        <w:t xml:space="preserve">Table 1.2. Providers and databases used</w:t>
      </w:r>
    </w:p>
    <w:p>
      <w:pPr>
        <w:spacing w:after="70" w:line="288"/>
        <w:jc w:val="left"/>
      </w:pPr>
      <w:r>
        <w:rPr>
          <w:b w:val="false"/>
          <w:bCs w:val="false"/>
          <w:i w:val="false"/>
          <w:iCs w:val="false"/>
          <w:sz w:val="21"/>
          <w:szCs w:val="21"/>
        </w:rPr>
        <w:t xml:space="preserve">Table 2.1. Purpose of each tab</w:t>
      </w:r>
    </w:p>
    <w:p>
      <w:pPr>
        <w:spacing w:after="70" w:line="288"/>
        <w:jc w:val="left"/>
      </w:pPr>
      <w:r>
        <w:rPr>
          <w:b w:val="false"/>
          <w:bCs w:val="false"/>
          <w:i w:val="false"/>
          <w:iCs w:val="false"/>
          <w:sz w:val="21"/>
          <w:szCs w:val="21"/>
        </w:rPr>
        <w:t xml:space="preserve">Table 4.1. Chart types and recommended use</w:t>
      </w:r>
    </w:p>
    <w:p>
      <w:pPr>
        <w:spacing w:after="70" w:line="288"/>
        <w:jc w:val="left"/>
      </w:pPr>
      <w:r>
        <w:rPr>
          <w:b w:val="false"/>
          <w:bCs w:val="false"/>
          <w:i w:val="false"/>
          <w:iCs w:val="false"/>
          <w:sz w:val="21"/>
          <w:szCs w:val="21"/>
        </w:rPr>
        <w:t xml:space="preserve">Table 4.2. Projection methods</w:t>
      </w:r>
    </w:p>
    <w:p>
      <w:pPr>
        <w:spacing w:after="70" w:line="288"/>
        <w:jc w:val="left"/>
      </w:pPr>
      <w:r>
        <w:rPr>
          <w:b w:val="false"/>
          <w:bCs w:val="false"/>
          <w:i w:val="false"/>
          <w:iCs w:val="false"/>
          <w:sz w:val="21"/>
          <w:szCs w:val="21"/>
        </w:rPr>
        <w:t xml:space="preserve">Table 6.1. The two export layouts</w:t>
      </w:r>
    </w:p>
    <w:p>
      <w:pPr>
        <w:spacing w:after="70" w:line="288"/>
        <w:jc w:val="left"/>
      </w:pPr>
      <w:r>
        <w:rPr>
          <w:b w:val="false"/>
          <w:bCs w:val="false"/>
          <w:i w:val="false"/>
          <w:iCs w:val="false"/>
          <w:sz w:val="21"/>
          <w:szCs w:val="21"/>
        </w:rPr>
        <w:t xml:space="preserve">Table 7.1. The three states of search</w:t>
      </w:r>
    </w:p>
    <w:p>
      <w:pPr>
        <w:spacing w:after="70" w:line="288"/>
        <w:jc w:val="left"/>
      </w:pPr>
      <w:r>
        <w:rPr>
          <w:b w:val="false"/>
          <w:bCs w:val="false"/>
          <w:i w:val="false"/>
          <w:iCs w:val="false"/>
          <w:sz w:val="21"/>
          <w:szCs w:val="21"/>
        </w:rPr>
        <w:t xml:space="preserve">Table 8.1. Publication rhythm of the sources</w:t>
      </w:r>
    </w:p>
    <w:p>
      <w:pPr>
        <w:spacing w:after="70" w:line="288"/>
        <w:jc w:val="left"/>
      </w:pPr>
      <w:r>
        <w:rPr>
          <w:b w:val="false"/>
          <w:bCs w:val="false"/>
          <w:i w:val="false"/>
          <w:iCs w:val="false"/>
          <w:sz w:val="21"/>
          <w:szCs w:val="21"/>
        </w:rPr>
        <w:t xml:space="preserve">Table 9. Recognised frequencies</w:t>
      </w:r>
    </w:p>
    <w:p>
      <w:pPr>
        <w:spacing w:after="70" w:line="288"/>
        <w:jc w:val="left"/>
      </w:pPr>
      <w:r>
        <w:rPr>
          <w:b w:val="false"/>
          <w:bCs w:val="false"/>
          <w:i w:val="false"/>
          <w:iCs w:val="false"/>
          <w:sz w:val="21"/>
          <w:szCs w:val="21"/>
        </w:rPr>
        <w:t xml:space="preserve">Table 10. Terms used in this manual</w:t>
      </w:r>
    </w:p>
    <w:p>
      <w:r>
        <w:br w:type="page"/>
      </w:r>
    </w:p>
    <w:p>
      <w:pPr>
        <w:pStyle w:val="Heading1"/>
        <w:spacing w:after="260" w:before="0"/>
      </w:pPr>
      <w:r>
        <w:t xml:space="preserve">Executive summary</w:t>
      </w:r>
    </w:p>
    <w:p>
      <w:pPr>
        <w:spacing w:after="140" w:line="288"/>
        <w:jc w:val="both"/>
      </w:pPr>
      <w:r>
        <w:rPr>
          <w:b w:val="false"/>
          <w:bCs w:val="false"/>
          <w:i w:val="false"/>
          <w:iCs w:val="false"/>
          <w:sz w:val="21"/>
          <w:szCs w:val="21"/>
        </w:rPr>
        <w:t xml:space="preserve">OPESc+ is an observatory of world economic indicators. It collects, harmonises and makes available the series published by the major international statistical institutions, so that analysis carried out within the ministry rests on a common, traceable and up-to-date base.</w:t>
      </w:r>
    </w:p>
    <w:p>
      <w:pPr>
        <w:spacing w:after="140" w:line="288"/>
        <w:jc w:val="both"/>
      </w:pPr>
      <w:r>
        <w:rPr>
          <w:b w:val="false"/>
          <w:bCs w:val="false"/>
          <w:i w:val="false"/>
          <w:iCs w:val="false"/>
          <w:sz w:val="21"/>
          <w:szCs w:val="21"/>
        </w:rPr>
        <w:t xml:space="preserve">The tool rests on five principles.</w:t>
      </w:r>
    </w:p>
    <w:p>
      <w:pPr>
        <w:pStyle w:val="ListParagraph"/>
        <w:numPr>
          <w:ilvl w:val="0"/>
          <w:numId w:val="2"/>
        </w:numPr>
        <w:spacing w:after="90" w:line="288"/>
        <w:jc w:val="both"/>
      </w:pPr>
      <w:r>
        <w:rPr>
          <w:sz w:val="21"/>
          <w:szCs w:val="21"/>
        </w:rPr>
        <w:t xml:space="preserve">No locally produced data. The platform computes and estimates nothing. It passes on what the World Bank, the International Monetary Fund and Harvard University's Growth Lab publish, unaltered.</w:t>
      </w:r>
    </w:p>
    <w:p>
      <w:pPr>
        <w:pStyle w:val="ListParagraph"/>
        <w:numPr>
          <w:ilvl w:val="0"/>
          <w:numId w:val="2"/>
        </w:numPr>
        <w:spacing w:after="90" w:line="288"/>
        <w:jc w:val="both"/>
      </w:pPr>
      <w:r>
        <w:rPr>
          <w:sz w:val="21"/>
          <w:szCs w:val="21"/>
        </w:rPr>
        <w:t xml:space="preserve">Never offer a filter that leads nowhere. The frequencies offered, the countries listed and the period bounds are those that actually exist in the database for the chosen indicator.</w:t>
      </w:r>
    </w:p>
    <w:p>
      <w:pPr>
        <w:pStyle w:val="ListParagraph"/>
        <w:numPr>
          <w:ilvl w:val="0"/>
          <w:numId w:val="2"/>
        </w:numPr>
        <w:spacing w:after="90" w:line="288"/>
        <w:jc w:val="both"/>
      </w:pPr>
      <w:r>
        <w:rPr>
          <w:sz w:val="21"/>
          <w:szCs w:val="21"/>
        </w:rPr>
        <w:t xml:space="preserve">A missing value is information. It is never stored as zero, never interpolated, and a series with gaps is drawn as a dashed line.</w:t>
      </w:r>
    </w:p>
    <w:p>
      <w:pPr>
        <w:pStyle w:val="ListParagraph"/>
        <w:numPr>
          <w:ilvl w:val="0"/>
          <w:numId w:val="2"/>
        </w:numPr>
        <w:spacing w:after="90" w:line="288"/>
        <w:jc w:val="both"/>
      </w:pPr>
      <w:r>
        <w:rPr>
          <w:sz w:val="21"/>
          <w:szCs w:val="21"/>
        </w:rPr>
        <w:t xml:space="preserve">Traceable collection. Every run is logged, and every export carries its sources and retrieval date.</w:t>
      </w:r>
    </w:p>
    <w:p>
      <w:pPr>
        <w:pStyle w:val="ListParagraph"/>
        <w:numPr>
          <w:ilvl w:val="0"/>
          <w:numId w:val="2"/>
        </w:numPr>
        <w:spacing w:after="90" w:line="288"/>
        <w:jc w:val="both"/>
      </w:pPr>
      <w:r>
        <w:rPr>
          <w:sz w:val="21"/>
          <w:szCs w:val="21"/>
        </w:rPr>
        <w:t xml:space="preserve">Data and interpretation kept apart. The projections offered are mechanical extensions, explicitly presented as such.</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What OPESc+ is, and what it is not</w:t>
            </w:r>
          </w:p>
          <w:p>
            <w:pPr>
              <w:spacing w:after="0" w:line="276"/>
              <w:jc w:val="both"/>
            </w:pPr>
            <w:r>
              <w:rPr>
                <w:b w:val="false"/>
                <w:bCs w:val="false"/>
                <w:color w:val="000000"/>
                <w:sz w:val="19"/>
                <w:szCs w:val="19"/>
              </w:rPr>
              <w:t xml:space="preserve">OPESc+ is a tool for consulting, comparing and reporting. It is not a macroeconomic model: it simulates no shock, computes no scenario and produces no institutional forecast. The three projection methods it offers are statistical extensions of the observed series, with no policy assumption. For shock simulation and reference projections, the tool is OPESc, which OPESc+ complements.</w:t>
            </w:r>
          </w:p>
        </w:tc>
      </w:tr>
    </w:tbl>
    <w:p>
      <w:pPr>
        <w:spacing w:after="200" w:line="288"/>
        <w:jc w:val="both"/>
      </w:pPr>
      <w:r>
        <w:rPr>
          <w:b w:val="false"/>
          <w:bCs w:val="false"/>
          <w:i w:val="false"/>
          <w:iCs w:val="false"/>
          <w:sz w:val="21"/>
          <w:szCs w:val="21"/>
        </w:rPr>
        <w:t xml:space="preserve"/>
      </w:r>
    </w:p>
    <w:p>
      <w:r>
        <w:br w:type="page"/>
      </w:r>
    </w:p>
    <w:p>
      <w:pPr>
        <w:spacing w:after="120" w:before="0"/>
      </w:pPr>
      <w:r>
        <w:rPr>
          <w:color w:val="000000"/>
          <w:sz w:val="26"/>
          <w:szCs w:val="26"/>
        </w:rPr>
        <w:t xml:space="preserve">Chapter 1</w:t>
      </w:r>
    </w:p>
    <w:p>
      <w:pPr>
        <w:pStyle w:val="Heading1"/>
        <w:spacing w:after="260" w:before="0"/>
      </w:pPr>
      <w:r>
        <w:t xml:space="preserve">General presentation</w:t>
      </w:r>
    </w:p>
    <w:p>
      <w:pPr>
        <w:pStyle w:val="Heading2"/>
      </w:pPr>
      <w:r>
        <w:t xml:space="preserve">1.1 Purpose</w:t>
      </w:r>
    </w:p>
    <w:p>
      <w:pPr>
        <w:spacing w:after="140" w:line="288"/>
        <w:jc w:val="both"/>
      </w:pPr>
      <w:r>
        <w:rPr>
          <w:b w:val="false"/>
          <w:bCs w:val="false"/>
          <w:i w:val="false"/>
          <w:iCs w:val="false"/>
          <w:sz w:val="21"/>
          <w:szCs w:val="21"/>
        </w:rPr>
        <w:t xml:space="preserve">OPESc+ is used to:</w:t>
      </w:r>
    </w:p>
    <w:p>
      <w:pPr>
        <w:pStyle w:val="ListParagraph"/>
        <w:numPr>
          <w:ilvl w:val="0"/>
          <w:numId w:val="3"/>
        </w:numPr>
        <w:spacing w:after="90" w:line="288"/>
        <w:jc w:val="both"/>
      </w:pPr>
      <w:r>
        <w:rPr>
          <w:sz w:val="21"/>
          <w:szCs w:val="21"/>
        </w:rPr>
        <w:t xml:space="preserve">consult economic series for every economy in the world;</w:t>
      </w:r>
    </w:p>
    <w:p>
      <w:pPr>
        <w:pStyle w:val="ListParagraph"/>
        <w:numPr>
          <w:ilvl w:val="0"/>
          <w:numId w:val="3"/>
        </w:numPr>
        <w:spacing w:after="90" w:line="288"/>
        <w:jc w:val="both"/>
      </w:pPr>
      <w:r>
        <w:rPr>
          <w:sz w:val="21"/>
          <w:szCs w:val="21"/>
        </w:rPr>
        <w:t xml:space="preserve">compare several countries or several indicators on one chart;</w:t>
      </w:r>
    </w:p>
    <w:p>
      <w:pPr>
        <w:pStyle w:val="ListParagraph"/>
        <w:numPr>
          <w:ilvl w:val="0"/>
          <w:numId w:val="3"/>
        </w:numPr>
        <w:spacing w:after="90" w:line="288"/>
        <w:jc w:val="both"/>
      </w:pPr>
      <w:r>
        <w:rPr>
          <w:sz w:val="21"/>
          <w:szCs w:val="21"/>
        </w:rPr>
        <w:t xml:space="preserve">read a geographic distribution on a world map;</w:t>
      </w:r>
    </w:p>
    <w:p>
      <w:pPr>
        <w:pStyle w:val="ListParagraph"/>
        <w:numPr>
          <w:ilvl w:val="0"/>
          <w:numId w:val="3"/>
        </w:numPr>
        <w:spacing w:after="90" w:line="288"/>
        <w:jc w:val="both"/>
      </w:pPr>
      <w:r>
        <w:rPr>
          <w:sz w:val="21"/>
          <w:szCs w:val="21"/>
        </w:rPr>
        <w:t xml:space="preserve">extend a series using three documented statistical methods;</w:t>
      </w:r>
    </w:p>
    <w:p>
      <w:pPr>
        <w:pStyle w:val="ListParagraph"/>
        <w:numPr>
          <w:ilvl w:val="0"/>
          <w:numId w:val="3"/>
        </w:numPr>
        <w:spacing w:after="90" w:line="288"/>
        <w:jc w:val="both"/>
      </w:pPr>
      <w:r>
        <w:rPr>
          <w:sz w:val="21"/>
          <w:szCs w:val="21"/>
        </w:rPr>
        <w:t xml:space="preserve">export charts, maps and data for use in a note;</w:t>
      </w:r>
    </w:p>
    <w:p>
      <w:pPr>
        <w:pStyle w:val="ListParagraph"/>
        <w:numPr>
          <w:ilvl w:val="0"/>
          <w:numId w:val="3"/>
        </w:numPr>
        <w:spacing w:after="90" w:line="288"/>
        <w:jc w:val="both"/>
      </w:pPr>
      <w:r>
        <w:rPr>
          <w:sz w:val="21"/>
          <w:szCs w:val="21"/>
        </w:rPr>
        <w:t xml:space="preserve">maintain a base updated automatically from the providers.</w:t>
      </w:r>
    </w:p>
    <w:p>
      <w:pPr>
        <w:pStyle w:val="Heading2"/>
      </w:pPr>
      <w:r>
        <w:t xml:space="preserve">1.2 Functional architecture</w:t>
      </w:r>
    </w:p>
    <w:p>
      <w:pPr>
        <w:spacing w:after="140" w:line="288"/>
        <w:jc w:val="both"/>
      </w:pPr>
      <w:r>
        <w:rPr>
          <w:b w:val="false"/>
          <w:bCs w:val="false"/>
          <w:i w:val="false"/>
          <w:iCs w:val="false"/>
          <w:sz w:val="21"/>
          <w:szCs w:val="21"/>
        </w:rPr>
        <w:t xml:space="preserve">The chain has four stages. Connectors query the providers' public interfaces. The collection engine harmonises country codes, periods and units, then writes to a single database. The interface reads that database and never writes to it. Exports produce standalone files carrying their sources.</w:t>
      </w:r>
    </w:p>
    <w:p>
      <w:pPr>
        <w:spacing w:after="140" w:line="288"/>
        <w:jc w:val="both"/>
      </w:pPr>
      <w:r>
        <w:rPr>
          <w:b w:val="false"/>
          <w:bCs w:val="false"/>
          <w:i w:val="false"/>
          <w:iCs w:val="false"/>
          <w:sz w:val="21"/>
          <w:szCs w:val="21"/>
        </w:rPr>
        <w:t xml:space="preserve">This separation has a practical consequence: consulting the platform can never alter the data, and a collection in progress does not prevent consultation.</w:t>
      </w:r>
    </w:p>
    <w:p>
      <w:pPr>
        <w:pStyle w:val="Heading2"/>
      </w:pPr>
      <w:r>
        <w:t xml:space="preserve">1.3 Scope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00"/>
        <w:gridCol w:w="6254"/>
      </w:tblGrid>
      <w:tr>
        <w:trPr>
          <w:tblHeader/>
        </w:trPr>
        <w:tc>
          <w:tcPr>
            <w:tcW w:type="dxa" w:w="3100"/>
            <w:shd w:fill="3A3A3A" w:color="auto" w:val="clear"/>
            <w:tcMar>
              <w:top w:type="dxa" w:w="60"/>
              <w:left w:type="dxa" w:w="90"/>
              <w:bottom w:type="dxa" w:w="60"/>
              <w:right w:type="dxa" w:w="90"/>
            </w:tcMar>
          </w:tcPr>
          <w:p>
            <w:pPr>
              <w:spacing w:after="0" w:line="240"/>
              <w:jc w:val="left"/>
            </w:pPr>
            <w:r>
              <w:rPr>
                <w:b/>
                <w:bCs/>
                <w:color w:val="FFFFFF"/>
                <w:sz w:val="18"/>
                <w:szCs w:val="18"/>
              </w:rPr>
              <w:t xml:space="preserve">Dimension</w:t>
            </w:r>
          </w:p>
        </w:tc>
        <w:tc>
          <w:tcPr>
            <w:tcW w:type="dxa" w:w="6254"/>
            <w:shd w:fill="3A3A3A" w:color="auto" w:val="clear"/>
            <w:tcMar>
              <w:top w:type="dxa" w:w="60"/>
              <w:left w:type="dxa" w:w="90"/>
              <w:bottom w:type="dxa" w:w="60"/>
              <w:right w:type="dxa" w:w="90"/>
            </w:tcMar>
          </w:tcPr>
          <w:p>
            <w:pPr>
              <w:spacing w:after="0" w:line="240"/>
              <w:jc w:val="left"/>
            </w:pPr>
            <w:r>
              <w:rPr>
                <w:b/>
                <w:bCs/>
                <w:color w:val="FFFFFF"/>
                <w:sz w:val="18"/>
                <w:szCs w:val="18"/>
              </w:rPr>
              <w:t xml:space="preserve">Value</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Active indicators</w:t>
            </w:r>
          </w:p>
        </w:tc>
        <w:tc>
          <w:tcPr>
            <w:tcW w:type="dxa" w:w="6254"/>
            <w:tcMar>
              <w:top w:type="dxa" w:w="60"/>
              <w:left w:type="dxa" w:w="90"/>
              <w:bottom w:type="dxa" w:w="60"/>
              <w:right w:type="dxa" w:w="90"/>
            </w:tcMar>
          </w:tcPr>
          <w:p>
            <w:pPr>
              <w:spacing w:after="0" w:line="240"/>
              <w:jc w:val="left"/>
            </w:pPr>
            <w:r>
              <w:rPr>
                <w:color w:val="000000"/>
                <w:sz w:val="18"/>
                <w:szCs w:val="18"/>
              </w:rPr>
              <w:t xml:space="preserve">313</w:t>
            </w:r>
          </w:p>
        </w:tc>
      </w:tr>
      <w:tr>
        <w:tc>
          <w:tcPr>
            <w:tcW w:type="dxa" w:w="3100"/>
            <w:shd w:fill="F2F2F2" w:color="auto" w:val="clear"/>
            <w:tcMar>
              <w:top w:type="dxa" w:w="60"/>
              <w:left w:type="dxa" w:w="90"/>
              <w:bottom w:type="dxa" w:w="60"/>
              <w:right w:type="dxa" w:w="90"/>
            </w:tcMar>
          </w:tcPr>
          <w:p>
            <w:pPr>
              <w:spacing w:after="0" w:line="240"/>
              <w:jc w:val="left"/>
            </w:pPr>
            <w:r>
              <w:rPr>
                <w:color w:val="000000"/>
                <w:sz w:val="18"/>
                <w:szCs w:val="18"/>
              </w:rPr>
              <w:t xml:space="preserve">Categories</w:t>
            </w:r>
          </w:p>
        </w:tc>
        <w:tc>
          <w:tcPr>
            <w:tcW w:type="dxa" w:w="6254"/>
            <w:shd w:fill="F2F2F2" w:color="auto" w:val="clear"/>
            <w:tcMar>
              <w:top w:type="dxa" w:w="60"/>
              <w:left w:type="dxa" w:w="90"/>
              <w:bottom w:type="dxa" w:w="60"/>
              <w:right w:type="dxa" w:w="90"/>
            </w:tcMar>
          </w:tcPr>
          <w:p>
            <w:pPr>
              <w:spacing w:after="0" w:line="240"/>
              <w:jc w:val="left"/>
            </w:pPr>
            <w:r>
              <w:rPr>
                <w:color w:val="000000"/>
                <w:sz w:val="18"/>
                <w:szCs w:val="18"/>
              </w:rPr>
              <w:t xml:space="preserve">14</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Economies covered</w:t>
            </w:r>
          </w:p>
        </w:tc>
        <w:tc>
          <w:tcPr>
            <w:tcW w:type="dxa" w:w="6254"/>
            <w:tcMar>
              <w:top w:type="dxa" w:w="60"/>
              <w:left w:type="dxa" w:w="90"/>
              <w:bottom w:type="dxa" w:w="60"/>
              <w:right w:type="dxa" w:w="90"/>
            </w:tcMar>
          </w:tcPr>
          <w:p>
            <w:pPr>
              <w:spacing w:after="0" w:line="240"/>
              <w:jc w:val="left"/>
            </w:pPr>
            <w:r>
              <w:rPr>
                <w:color w:val="000000"/>
                <w:sz w:val="18"/>
                <w:szCs w:val="18"/>
              </w:rPr>
              <w:t xml:space="preserve">about 217</w:t>
            </w:r>
          </w:p>
        </w:tc>
      </w:tr>
      <w:tr>
        <w:tc>
          <w:tcPr>
            <w:tcW w:type="dxa" w:w="3100"/>
            <w:shd w:fill="F2F2F2" w:color="auto" w:val="clear"/>
            <w:tcMar>
              <w:top w:type="dxa" w:w="60"/>
              <w:left w:type="dxa" w:w="90"/>
              <w:bottom w:type="dxa" w:w="60"/>
              <w:right w:type="dxa" w:w="90"/>
            </w:tcMar>
          </w:tcPr>
          <w:p>
            <w:pPr>
              <w:spacing w:after="0" w:line="240"/>
              <w:jc w:val="left"/>
            </w:pPr>
            <w:r>
              <w:rPr>
                <w:color w:val="000000"/>
                <w:sz w:val="18"/>
                <w:szCs w:val="18"/>
              </w:rPr>
              <w:t xml:space="preserve">Regional aggregates and income groups</w:t>
            </w:r>
          </w:p>
        </w:tc>
        <w:tc>
          <w:tcPr>
            <w:tcW w:type="dxa" w:w="6254"/>
            <w:shd w:fill="F2F2F2" w:color="auto" w:val="clear"/>
            <w:tcMar>
              <w:top w:type="dxa" w:w="60"/>
              <w:left w:type="dxa" w:w="90"/>
              <w:bottom w:type="dxa" w:w="60"/>
              <w:right w:type="dxa" w:w="90"/>
            </w:tcMar>
          </w:tcPr>
          <w:p>
            <w:pPr>
              <w:spacing w:after="0" w:line="240"/>
              <w:jc w:val="left"/>
            </w:pPr>
            <w:r>
              <w:rPr>
                <w:color w:val="000000"/>
                <w:sz w:val="18"/>
                <w:szCs w:val="18"/>
              </w:rPr>
              <w:t xml:space="preserve">about 40</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Time coverage</w:t>
            </w:r>
          </w:p>
        </w:tc>
        <w:tc>
          <w:tcPr>
            <w:tcW w:type="dxa" w:w="6254"/>
            <w:tcMar>
              <w:top w:type="dxa" w:w="60"/>
              <w:left w:type="dxa" w:w="90"/>
              <w:bottom w:type="dxa" w:w="60"/>
              <w:right w:type="dxa" w:w="90"/>
            </w:tcMar>
          </w:tcPr>
          <w:p>
            <w:pPr>
              <w:spacing w:after="0" w:line="240"/>
              <w:jc w:val="left"/>
            </w:pPr>
            <w:r>
              <w:rPr>
                <w:color w:val="000000"/>
                <w:sz w:val="18"/>
                <w:szCs w:val="18"/>
              </w:rPr>
              <w:t xml:space="preserve">1960 to the current year</w:t>
            </w:r>
          </w:p>
        </w:tc>
      </w:tr>
      <w:tr>
        <w:tc>
          <w:tcPr>
            <w:tcW w:type="dxa" w:w="3100"/>
            <w:shd w:fill="F2F2F2" w:color="auto" w:val="clear"/>
            <w:tcMar>
              <w:top w:type="dxa" w:w="60"/>
              <w:left w:type="dxa" w:w="90"/>
              <w:bottom w:type="dxa" w:w="60"/>
              <w:right w:type="dxa" w:w="90"/>
            </w:tcMar>
          </w:tcPr>
          <w:p>
            <w:pPr>
              <w:spacing w:after="0" w:line="240"/>
              <w:jc w:val="left"/>
            </w:pPr>
            <w:r>
              <w:rPr>
                <w:color w:val="000000"/>
                <w:sz w:val="18"/>
                <w:szCs w:val="18"/>
              </w:rPr>
              <w:t xml:space="preserve">Connected providers</w:t>
            </w:r>
          </w:p>
        </w:tc>
        <w:tc>
          <w:tcPr>
            <w:tcW w:type="dxa" w:w="6254"/>
            <w:shd w:fill="F2F2F2" w:color="auto" w:val="clear"/>
            <w:tcMar>
              <w:top w:type="dxa" w:w="60"/>
              <w:left w:type="dxa" w:w="90"/>
              <w:bottom w:type="dxa" w:w="60"/>
              <w:right w:type="dxa" w:w="90"/>
            </w:tcMar>
          </w:tcPr>
          <w:p>
            <w:pPr>
              <w:spacing w:after="0" w:line="240"/>
              <w:jc w:val="left"/>
            </w:pPr>
            <w:r>
              <w:rPr>
                <w:color w:val="000000"/>
                <w:sz w:val="18"/>
                <w:szCs w:val="18"/>
              </w:rPr>
              <w:t xml:space="preserve">3, plus one imported file</w:t>
            </w:r>
          </w:p>
        </w:tc>
      </w:tr>
    </w:tbl>
    <w:p>
      <w:pPr>
        <w:spacing w:after="220" w:before="90"/>
        <w:jc w:val="center"/>
      </w:pPr>
      <w:r>
        <w:rPr>
          <w:i/>
          <w:iCs/>
          <w:color w:val="5C6672"/>
          <w:sz w:val="17"/>
          <w:szCs w:val="17"/>
        </w:rPr>
        <w:t xml:space="preserve">Table 1.1. Scope of the database</w:t>
      </w:r>
    </w:p>
    <w:p>
      <w:pPr>
        <w:spacing w:after="140" w:line="288"/>
        <w:jc w:val="both"/>
      </w:pPr>
      <w:r>
        <w:rPr>
          <w:b w:val="false"/>
          <w:bCs w:val="false"/>
          <w:i w:val="false"/>
          <w:iCs w:val="false"/>
          <w:sz w:val="21"/>
          <w:szCs w:val="21"/>
        </w:rPr>
        <w:t xml:space="preserve">Further indicators appear in the catalogue without being active: their provider has no connector yet. They are deactivated at load time rather than left visible and silent in the interface.</w:t>
      </w:r>
    </w:p>
    <w:p>
      <w:pPr>
        <w:pStyle w:val="Heading2"/>
      </w:pPr>
      <w:r>
        <w:t xml:space="preserve">1.4 Sources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54"/>
      </w:tblGrid>
      <w:tr>
        <w:trPr>
          <w:tblHeader/>
        </w:trPr>
        <w:tc>
          <w:tcPr>
            <w:tcW w:type="dxa" w:w="2500"/>
            <w:shd w:fill="3A3A3A" w:color="auto" w:val="clear"/>
            <w:tcMar>
              <w:top w:type="dxa" w:w="60"/>
              <w:left w:type="dxa" w:w="90"/>
              <w:bottom w:type="dxa" w:w="60"/>
              <w:right w:type="dxa" w:w="90"/>
            </w:tcMar>
          </w:tcPr>
          <w:p>
            <w:pPr>
              <w:spacing w:after="0" w:line="240"/>
              <w:jc w:val="left"/>
            </w:pPr>
            <w:r>
              <w:rPr>
                <w:b/>
                <w:bCs/>
                <w:color w:val="FFFFFF"/>
                <w:sz w:val="18"/>
                <w:szCs w:val="18"/>
              </w:rPr>
              <w:t xml:space="preserve">Provider</w:t>
            </w:r>
          </w:p>
        </w:tc>
        <w:tc>
          <w:tcPr>
            <w:tcW w:type="dxa" w:w="3500"/>
            <w:shd w:fill="3A3A3A" w:color="auto" w:val="clear"/>
            <w:tcMar>
              <w:top w:type="dxa" w:w="60"/>
              <w:left w:type="dxa" w:w="90"/>
              <w:bottom w:type="dxa" w:w="60"/>
              <w:right w:type="dxa" w:w="90"/>
            </w:tcMar>
          </w:tcPr>
          <w:p>
            <w:pPr>
              <w:spacing w:after="0" w:line="240"/>
              <w:jc w:val="left"/>
            </w:pPr>
            <w:r>
              <w:rPr>
                <w:b/>
                <w:bCs/>
                <w:color w:val="FFFFFF"/>
                <w:sz w:val="18"/>
                <w:szCs w:val="18"/>
              </w:rPr>
              <w:t xml:space="preserve">Databases</w:t>
            </w:r>
          </w:p>
        </w:tc>
        <w:tc>
          <w:tcPr>
            <w:tcW w:type="dxa" w:w="3354"/>
            <w:shd w:fill="3A3A3A" w:color="auto" w:val="clear"/>
            <w:tcMar>
              <w:top w:type="dxa" w:w="60"/>
              <w:left w:type="dxa" w:w="90"/>
              <w:bottom w:type="dxa" w:w="60"/>
              <w:right w:type="dxa" w:w="90"/>
            </w:tcMar>
          </w:tcPr>
          <w:p>
            <w:pPr>
              <w:spacing w:after="0" w:line="240"/>
              <w:jc w:val="left"/>
            </w:pPr>
            <w:r>
              <w:rPr>
                <w:b/>
                <w:bCs/>
                <w:color w:val="FFFFFF"/>
                <w:sz w:val="18"/>
                <w:szCs w:val="18"/>
              </w:rPr>
              <w:t xml:space="preserve">Access</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World Bank</w:t>
            </w:r>
          </w:p>
        </w:tc>
        <w:tc>
          <w:tcPr>
            <w:tcW w:type="dxa" w:w="3500"/>
            <w:tcMar>
              <w:top w:type="dxa" w:w="60"/>
              <w:left w:type="dxa" w:w="90"/>
              <w:bottom w:type="dxa" w:w="60"/>
              <w:right w:type="dxa" w:w="90"/>
            </w:tcMar>
          </w:tcPr>
          <w:p>
            <w:pPr>
              <w:spacing w:after="0" w:line="240"/>
              <w:jc w:val="left"/>
            </w:pPr>
            <w:r>
              <w:rPr>
                <w:color w:val="000000"/>
                <w:sz w:val="18"/>
                <w:szCs w:val="18"/>
              </w:rPr>
              <w:t xml:space="preserve">World Development Indicators, International Debt Statistics, governance, poverty, Findex, logistics performance</w:t>
            </w:r>
          </w:p>
        </w:tc>
        <w:tc>
          <w:tcPr>
            <w:tcW w:type="dxa" w:w="3354"/>
            <w:tcMar>
              <w:top w:type="dxa" w:w="60"/>
              <w:left w:type="dxa" w:w="90"/>
              <w:bottom w:type="dxa" w:w="60"/>
              <w:right w:type="dxa" w:w="90"/>
            </w:tcMar>
          </w:tcPr>
          <w:p>
            <w:pPr>
              <w:spacing w:after="0" w:line="240"/>
              <w:jc w:val="left"/>
            </w:pPr>
            <w:r>
              <w:rPr>
                <w:color w:val="000000"/>
                <w:sz w:val="18"/>
                <w:szCs w:val="18"/>
              </w:rPr>
              <w:t xml:space="preserve">Public interface</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International Monetary Fund</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World Economic Outlook, Fiscal Monitor</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SDMX portal</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International Monetary Fund</w:t>
            </w:r>
          </w:p>
        </w:tc>
        <w:tc>
          <w:tcPr>
            <w:tcW w:type="dxa" w:w="3500"/>
            <w:tcMar>
              <w:top w:type="dxa" w:w="60"/>
              <w:left w:type="dxa" w:w="90"/>
              <w:bottom w:type="dxa" w:w="60"/>
              <w:right w:type="dxa" w:w="90"/>
            </w:tcMar>
          </w:tcPr>
          <w:p>
            <w:pPr>
              <w:spacing w:after="0" w:line="240"/>
              <w:jc w:val="left"/>
            </w:pPr>
            <w:r>
              <w:rPr>
                <w:color w:val="000000"/>
                <w:sz w:val="18"/>
                <w:szCs w:val="18"/>
              </w:rPr>
              <w:t xml:space="preserve">Primary Commodity Price System</w:t>
            </w:r>
          </w:p>
        </w:tc>
        <w:tc>
          <w:tcPr>
            <w:tcW w:type="dxa" w:w="3354"/>
            <w:tcMar>
              <w:top w:type="dxa" w:w="60"/>
              <w:left w:type="dxa" w:w="90"/>
              <w:bottom w:type="dxa" w:w="60"/>
              <w:right w:type="dxa" w:w="90"/>
            </w:tcMar>
          </w:tcPr>
          <w:p>
            <w:pPr>
              <w:spacing w:after="0" w:line="240"/>
              <w:jc w:val="left"/>
            </w:pPr>
            <w:r>
              <w:rPr>
                <w:color w:val="000000"/>
                <w:sz w:val="18"/>
                <w:szCs w:val="18"/>
              </w:rPr>
              <w:t xml:space="preserve">File shipped with the platform</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Growth Lab, Harvard</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Atlas of Economic Complexity</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GraphQL interface</w:t>
            </w:r>
          </w:p>
        </w:tc>
      </w:tr>
    </w:tbl>
    <w:p>
      <w:pPr>
        <w:spacing w:after="220" w:before="90"/>
        <w:jc w:val="center"/>
      </w:pPr>
      <w:r>
        <w:rPr>
          <w:i/>
          <w:iCs/>
          <w:color w:val="5C6672"/>
          <w:sz w:val="17"/>
          <w:szCs w:val="17"/>
        </w:rPr>
        <w:t xml:space="preserve">Table 1.2. Providers and databases used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Ownership and citation</w:t>
            </w:r>
          </w:p>
          <w:p>
            <w:pPr>
              <w:spacing w:after="0" w:line="276"/>
              <w:jc w:val="both"/>
            </w:pPr>
            <w:r>
              <w:rPr>
                <w:b w:val="false"/>
                <w:bCs w:val="false"/>
                <w:color w:val="000000"/>
                <w:sz w:val="19"/>
                <w:szCs w:val="19"/>
              </w:rPr>
              <w:t xml:space="preserve">The data remain the property of their producers. Harvard University's Growth Lab, the OECD and the International Monetary Fund explicitly require attribution. Every exported workbook carries a Sources sheet stating, for each indicator, its origin and the retrieval date. Never circulate an extract without that sheet.</w:t>
            </w:r>
          </w:p>
        </w:tc>
      </w:tr>
    </w:tbl>
    <w:p>
      <w:pPr>
        <w:spacing w:after="200" w:line="288"/>
        <w:jc w:val="both"/>
      </w:pPr>
      <w:r>
        <w:rPr>
          <w:b w:val="false"/>
          <w:bCs w:val="false"/>
          <w:i w:val="false"/>
          <w:iCs w:val="false"/>
          <w:sz w:val="21"/>
          <w:szCs w:val="21"/>
        </w:rPr>
        <w:t xml:space="preserve"/>
      </w:r>
    </w:p>
    <w:p>
      <w:r>
        <w:br w:type="page"/>
      </w:r>
    </w:p>
    <w:p>
      <w:pPr>
        <w:spacing w:after="120" w:before="0"/>
      </w:pPr>
      <w:r>
        <w:rPr>
          <w:color w:val="000000"/>
          <w:sz w:val="26"/>
          <w:szCs w:val="26"/>
        </w:rPr>
        <w:t xml:space="preserve">Chapter 2</w:t>
      </w:r>
    </w:p>
    <w:p>
      <w:pPr>
        <w:pStyle w:val="Heading1"/>
        <w:spacing w:after="260" w:before="0"/>
      </w:pPr>
      <w:r>
        <w:t xml:space="preserve">Getting started</w:t>
      </w:r>
    </w:p>
    <w:p>
      <w:pPr>
        <w:pStyle w:val="Heading2"/>
      </w:pPr>
      <w:r>
        <w:t xml:space="preserve">2.1 The banner</w:t>
      </w:r>
    </w:p>
    <w:p>
      <w:pPr>
        <w:spacing w:after="140" w:line="288"/>
        <w:jc w:val="both"/>
      </w:pPr>
      <w:r>
        <w:rPr>
          <w:b w:val="false"/>
          <w:bCs w:val="false"/>
          <w:i w:val="false"/>
          <w:iCs w:val="false"/>
          <w:sz w:val="21"/>
          <w:szCs w:val="21"/>
        </w:rPr>
        <w:t xml:space="preserve">The banner stays visible at all times, including when scrolling a long page. It carries the arms of the Republic, the platform name, the language selector and the ministry logo. A discreet strip lists Cameroon's ten main trading partners.</w:t>
      </w:r>
    </w:p>
    <w:p>
      <w:pPr>
        <w:pStyle w:val="Heading2"/>
      </w:pPr>
      <w:r>
        <w:t xml:space="preserve">2.2 The five tabs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00"/>
        <w:gridCol w:w="6254"/>
      </w:tblGrid>
      <w:tr>
        <w:trPr>
          <w:tblHeader/>
        </w:trPr>
        <w:tc>
          <w:tcPr>
            <w:tcW w:type="dxa" w:w="3100"/>
            <w:shd w:fill="3A3A3A" w:color="auto" w:val="clear"/>
            <w:tcMar>
              <w:top w:type="dxa" w:w="60"/>
              <w:left w:type="dxa" w:w="90"/>
              <w:bottom w:type="dxa" w:w="60"/>
              <w:right w:type="dxa" w:w="90"/>
            </w:tcMar>
          </w:tcPr>
          <w:p>
            <w:pPr>
              <w:spacing w:after="0" w:line="240"/>
              <w:jc w:val="left"/>
            </w:pPr>
            <w:r>
              <w:rPr>
                <w:b/>
                <w:bCs/>
                <w:color w:val="FFFFFF"/>
                <w:sz w:val="18"/>
                <w:szCs w:val="18"/>
              </w:rPr>
              <w:t xml:space="preserve">Tab</w:t>
            </w:r>
          </w:p>
        </w:tc>
        <w:tc>
          <w:tcPr>
            <w:tcW w:type="dxa" w:w="6254"/>
            <w:shd w:fill="3A3A3A" w:color="auto" w:val="clear"/>
            <w:tcMar>
              <w:top w:type="dxa" w:w="60"/>
              <w:left w:type="dxa" w:w="90"/>
              <w:bottom w:type="dxa" w:w="60"/>
              <w:right w:type="dxa" w:w="90"/>
            </w:tcMar>
          </w:tcPr>
          <w:p>
            <w:pPr>
              <w:spacing w:after="0" w:line="240"/>
              <w:jc w:val="left"/>
            </w:pPr>
            <w:r>
              <w:rPr>
                <w:b/>
                <w:bCs/>
                <w:color w:val="FFFFFF"/>
                <w:sz w:val="18"/>
                <w:szCs w:val="18"/>
              </w:rPr>
              <w:t xml:space="preserve">Use</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Home</w:t>
            </w:r>
          </w:p>
        </w:tc>
        <w:tc>
          <w:tcPr>
            <w:tcW w:type="dxa" w:w="6254"/>
            <w:tcMar>
              <w:top w:type="dxa" w:w="60"/>
              <w:left w:type="dxa" w:w="90"/>
              <w:bottom w:type="dxa" w:w="60"/>
              <w:right w:type="dxa" w:w="90"/>
            </w:tcMar>
          </w:tcPr>
          <w:p>
            <w:pPr>
              <w:spacing w:after="0" w:line="240"/>
              <w:jc w:val="left"/>
            </w:pPr>
            <w:r>
              <w:rPr>
                <w:color w:val="000000"/>
                <w:sz w:val="18"/>
                <w:szCs w:val="18"/>
              </w:rPr>
              <w:t xml:space="preserve">Overview, database figures, links to reference sites, manual download</w:t>
            </w:r>
          </w:p>
        </w:tc>
      </w:tr>
      <w:tr>
        <w:tc>
          <w:tcPr>
            <w:tcW w:type="dxa" w:w="3100"/>
            <w:shd w:fill="F2F2F2" w:color="auto" w:val="clear"/>
            <w:tcMar>
              <w:top w:type="dxa" w:w="60"/>
              <w:left w:type="dxa" w:w="90"/>
              <w:bottom w:type="dxa" w:w="60"/>
              <w:right w:type="dxa" w:w="90"/>
            </w:tcMar>
          </w:tcPr>
          <w:p>
            <w:pPr>
              <w:spacing w:after="0" w:line="240"/>
              <w:jc w:val="left"/>
            </w:pPr>
            <w:r>
              <w:rPr>
                <w:color w:val="000000"/>
                <w:sz w:val="18"/>
                <w:szCs w:val="18"/>
              </w:rPr>
              <w:t xml:space="preserve">Dashboard</w:t>
            </w:r>
          </w:p>
        </w:tc>
        <w:tc>
          <w:tcPr>
            <w:tcW w:type="dxa" w:w="6254"/>
            <w:shd w:fill="F2F2F2" w:color="auto" w:val="clear"/>
            <w:tcMar>
              <w:top w:type="dxa" w:w="60"/>
              <w:left w:type="dxa" w:w="90"/>
              <w:bottom w:type="dxa" w:w="60"/>
              <w:right w:type="dxa" w:w="90"/>
            </w:tcMar>
          </w:tcPr>
          <w:p>
            <w:pPr>
              <w:spacing w:after="0" w:line="240"/>
              <w:jc w:val="left"/>
            </w:pPr>
            <w:r>
              <w:rPr>
                <w:color w:val="000000"/>
                <w:sz w:val="18"/>
                <w:szCs w:val="18"/>
              </w:rPr>
              <w:t xml:space="preserve">Charts and maps, projections, exports</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Database</w:t>
            </w:r>
          </w:p>
        </w:tc>
        <w:tc>
          <w:tcPr>
            <w:tcW w:type="dxa" w:w="6254"/>
            <w:tcMar>
              <w:top w:type="dxa" w:w="60"/>
              <w:left w:type="dxa" w:w="90"/>
              <w:bottom w:type="dxa" w:w="60"/>
              <w:right w:type="dxa" w:w="90"/>
            </w:tcMar>
          </w:tcPr>
          <w:p>
            <w:pPr>
              <w:spacing w:after="0" w:line="240"/>
              <w:jc w:val="left"/>
            </w:pPr>
            <w:r>
              <w:rPr>
                <w:color w:val="000000"/>
                <w:sz w:val="18"/>
                <w:szCs w:val="18"/>
              </w:rPr>
              <w:t xml:space="preserve">Tabular browsing and spreadsheet download</w:t>
            </w:r>
          </w:p>
        </w:tc>
      </w:tr>
      <w:tr>
        <w:tc>
          <w:tcPr>
            <w:tcW w:type="dxa" w:w="3100"/>
            <w:shd w:fill="F2F2F2" w:color="auto" w:val="clear"/>
            <w:tcMar>
              <w:top w:type="dxa" w:w="60"/>
              <w:left w:type="dxa" w:w="90"/>
              <w:bottom w:type="dxa" w:w="60"/>
              <w:right w:type="dxa" w:w="90"/>
            </w:tcMar>
          </w:tcPr>
          <w:p>
            <w:pPr>
              <w:spacing w:after="0" w:line="240"/>
              <w:jc w:val="left"/>
            </w:pPr>
            <w:r>
              <w:rPr>
                <w:color w:val="000000"/>
                <w:sz w:val="18"/>
                <w:szCs w:val="18"/>
              </w:rPr>
              <w:t xml:space="preserve">GoogleOPESc+</w:t>
            </w:r>
          </w:p>
        </w:tc>
        <w:tc>
          <w:tcPr>
            <w:tcW w:type="dxa" w:w="6254"/>
            <w:shd w:fill="F2F2F2" w:color="auto" w:val="clear"/>
            <w:tcMar>
              <w:top w:type="dxa" w:w="60"/>
              <w:left w:type="dxa" w:w="90"/>
              <w:bottom w:type="dxa" w:w="60"/>
              <w:right w:type="dxa" w:w="90"/>
            </w:tcMar>
          </w:tcPr>
          <w:p>
            <w:pPr>
              <w:spacing w:after="0" w:line="240"/>
              <w:jc w:val="left"/>
            </w:pPr>
            <w:r>
              <w:rPr>
                <w:color w:val="000000"/>
                <w:sz w:val="18"/>
                <w:szCs w:val="18"/>
              </w:rPr>
              <w:t xml:space="preserve">Search directed at a closed set of reference sources</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Data collection</w:t>
            </w:r>
          </w:p>
        </w:tc>
        <w:tc>
          <w:tcPr>
            <w:tcW w:type="dxa" w:w="6254"/>
            <w:tcMar>
              <w:top w:type="dxa" w:w="60"/>
              <w:left w:type="dxa" w:w="90"/>
              <w:bottom w:type="dxa" w:w="60"/>
              <w:right w:type="dxa" w:w="90"/>
            </w:tcMar>
          </w:tcPr>
          <w:p>
            <w:pPr>
              <w:spacing w:after="0" w:line="240"/>
              <w:jc w:val="left"/>
            </w:pPr>
            <w:r>
              <w:rPr>
                <w:color w:val="000000"/>
                <w:sz w:val="18"/>
                <w:szCs w:val="18"/>
              </w:rPr>
              <w:t xml:space="preserve">Update log, manual refresh, file import</w:t>
            </w:r>
          </w:p>
        </w:tc>
      </w:tr>
    </w:tbl>
    <w:p>
      <w:pPr>
        <w:spacing w:after="220" w:before="90"/>
        <w:jc w:val="center"/>
      </w:pPr>
      <w:r>
        <w:rPr>
          <w:i/>
          <w:iCs/>
          <w:color w:val="5C6672"/>
          <w:sz w:val="17"/>
          <w:szCs w:val="17"/>
        </w:rPr>
        <w:t xml:space="preserve">Table 2.1. Purpose of each tab</w:t>
      </w:r>
    </w:p>
    <w:p>
      <w:pPr>
        <w:pStyle w:val="Heading2"/>
      </w:pPr>
      <w:r>
        <w:t xml:space="preserve">2.3 Switching language</w:t>
      </w:r>
    </w:p>
    <w:p>
      <w:pPr>
        <w:spacing w:after="140" w:line="288"/>
        <w:jc w:val="both"/>
      </w:pPr>
      <w:r>
        <w:rPr>
          <w:b w:val="false"/>
          <w:bCs w:val="false"/>
          <w:i w:val="false"/>
          <w:iCs w:val="false"/>
          <w:sz w:val="21"/>
          <w:szCs w:val="21"/>
        </w:rPr>
        <w:t xml:space="preserve">The selector on the right of the banner switches between French and English. Switching reloads the page, which is what allows the entire interface to be translated, including labels built once at start-up. A selection in progress is not preserved across that reload, so switch language before composing a chart.</w:t>
      </w:r>
    </w:p>
    <w:p>
      <w:pPr>
        <w:spacing w:after="140" w:line="288"/>
        <w:jc w:val="both"/>
      </w:pPr>
      <w:r>
        <w:rPr>
          <w:b w:val="false"/>
          <w:bCs w:val="false"/>
          <w:i w:val="false"/>
          <w:iCs w:val="false"/>
          <w:sz w:val="21"/>
          <w:szCs w:val="21"/>
        </w:rPr>
        <w:t xml:space="preserve">The translation covers the interface, the labels of the fourteen categories, those of the 313 indicators and their units. Country names are supplied in English by the World Bank.</w:t>
      </w:r>
    </w:p>
    <w:p>
      <w:pPr>
        <w:pStyle w:val="Heading2"/>
      </w:pPr>
      <w:r>
        <w:t xml:space="preserve">2.4 Downloading the manual</w:t>
      </w:r>
    </w:p>
    <w:p>
      <w:pPr>
        <w:spacing w:after="140" w:line="288"/>
        <w:jc w:val="both"/>
      </w:pPr>
      <w:r>
        <w:rPr>
          <w:b w:val="false"/>
          <w:bCs w:val="false"/>
          <w:i w:val="false"/>
          <w:iCs w:val="false"/>
          <w:sz w:val="21"/>
          <w:szCs w:val="21"/>
        </w:rPr>
        <w:t xml:space="preserve">The button is on the Home tab, after Browse the database. A form asks for the language and the format, and the download starts on validation. Four versions ship with the platform: French and English, in PDF and Word.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Why the manual language is asked for</w:t>
            </w:r>
          </w:p>
          <w:p>
            <w:pPr>
              <w:spacing w:after="0" w:line="276"/>
              <w:jc w:val="both"/>
            </w:pPr>
            <w:r>
              <w:rPr>
                <w:b w:val="false"/>
                <w:bCs w:val="false"/>
                <w:color w:val="000000"/>
                <w:sz w:val="19"/>
                <w:szCs w:val="19"/>
              </w:rPr>
              <w:t xml:space="preserve">It is not inferred from the interface language. A staff member using the platform in French may need the English version for a technical or financial partner, and the other way round. The form offers the current language by default, without imposing it.</w:t>
            </w:r>
          </w:p>
        </w:tc>
      </w:tr>
    </w:tbl>
    <w:p>
      <w:pPr>
        <w:spacing w:after="200" w:line="288"/>
        <w:jc w:val="both"/>
      </w:pPr>
      <w:r>
        <w:rPr>
          <w:b w:val="false"/>
          <w:bCs w:val="false"/>
          <w:i w:val="false"/>
          <w:iCs w:val="false"/>
          <w:sz w:val="21"/>
          <w:szCs w:val="21"/>
        </w:rPr>
        <w:t xml:space="preserve"/>
      </w:r>
    </w:p>
    <w:p>
      <w:r>
        <w:br w:type="page"/>
      </w:r>
    </w:p>
    <w:p>
      <w:pPr>
        <w:spacing w:after="120" w:before="0"/>
      </w:pPr>
      <w:r>
        <w:rPr>
          <w:color w:val="000000"/>
          <w:sz w:val="26"/>
          <w:szCs w:val="26"/>
        </w:rPr>
        <w:t xml:space="preserve">Chapter 3</w:t>
      </w:r>
    </w:p>
    <w:p>
      <w:pPr>
        <w:pStyle w:val="Heading1"/>
        <w:spacing w:after="260" w:before="0"/>
      </w:pPr>
      <w:r>
        <w:t xml:space="preserve">The Home tab</w:t>
      </w:r>
    </w:p>
    <w:p>
      <w:pPr>
        <w:spacing w:after="140" w:line="288"/>
        <w:jc w:val="both"/>
      </w:pPr>
      <w:r>
        <w:rPr>
          <w:b w:val="false"/>
          <w:bCs w:val="false"/>
          <w:i w:val="false"/>
          <w:iCs w:val="false"/>
          <w:sz w:val="21"/>
          <w:szCs w:val="21"/>
        </w:rPr>
        <w:t xml:space="preserve">The Home tab is the entry point and a reminder of scope. It has four blocks.</w:t>
      </w:r>
    </w:p>
    <w:p>
      <w:pPr>
        <w:pStyle w:val="ListParagraph"/>
        <w:numPr>
          <w:ilvl w:val="0"/>
          <w:numId w:val="3"/>
        </w:numPr>
        <w:spacing w:after="90" w:line="288"/>
        <w:jc w:val="both"/>
      </w:pPr>
      <w:r>
        <w:rPr>
          <w:sz w:val="21"/>
          <w:szCs w:val="21"/>
        </w:rPr>
        <w:t xml:space="preserve">A banner with the two main entry points, the dashboard and the database.</w:t>
      </w:r>
    </w:p>
    <w:p>
      <w:pPr>
        <w:pStyle w:val="ListParagraph"/>
        <w:numPr>
          <w:ilvl w:val="0"/>
          <w:numId w:val="3"/>
        </w:numPr>
        <w:spacing w:after="90" w:line="288"/>
        <w:jc w:val="both"/>
      </w:pPr>
      <w:r>
        <w:rPr>
          <w:sz w:val="21"/>
          <w:szCs w:val="21"/>
        </w:rPr>
        <w:t xml:space="preserve">The real figures of the database: number of active indicators, categories, economies, observations, and the date of the last successful collection.</w:t>
      </w:r>
    </w:p>
    <w:p>
      <w:pPr>
        <w:pStyle w:val="ListParagraph"/>
        <w:numPr>
          <w:ilvl w:val="0"/>
          <w:numId w:val="3"/>
        </w:numPr>
        <w:spacing w:after="90" w:line="288"/>
        <w:jc w:val="both"/>
      </w:pPr>
      <w:r>
        <w:rPr>
          <w:sz w:val="21"/>
          <w:szCs w:val="21"/>
        </w:rPr>
        <w:t xml:space="preserve">Six cards detailing the features and the tab where they are found.</w:t>
      </w:r>
    </w:p>
    <w:p>
      <w:pPr>
        <w:pStyle w:val="ListParagraph"/>
        <w:numPr>
          <w:ilvl w:val="0"/>
          <w:numId w:val="3"/>
        </w:numPr>
        <w:spacing w:after="90" w:line="288"/>
        <w:jc w:val="both"/>
      </w:pPr>
      <w:r>
        <w:rPr>
          <w:sz w:val="21"/>
          <w:szCs w:val="21"/>
        </w:rPr>
        <w:t xml:space="preserve">Links to the institutions and to the providers' official sites.</w:t>
      </w:r>
    </w:p>
    <w:p>
      <w:pPr>
        <w:spacing w:after="140" w:line="288"/>
        <w:jc w:val="both"/>
      </w:pPr>
      <w:r>
        <w:rPr>
          <w:b w:val="false"/>
          <w:bCs w:val="false"/>
          <w:i w:val="false"/>
          <w:iCs w:val="false"/>
          <w:sz w:val="21"/>
          <w:szCs w:val="21"/>
        </w:rPr>
        <w:t xml:space="preserve">The figures shown are queried from the database each time the tab opens. If they look low, the collection is incomplete: check the log in the Data collection tab.</w:t>
      </w:r>
    </w:p>
    <w:p>
      <w:r>
        <w:br w:type="page"/>
      </w:r>
    </w:p>
    <w:p>
      <w:pPr>
        <w:spacing w:after="120" w:before="0"/>
      </w:pPr>
      <w:r>
        <w:rPr>
          <w:color w:val="000000"/>
          <w:sz w:val="26"/>
          <w:szCs w:val="26"/>
        </w:rPr>
        <w:t xml:space="preserve">Chapter 4</w:t>
      </w:r>
    </w:p>
    <w:p>
      <w:pPr>
        <w:pStyle w:val="Heading1"/>
        <w:spacing w:after="260" w:before="0"/>
      </w:pPr>
      <w:r>
        <w:t xml:space="preserve">The dashboard</w:t>
      </w:r>
    </w:p>
    <w:p>
      <w:pPr>
        <w:spacing w:after="140" w:line="288"/>
        <w:jc w:val="both"/>
      </w:pPr>
      <w:r>
        <w:rPr>
          <w:b w:val="false"/>
          <w:bCs w:val="false"/>
          <w:i w:val="false"/>
          <w:iCs w:val="false"/>
          <w:sz w:val="21"/>
          <w:szCs w:val="21"/>
        </w:rPr>
        <w:t xml:space="preserve">The dashboard reads from top to bottom: pick a category, refine in the filter bar, read the chart and then the map.</w:t>
      </w:r>
    </w:p>
    <w:p>
      <w:pPr>
        <w:pStyle w:val="Heading2"/>
      </w:pPr>
      <w:r>
        <w:t xml:space="preserve">4.1 What appears at start-up</w:t>
      </w:r>
    </w:p>
    <w:p>
      <w:pPr>
        <w:spacing w:after="140" w:line="288"/>
        <w:jc w:val="both"/>
      </w:pPr>
      <w:r>
        <w:rPr>
          <w:b w:val="false"/>
          <w:bCs w:val="false"/>
          <w:i w:val="false"/>
          <w:iCs w:val="false"/>
          <w:sz w:val="21"/>
          <w:szCs w:val="21"/>
        </w:rPr>
        <w:t xml:space="preserve">The dashboard plots gross domestic product per capita growth for Cameroon, annually, from the outset, and the database opens on a populated category. This selection is replaced by the first filter applied.</w:t>
      </w:r>
    </w:p>
    <w:p>
      <w:pPr>
        <w:spacing w:after="140" w:line="288"/>
        <w:jc w:val="both"/>
      </w:pPr>
      <w:r>
        <w:rPr>
          <w:b w:val="false"/>
          <w:bCs w:val="false"/>
          <w:i w:val="false"/>
          <w:iCs w:val="false"/>
          <w:sz w:val="21"/>
          <w:szCs w:val="21"/>
        </w:rPr>
        <w:t xml:space="preserve">An empty screen at first sight teaches nothing, and an empty table even suggests the database is empty too.</w:t>
      </w:r>
    </w:p>
    <w:p>
      <w:pPr>
        <w:pStyle w:val="Heading2"/>
      </w:pPr>
      <w:r>
        <w:t xml:space="preserve">4.2 Choosing a category</w:t>
      </w:r>
    </w:p>
    <w:p>
      <w:pPr>
        <w:spacing w:after="140" w:line="288"/>
        <w:jc w:val="both"/>
      </w:pPr>
      <w:r>
        <w:rPr>
          <w:b w:val="false"/>
          <w:bCs w:val="false"/>
          <w:i w:val="false"/>
          <w:iCs w:val="false"/>
          <w:sz w:val="21"/>
          <w:szCs w:val="21"/>
        </w:rPr>
        <w:t xml:space="preserve">The first panel shows the fourteen categories, ordered to follow the logic of an economic outlook note: commodities first, then the real sector, public finance, the monetary sector, the external sector, exchange rates and interest rates.</w:t>
      </w:r>
    </w:p>
    <w:p>
      <w:pPr>
        <w:spacing w:after="140" w:line="288"/>
        <w:jc w:val="both"/>
      </w:pPr>
      <w:r>
        <w:rPr>
          <w:b w:val="false"/>
          <w:bCs w:val="false"/>
          <w:i w:val="false"/>
          <w:iCs w:val="false"/>
          <w:sz w:val="21"/>
          <w:szCs w:val="21"/>
        </w:rPr>
        <w:t xml:space="preserve">Each tile states how many indicators it holds and how many have been collected. A category with nothing collected is flagged in orange.</w:t>
      </w:r>
    </w:p>
    <w:p>
      <w:pPr>
        <w:pStyle w:val="Heading2"/>
      </w:pPr>
      <w:r>
        <w:t xml:space="preserve">4.3 The filter bar</w:t>
      </w:r>
    </w:p>
    <w:p>
      <w:pPr>
        <w:spacing w:after="140" w:line="288"/>
        <w:jc w:val="both"/>
      </w:pPr>
      <w:r>
        <w:rPr>
          <w:b w:val="false"/>
          <w:bCs w:val="false"/>
          <w:i w:val="false"/>
          <w:iCs w:val="false"/>
          <w:sz w:val="21"/>
          <w:szCs w:val="21"/>
        </w:rPr>
        <w:t xml:space="preserve">Five settings, in this order, each narrowing the next.</w:t>
      </w:r>
    </w:p>
    <w:p>
      <w:pPr>
        <w:pStyle w:val="ListParagraph"/>
        <w:numPr>
          <w:ilvl w:val="0"/>
          <w:numId w:val="2"/>
        </w:numPr>
        <w:spacing w:after="90" w:line="288"/>
        <w:jc w:val="both"/>
      </w:pPr>
      <w:r>
        <w:rPr>
          <w:sz w:val="21"/>
          <w:szCs w:val="21"/>
        </w:rPr>
        <w:t xml:space="preserve">Indicator. The list holds only indicators from the category. Those already collected come first; the others are marked as not collected. Up to six indicators may be selected.</w:t>
      </w:r>
    </w:p>
    <w:p>
      <w:pPr>
        <w:pStyle w:val="ListParagraph"/>
        <w:numPr>
          <w:ilvl w:val="0"/>
          <w:numId w:val="2"/>
        </w:numPr>
        <w:spacing w:after="90" w:line="288"/>
        <w:jc w:val="both"/>
      </w:pPr>
      <w:r>
        <w:rPr>
          <w:sz w:val="21"/>
          <w:szCs w:val="21"/>
        </w:rPr>
        <w:t xml:space="preserve">Frequency. Only frequencies actually present in the database are offered. It adjusts to the first indicator chosen.</w:t>
      </w:r>
    </w:p>
    <w:p>
      <w:pPr>
        <w:pStyle w:val="ListParagraph"/>
        <w:numPr>
          <w:ilvl w:val="0"/>
          <w:numId w:val="2"/>
        </w:numPr>
        <w:spacing w:after="90" w:line="288"/>
        <w:jc w:val="both"/>
      </w:pPr>
      <w:r>
        <w:rPr>
          <w:sz w:val="21"/>
          <w:szCs w:val="21"/>
        </w:rPr>
        <w:t xml:space="preserve">Period. The bounds match the indicator's effective coverage at the chosen frequency.</w:t>
      </w:r>
    </w:p>
    <w:p>
      <w:pPr>
        <w:pStyle w:val="ListParagraph"/>
        <w:numPr>
          <w:ilvl w:val="0"/>
          <w:numId w:val="2"/>
        </w:numPr>
        <w:spacing w:after="90" w:line="288"/>
        <w:jc w:val="both"/>
      </w:pPr>
      <w:r>
        <w:rPr>
          <w:sz w:val="21"/>
          <w:szCs w:val="21"/>
        </w:rPr>
        <w:t xml:space="preserve">Countries. Only countries for which the indicator is populated appear, eight at most on one chart.</w:t>
      </w:r>
    </w:p>
    <w:p>
      <w:pPr>
        <w:pStyle w:val="ListParagraph"/>
        <w:numPr>
          <w:ilvl w:val="0"/>
          <w:numId w:val="2"/>
        </w:numPr>
        <w:spacing w:after="90" w:line="288"/>
        <w:jc w:val="both"/>
      </w:pPr>
      <w:r>
        <w:rPr>
          <w:sz w:val="21"/>
          <w:szCs w:val="21"/>
        </w:rPr>
        <w:t xml:space="preserve">Apply filter. Nothing is redrawn before that click.</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Why the cascades follow the first indicator</w:t>
            </w:r>
          </w:p>
          <w:p>
            <w:pPr>
              <w:spacing w:after="0" w:line="276"/>
              <w:jc w:val="both"/>
            </w:pPr>
            <w:r>
              <w:rPr>
                <w:b w:val="false"/>
                <w:bCs w:val="false"/>
                <w:color w:val="000000"/>
                <w:sz w:val="19"/>
                <w:szCs w:val="19"/>
              </w:rPr>
              <w:t xml:space="preserve">When several indicators are selected, the frequency, period and country list follow the first one. Combining them across all indicators would produce intersections that are often empty, and an empty filter is more confusing than a truncated secondary series. Check that your main indicator comes first in the selection.</w:t>
            </w:r>
          </w:p>
        </w:tc>
      </w:tr>
    </w:tbl>
    <w:p>
      <w:pPr>
        <w:spacing w:after="200" w:line="288"/>
        <w:jc w:val="both"/>
      </w:pPr>
      <w:r>
        <w:rPr>
          <w:b w:val="false"/>
          <w:bCs w:val="false"/>
          <w:i w:val="false"/>
          <w:iCs w:val="false"/>
          <w:sz w:val="21"/>
          <w:szCs w:val="21"/>
        </w:rPr>
        <w:t xml:space="preserve"/>
      </w:r>
    </w:p>
    <w:p>
      <w:pPr>
        <w:pStyle w:val="Heading2"/>
      </w:pPr>
      <w:r>
        <w:t xml:space="preserve">4.4 Overlaying series</w:t>
      </w:r>
    </w:p>
    <w:p>
      <w:pPr>
        <w:spacing w:after="140" w:line="288"/>
        <w:jc w:val="both"/>
      </w:pPr>
      <w:r>
        <w:rPr>
          <w:b w:val="false"/>
          <w:bCs w:val="false"/>
          <w:i w:val="false"/>
          <w:iCs w:val="false"/>
          <w:sz w:val="21"/>
          <w:szCs w:val="21"/>
        </w:rPr>
        <w:t xml:space="preserve">Two routes lead to the same result. Select several indicators at once in the list, then apply. Or build a selection, add it to the chart, compose another and add it in turn: that is the route for crossing indicators from different categories.</w:t>
      </w:r>
    </w:p>
    <w:p>
      <w:pPr>
        <w:spacing w:after="140" w:line="288"/>
        <w:jc w:val="both"/>
      </w:pPr>
      <w:r>
        <w:rPr>
          <w:b w:val="false"/>
          <w:bCs w:val="false"/>
          <w:i w:val="false"/>
          <w:iCs w:val="false"/>
          <w:sz w:val="21"/>
          <w:szCs w:val="21"/>
        </w:rPr>
        <w:t xml:space="preserve">Each displayed series appears as a chip, removed with one click on the cross. The ceiling is six series.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Rebasing to 100 is sometimes imposed</w:t>
            </w:r>
          </w:p>
          <w:p>
            <w:pPr>
              <w:spacing w:after="0" w:line="276"/>
              <w:jc w:val="both"/>
            </w:pPr>
            <w:r>
              <w:rPr>
                <w:b w:val="false"/>
                <w:bCs w:val="false"/>
                <w:color w:val="000000"/>
                <w:sz w:val="19"/>
                <w:szCs w:val="19"/>
              </w:rPr>
              <w:t xml:space="preserve">When the displayed series do not share a unit, they are automatically rebased to 100 at their first observation. Overlaying a share of gross domestic product and a price in dollars per tonne on one axis would flatten one of the two beyond readability. The Base 100 box forces that treatment even when units agree, to compare relative movements rather than levels.</w:t>
            </w:r>
          </w:p>
        </w:tc>
      </w:tr>
    </w:tbl>
    <w:p>
      <w:pPr>
        <w:spacing w:after="200" w:line="288"/>
        <w:jc w:val="both"/>
      </w:pPr>
      <w:r>
        <w:rPr>
          <w:b w:val="false"/>
          <w:bCs w:val="false"/>
          <w:i w:val="false"/>
          <w:iCs w:val="false"/>
          <w:sz w:val="21"/>
          <w:szCs w:val="21"/>
        </w:rPr>
        <w:t xml:space="preserve"/>
      </w:r>
    </w:p>
    <w:p>
      <w:pPr>
        <w:pStyle w:val="Heading2"/>
      </w:pPr>
      <w:r>
        <w:t xml:space="preserve">4.5 The four representations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54"/>
      </w:tblGrid>
      <w:tr>
        <w:trPr>
          <w:tblHeader/>
        </w:trPr>
        <w:tc>
          <w:tcPr>
            <w:tcW w:type="dxa" w:w="2500"/>
            <w:shd w:fill="3A3A3A" w:color="auto" w:val="clear"/>
            <w:tcMar>
              <w:top w:type="dxa" w:w="60"/>
              <w:left w:type="dxa" w:w="90"/>
              <w:bottom w:type="dxa" w:w="60"/>
              <w:right w:type="dxa" w:w="90"/>
            </w:tcMar>
          </w:tcPr>
          <w:p>
            <w:pPr>
              <w:spacing w:after="0" w:line="240"/>
              <w:jc w:val="left"/>
            </w:pPr>
            <w:r>
              <w:rPr>
                <w:b/>
                <w:bCs/>
                <w:color w:val="FFFFFF"/>
                <w:sz w:val="18"/>
                <w:szCs w:val="18"/>
              </w:rPr>
              <w:t xml:space="preserve">Type</w:t>
            </w:r>
          </w:p>
        </w:tc>
        <w:tc>
          <w:tcPr>
            <w:tcW w:type="dxa" w:w="3500"/>
            <w:shd w:fill="3A3A3A" w:color="auto" w:val="clear"/>
            <w:tcMar>
              <w:top w:type="dxa" w:w="60"/>
              <w:left w:type="dxa" w:w="90"/>
              <w:bottom w:type="dxa" w:w="60"/>
              <w:right w:type="dxa" w:w="90"/>
            </w:tcMar>
          </w:tcPr>
          <w:p>
            <w:pPr>
              <w:spacing w:after="0" w:line="240"/>
              <w:jc w:val="left"/>
            </w:pPr>
            <w:r>
              <w:rPr>
                <w:b/>
                <w:bCs/>
                <w:color w:val="FFFFFF"/>
                <w:sz w:val="18"/>
                <w:szCs w:val="18"/>
              </w:rPr>
              <w:t xml:space="preserve">Recommended use</w:t>
            </w:r>
          </w:p>
        </w:tc>
        <w:tc>
          <w:tcPr>
            <w:tcW w:type="dxa" w:w="3354"/>
            <w:shd w:fill="3A3A3A" w:color="auto" w:val="clear"/>
            <w:tcMar>
              <w:top w:type="dxa" w:w="60"/>
              <w:left w:type="dxa" w:w="90"/>
              <w:bottom w:type="dxa" w:w="60"/>
              <w:right w:type="dxa" w:w="90"/>
            </w:tcMar>
          </w:tcPr>
          <w:p>
            <w:pPr>
              <w:spacing w:after="0" w:line="240"/>
              <w:jc w:val="left"/>
            </w:pPr>
            <w:r>
              <w:rPr>
                <w:b/>
                <w:bCs/>
                <w:color w:val="FFFFFF"/>
                <w:sz w:val="18"/>
                <w:szCs w:val="18"/>
              </w:rPr>
              <w:t xml:space="preserve">Avoid for</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Lines</w:t>
            </w:r>
          </w:p>
        </w:tc>
        <w:tc>
          <w:tcPr>
            <w:tcW w:type="dxa" w:w="3500"/>
            <w:tcMar>
              <w:top w:type="dxa" w:w="60"/>
              <w:left w:type="dxa" w:w="90"/>
              <w:bottom w:type="dxa" w:w="60"/>
              <w:right w:type="dxa" w:w="90"/>
            </w:tcMar>
          </w:tcPr>
          <w:p>
            <w:pPr>
              <w:spacing w:after="0" w:line="240"/>
              <w:jc w:val="left"/>
            </w:pPr>
            <w:r>
              <w:rPr>
                <w:color w:val="000000"/>
                <w:sz w:val="18"/>
                <w:szCs w:val="18"/>
              </w:rPr>
              <w:t xml:space="preserve">Movement of one or more series over time</w:t>
            </w:r>
          </w:p>
        </w:tc>
        <w:tc>
          <w:tcPr>
            <w:tcW w:type="dxa" w:w="3354"/>
            <w:tcMar>
              <w:top w:type="dxa" w:w="60"/>
              <w:left w:type="dxa" w:w="90"/>
              <w:bottom w:type="dxa" w:w="60"/>
              <w:right w:type="dxa" w:w="90"/>
            </w:tcMar>
          </w:tcPr>
          <w:p>
            <w:pPr>
              <w:spacing w:after="0" w:line="240"/>
              <w:jc w:val="left"/>
            </w:pPr>
            <w:r>
              <w:rPr>
                <w:color w:val="000000"/>
                <w:sz w:val="18"/>
                <w:szCs w:val="18"/>
              </w:rPr>
              <w:t xml:space="preserve">Series with many gaps</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Bars</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Comparing levels over few periods</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Long series, unreadable</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Areas</w:t>
            </w:r>
          </w:p>
        </w:tc>
        <w:tc>
          <w:tcPr>
            <w:tcW w:type="dxa" w:w="3500"/>
            <w:tcMar>
              <w:top w:type="dxa" w:w="60"/>
              <w:left w:type="dxa" w:w="90"/>
              <w:bottom w:type="dxa" w:w="60"/>
              <w:right w:type="dxa" w:w="90"/>
            </w:tcMar>
          </w:tcPr>
          <w:p>
            <w:pPr>
              <w:spacing w:after="0" w:line="240"/>
              <w:jc w:val="left"/>
            </w:pPr>
            <w:r>
              <w:rPr>
                <w:color w:val="000000"/>
                <w:sz w:val="18"/>
                <w:szCs w:val="18"/>
              </w:rPr>
              <w:t xml:space="preserve">Movement with emphasis on level</w:t>
            </w:r>
          </w:p>
        </w:tc>
        <w:tc>
          <w:tcPr>
            <w:tcW w:type="dxa" w:w="3354"/>
            <w:tcMar>
              <w:top w:type="dxa" w:w="60"/>
              <w:left w:type="dxa" w:w="90"/>
              <w:bottom w:type="dxa" w:w="60"/>
              <w:right w:type="dxa" w:w="90"/>
            </w:tcMar>
          </w:tcPr>
          <w:p>
            <w:pPr>
              <w:spacing w:after="0" w:line="240"/>
              <w:jc w:val="left"/>
            </w:pPr>
            <w:r>
              <w:rPr>
                <w:color w:val="000000"/>
                <w:sz w:val="18"/>
                <w:szCs w:val="18"/>
              </w:rPr>
              <w:t xml:space="preserve">More than three overlaid series</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Pie chart</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Split across countries of an additive quantity</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Percentages, indices, ranks</w:t>
            </w:r>
          </w:p>
        </w:tc>
      </w:tr>
    </w:tbl>
    <w:p>
      <w:pPr>
        <w:spacing w:after="220" w:before="90"/>
        <w:jc w:val="center"/>
      </w:pPr>
      <w:r>
        <w:rPr>
          <w:i/>
          <w:iCs/>
          <w:color w:val="5C6672"/>
          <w:sz w:val="17"/>
          <w:szCs w:val="17"/>
        </w:rPr>
        <w:t xml:space="preserve">Table 4.1. Chart types and recommended use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A pie chart sums the values</w:t>
            </w:r>
          </w:p>
          <w:p>
            <w:pPr>
              <w:spacing w:after="0" w:line="276"/>
              <w:jc w:val="both"/>
            </w:pPr>
            <w:r>
              <w:rPr>
                <w:b w:val="false"/>
                <w:bCs w:val="false"/>
                <w:color w:val="000000"/>
                <w:sz w:val="19"/>
                <w:szCs w:val="19"/>
              </w:rPr>
              <w:t xml:space="preserve">It keeps only the last displayed period, whose year appears in the title, and discards zero or negative values. Above all, it sums what it shows. For exports in dollars, that total means something. For shares of gross domestic product, indices or ranks, it means nothing: the platform still draws the chart but displays a warning. Do not circulate it in that case.</w:t>
            </w:r>
          </w:p>
        </w:tc>
      </w:tr>
    </w:tbl>
    <w:p>
      <w:pPr>
        <w:spacing w:after="200" w:line="288"/>
        <w:jc w:val="both"/>
      </w:pPr>
      <w:r>
        <w:rPr>
          <w:b w:val="false"/>
          <w:bCs w:val="false"/>
          <w:i w:val="false"/>
          <w:iCs w:val="false"/>
          <w:sz w:val="21"/>
          <w:szCs w:val="21"/>
        </w:rPr>
        <w:t xml:space="preserve"/>
      </w:r>
    </w:p>
    <w:p>
      <w:pPr>
        <w:spacing w:after="140" w:line="288"/>
        <w:jc w:val="both"/>
      </w:pPr>
      <w:r>
        <w:rPr>
          <w:b w:val="false"/>
          <w:bCs w:val="false"/>
          <w:i w:val="false"/>
          <w:iCs w:val="false"/>
          <w:sz w:val="21"/>
          <w:szCs w:val="21"/>
        </w:rPr>
        <w:t xml:space="preserve">A series with gaps is drawn as a dashed line and never interpolated: joining two points several years apart with a solid line would suggest a movement that was not observed.</w:t>
      </w:r>
    </w:p>
    <w:p>
      <w:pPr>
        <w:pStyle w:val="Heading2"/>
      </w:pPr>
      <w:r>
        <w:t xml:space="preserve">4.6 Projections</w:t>
      </w:r>
    </w:p>
    <w:p>
      <w:pPr>
        <w:spacing w:after="140" w:line="288"/>
        <w:jc w:val="both"/>
      </w:pPr>
      <w:r>
        <w:rPr>
          <w:b w:val="false"/>
          <w:bCs w:val="false"/>
          <w:i w:val="false"/>
          <w:iCs w:val="false"/>
          <w:sz w:val="21"/>
          <w:szCs w:val="21"/>
        </w:rPr>
        <w:t xml:space="preserve">Three extension methods are offered, each with its interval. They apply to the first selected country and require at least five annual observations.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54"/>
      </w:tblGrid>
      <w:tr>
        <w:trPr>
          <w:tblHeader/>
        </w:trPr>
        <w:tc>
          <w:tcPr>
            <w:tcW w:type="dxa" w:w="2500"/>
            <w:shd w:fill="3A3A3A" w:color="auto" w:val="clear"/>
            <w:tcMar>
              <w:top w:type="dxa" w:w="60"/>
              <w:left w:type="dxa" w:w="90"/>
              <w:bottom w:type="dxa" w:w="60"/>
              <w:right w:type="dxa" w:w="90"/>
            </w:tcMar>
          </w:tcPr>
          <w:p>
            <w:pPr>
              <w:spacing w:after="0" w:line="240"/>
              <w:jc w:val="left"/>
            </w:pPr>
            <w:r>
              <w:rPr>
                <w:b/>
                <w:bCs/>
                <w:color w:val="FFFFFF"/>
                <w:sz w:val="18"/>
                <w:szCs w:val="18"/>
              </w:rPr>
              <w:t xml:space="preserve">Method</w:t>
            </w:r>
          </w:p>
        </w:tc>
        <w:tc>
          <w:tcPr>
            <w:tcW w:type="dxa" w:w="3500"/>
            <w:shd w:fill="3A3A3A" w:color="auto" w:val="clear"/>
            <w:tcMar>
              <w:top w:type="dxa" w:w="60"/>
              <w:left w:type="dxa" w:w="90"/>
              <w:bottom w:type="dxa" w:w="60"/>
              <w:right w:type="dxa" w:w="90"/>
            </w:tcMar>
          </w:tcPr>
          <w:p>
            <w:pPr>
              <w:spacing w:after="0" w:line="240"/>
              <w:jc w:val="left"/>
            </w:pPr>
            <w:r>
              <w:rPr>
                <w:b/>
                <w:bCs/>
                <w:color w:val="FFFFFF"/>
                <w:sz w:val="18"/>
                <w:szCs w:val="18"/>
              </w:rPr>
              <w:t xml:space="preserve">Principle</w:t>
            </w:r>
          </w:p>
        </w:tc>
        <w:tc>
          <w:tcPr>
            <w:tcW w:type="dxa" w:w="3354"/>
            <w:shd w:fill="3A3A3A" w:color="auto" w:val="clear"/>
            <w:tcMar>
              <w:top w:type="dxa" w:w="60"/>
              <w:left w:type="dxa" w:w="90"/>
              <w:bottom w:type="dxa" w:w="60"/>
              <w:right w:type="dxa" w:w="90"/>
            </w:tcMar>
          </w:tcPr>
          <w:p>
            <w:pPr>
              <w:spacing w:after="0" w:line="240"/>
              <w:jc w:val="left"/>
            </w:pPr>
            <w:r>
              <w:rPr>
                <w:b/>
                <w:bCs/>
                <w:color w:val="FFFFFF"/>
                <w:sz w:val="18"/>
                <w:szCs w:val="18"/>
              </w:rPr>
              <w:t xml:space="preserve">Behaviour</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Linear trend</w:t>
            </w:r>
          </w:p>
        </w:tc>
        <w:tc>
          <w:tcPr>
            <w:tcW w:type="dxa" w:w="3500"/>
            <w:tcMar>
              <w:top w:type="dxa" w:w="60"/>
              <w:left w:type="dxa" w:w="90"/>
              <w:bottom w:type="dxa" w:w="60"/>
              <w:right w:type="dxa" w:w="90"/>
            </w:tcMar>
          </w:tcPr>
          <w:p>
            <w:pPr>
              <w:spacing w:after="0" w:line="240"/>
              <w:jc w:val="left"/>
            </w:pPr>
            <w:r>
              <w:rPr>
                <w:color w:val="000000"/>
                <w:sz w:val="18"/>
                <w:szCs w:val="18"/>
              </w:rPr>
              <w:t xml:space="preserve">Ordinary least squares on time</w:t>
            </w:r>
          </w:p>
        </w:tc>
        <w:tc>
          <w:tcPr>
            <w:tcW w:type="dxa" w:w="3354"/>
            <w:tcMar>
              <w:top w:type="dxa" w:w="60"/>
              <w:left w:type="dxa" w:w="90"/>
              <w:bottom w:type="dxa" w:w="60"/>
              <w:right w:type="dxa" w:w="90"/>
            </w:tcMar>
          </w:tcPr>
          <w:p>
            <w:pPr>
              <w:spacing w:after="0" w:line="240"/>
              <w:jc w:val="left"/>
            </w:pPr>
            <w:r>
              <w:rPr>
                <w:color w:val="000000"/>
                <w:sz w:val="18"/>
                <w:szCs w:val="18"/>
              </w:rPr>
              <w:t xml:space="preserve">Robust, blind to regime breaks</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Random walk with drift</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Extends the mean of recent changes</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The most neutral benchmark</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Holt smoothing</w:t>
            </w:r>
          </w:p>
        </w:tc>
        <w:tc>
          <w:tcPr>
            <w:tcW w:type="dxa" w:w="3500"/>
            <w:tcMar>
              <w:top w:type="dxa" w:w="60"/>
              <w:left w:type="dxa" w:w="90"/>
              <w:bottom w:type="dxa" w:w="60"/>
              <w:right w:type="dxa" w:w="90"/>
            </w:tcMar>
          </w:tcPr>
          <w:p>
            <w:pPr>
              <w:spacing w:after="0" w:line="240"/>
              <w:jc w:val="left"/>
            </w:pPr>
            <w:r>
              <w:rPr>
                <w:color w:val="000000"/>
                <w:sz w:val="18"/>
                <w:szCs w:val="18"/>
              </w:rPr>
              <w:t xml:space="preserve">Exponential smoothing with trend</w:t>
            </w:r>
          </w:p>
        </w:tc>
        <w:tc>
          <w:tcPr>
            <w:tcW w:type="dxa" w:w="3354"/>
            <w:tcMar>
              <w:top w:type="dxa" w:w="60"/>
              <w:left w:type="dxa" w:w="90"/>
              <w:bottom w:type="dxa" w:w="60"/>
              <w:right w:type="dxa" w:w="90"/>
            </w:tcMar>
          </w:tcPr>
          <w:p>
            <w:pPr>
              <w:spacing w:after="0" w:line="240"/>
              <w:jc w:val="left"/>
            </w:pPr>
            <w:r>
              <w:rPr>
                <w:color w:val="000000"/>
                <w:sz w:val="18"/>
                <w:szCs w:val="18"/>
              </w:rPr>
              <w:t xml:space="preserve">Reacts better to recent turning points</w:t>
            </w:r>
          </w:p>
        </w:tc>
      </w:tr>
    </w:tbl>
    <w:p>
      <w:pPr>
        <w:spacing w:after="220" w:before="90"/>
        <w:jc w:val="center"/>
      </w:pPr>
      <w:r>
        <w:rPr>
          <w:i/>
          <w:iCs/>
          <w:color w:val="5C6672"/>
          <w:sz w:val="17"/>
          <w:szCs w:val="17"/>
        </w:rPr>
        <w:t xml:space="preserve">Table 4.2. Projection methods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What these projections are not</w:t>
            </w:r>
          </w:p>
          <w:p>
            <w:pPr>
              <w:spacing w:after="0" w:line="276"/>
              <w:jc w:val="both"/>
            </w:pPr>
            <w:r>
              <w:rPr>
                <w:b w:val="false"/>
                <w:bCs w:val="false"/>
                <w:color w:val="000000"/>
                <w:sz w:val="19"/>
                <w:szCs w:val="19"/>
              </w:rPr>
              <w:t xml:space="preserve">They are mechanical extensions of the observed series. They embed no policy assumption, no shock and no information outside the series itself. They must never be presented as a ministry forecast. For a macroeconomic framework, the tool is OPESc.</w:t>
            </w:r>
          </w:p>
        </w:tc>
      </w:tr>
    </w:tbl>
    <w:p>
      <w:pPr>
        <w:spacing w:after="200" w:line="288"/>
        <w:jc w:val="both"/>
      </w:pPr>
      <w:r>
        <w:rPr>
          <w:b w:val="false"/>
          <w:bCs w:val="false"/>
          <w:i w:val="false"/>
          <w:iCs w:val="false"/>
          <w:sz w:val="21"/>
          <w:szCs w:val="21"/>
        </w:rPr>
        <w:t xml:space="preserve"/>
      </w:r>
    </w:p>
    <w:p>
      <w:pPr>
        <w:pStyle w:val="Heading2"/>
      </w:pPr>
      <w:r>
        <w:t xml:space="preserve">4.7 Exporting</w:t>
      </w:r>
    </w:p>
    <w:p>
      <w:pPr>
        <w:spacing w:after="140" w:line="288"/>
        <w:jc w:val="both"/>
      </w:pPr>
      <w:r>
        <w:rPr>
          <w:b w:val="false"/>
          <w:bCs w:val="false"/>
          <w:i w:val="false"/>
          <w:iCs w:val="false"/>
          <w:sz w:val="21"/>
          <w:szCs w:val="21"/>
        </w:rPr>
        <w:t xml:space="preserve">The Image button produces a PNG file on a white background at print resolution, ready to paste into a note. The Data button produces a workbook holding exactly the displayed selection, with its sources sheet.</w:t>
      </w:r>
    </w:p>
    <w:p>
      <w:r>
        <w:br w:type="page"/>
      </w:r>
    </w:p>
    <w:p>
      <w:pPr>
        <w:spacing w:after="120" w:before="0"/>
      </w:pPr>
      <w:r>
        <w:rPr>
          <w:color w:val="000000"/>
          <w:sz w:val="26"/>
          <w:szCs w:val="26"/>
        </w:rPr>
        <w:t xml:space="preserve">Chapter 5</w:t>
      </w:r>
    </w:p>
    <w:p>
      <w:pPr>
        <w:pStyle w:val="Heading1"/>
        <w:spacing w:after="260" w:before="0"/>
      </w:pPr>
      <w:r>
        <w:t xml:space="preserve">Map analysis</w:t>
      </w:r>
    </w:p>
    <w:p>
      <w:pPr>
        <w:spacing w:after="140" w:line="288"/>
        <w:jc w:val="both"/>
      </w:pPr>
      <w:r>
        <w:rPr>
          <w:b w:val="false"/>
          <w:bCs w:val="false"/>
          <w:i w:val="false"/>
          <w:iCs w:val="false"/>
          <w:sz w:val="21"/>
          <w:szCs w:val="21"/>
        </w:rPr>
        <w:t xml:space="preserve">Below the chart, a world map shades countries by the indicator's value for a year chosen with the slider. A play button steps through the years automatically, showing a dynamic the chart cannot when countries are numerous.</w:t>
      </w:r>
    </w:p>
    <w:p>
      <w:pPr>
        <w:spacing w:after="140" w:line="288"/>
        <w:jc w:val="both"/>
      </w:pPr>
      <w:r>
        <w:rPr>
          <w:b w:val="false"/>
          <w:bCs w:val="false"/>
          <w:i w:val="false"/>
          <w:iCs w:val="false"/>
          <w:sz w:val="21"/>
          <w:szCs w:val="21"/>
        </w:rPr>
        <w:t xml:space="preserve">The map follows the first displayed indicator. Overlaying several indicators on one colour scale would make no sense, as the units are not comparable.</w:t>
      </w:r>
    </w:p>
    <w:p>
      <w:pPr>
        <w:pStyle w:val="Heading2"/>
      </w:pPr>
      <w:r>
        <w:t xml:space="preserve">5.1 Reading the scale</w:t>
      </w:r>
    </w:p>
    <w:p>
      <w:pPr>
        <w:spacing w:after="140" w:line="288"/>
        <w:jc w:val="both"/>
      </w:pPr>
      <w:r>
        <w:rPr>
          <w:b w:val="false"/>
          <w:bCs w:val="false"/>
          <w:i w:val="false"/>
          <w:iCs w:val="false"/>
          <w:sz w:val="21"/>
          <w:szCs w:val="21"/>
        </w:rPr>
        <w:t xml:space="preserve">The scale is capped at the 2nd and 98th percentiles of the distribution. Without that precaution, a few extreme values would give every other country the same shade: on public debt, a handful of countries above 200 per cent of gross domestic product would flatten the whole reading. The tooltip always shows the real, uncapped value.</w:t>
      </w:r>
    </w:p>
    <w:p>
      <w:pPr>
        <w:spacing w:after="140" w:line="288"/>
        <w:jc w:val="both"/>
      </w:pPr>
      <w:r>
        <w:rPr>
          <w:b w:val="false"/>
          <w:bCs w:val="false"/>
          <w:i w:val="false"/>
          <w:iCs w:val="false"/>
          <w:sz w:val="21"/>
          <w:szCs w:val="21"/>
        </w:rPr>
        <w:t xml:space="preserve">Regional aggregates are excluded from the map as from rankings. Countries in your selection are outlined more heavily.</w:t>
      </w:r>
    </w:p>
    <w:p>
      <w:pPr>
        <w:pStyle w:val="Heading2"/>
      </w:pPr>
      <w:r>
        <w:t xml:space="preserve">5.2 The country profile</w:t>
      </w:r>
    </w:p>
    <w:p>
      <w:pPr>
        <w:spacing w:after="140" w:line="288"/>
        <w:jc w:val="both"/>
      </w:pPr>
      <w:r>
        <w:rPr>
          <w:b w:val="false"/>
          <w:bCs w:val="false"/>
          <w:i w:val="false"/>
          <w:iCs w:val="false"/>
          <w:sz w:val="21"/>
          <w:szCs w:val="21"/>
        </w:rPr>
        <w:t xml:space="preserve">Clicking a country opens its panel on the right: flag, official language, region, income group, indicator value and world rank for the displayed year. The Ranking button exports the full ranking for that year.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Where the country details come from</w:t>
            </w:r>
          </w:p>
          <w:p>
            <w:pPr>
              <w:spacing w:after="0" w:line="276"/>
              <w:jc w:val="both"/>
            </w:pPr>
            <w:r>
              <w:rPr>
                <w:b w:val="false"/>
                <w:bCs w:val="false"/>
                <w:color w:val="000000"/>
                <w:sz w:val="19"/>
                <w:szCs w:val="19"/>
              </w:rPr>
              <w:t xml:space="preserve">The two-letter codes and official languages of 216 countries come from no statistical source: they are maintained by hand in a project file, editable without touching the code. A country missing from that table shows empty fields rather than breaking the map.</w:t>
            </w:r>
          </w:p>
        </w:tc>
      </w:tr>
    </w:tbl>
    <w:p>
      <w:pPr>
        <w:spacing w:after="200" w:line="288"/>
        <w:jc w:val="both"/>
      </w:pPr>
      <w:r>
        <w:rPr>
          <w:b w:val="false"/>
          <w:bCs w:val="false"/>
          <w:i w:val="false"/>
          <w:iCs w:val="false"/>
          <w:sz w:val="21"/>
          <w:szCs w:val="21"/>
        </w:rPr>
        <w:t xml:space="preserve"/>
      </w:r>
    </w:p>
    <w:p>
      <w:r>
        <w:br w:type="page"/>
      </w:r>
    </w:p>
    <w:p>
      <w:pPr>
        <w:spacing w:after="120" w:before="0"/>
      </w:pPr>
      <w:r>
        <w:rPr>
          <w:color w:val="000000"/>
          <w:sz w:val="26"/>
          <w:szCs w:val="26"/>
        </w:rPr>
        <w:t xml:space="preserve">Chapter 6</w:t>
      </w:r>
    </w:p>
    <w:p>
      <w:pPr>
        <w:pStyle w:val="Heading1"/>
        <w:spacing w:after="260" w:before="0"/>
      </w:pPr>
      <w:r>
        <w:t xml:space="preserve">The database</w:t>
      </w:r>
    </w:p>
    <w:p>
      <w:pPr>
        <w:spacing w:after="140" w:line="288"/>
        <w:jc w:val="both"/>
      </w:pPr>
      <w:r>
        <w:rPr>
          <w:b w:val="false"/>
          <w:bCs w:val="false"/>
          <w:i w:val="false"/>
          <w:iCs w:val="false"/>
          <w:sz w:val="21"/>
          <w:szCs w:val="21"/>
        </w:rPr>
        <w:t xml:space="preserve">This tab gives access to the database without going through a chart. Filters cover category, indicators, countries, frequency and years.</w:t>
      </w:r>
    </w:p>
    <w:p>
      <w:pPr>
        <w:spacing w:after="140" w:line="288"/>
        <w:jc w:val="both"/>
      </w:pPr>
      <w:r>
        <w:rPr>
          <w:b w:val="false"/>
          <w:bCs w:val="false"/>
          <w:i w:val="false"/>
          <w:iCs w:val="false"/>
          <w:sz w:val="21"/>
          <w:szCs w:val="21"/>
        </w:rPr>
        <w:t xml:space="preserve">The table shows the first thousand rows; the download covers the whole selection. Spreadsheet is the only download format offered, in two layouts.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54"/>
      </w:tblGrid>
      <w:tr>
        <w:trPr>
          <w:tblHeader/>
        </w:trPr>
        <w:tc>
          <w:tcPr>
            <w:tcW w:type="dxa" w:w="2500"/>
            <w:shd w:fill="3A3A3A" w:color="auto" w:val="clear"/>
            <w:tcMar>
              <w:top w:type="dxa" w:w="60"/>
              <w:left w:type="dxa" w:w="90"/>
              <w:bottom w:type="dxa" w:w="60"/>
              <w:right w:type="dxa" w:w="90"/>
            </w:tcMar>
          </w:tcPr>
          <w:p>
            <w:pPr>
              <w:spacing w:after="0" w:line="240"/>
              <w:jc w:val="left"/>
            </w:pPr>
            <w:r>
              <w:rPr>
                <w:b/>
                <w:bCs/>
                <w:color w:val="FFFFFF"/>
                <w:sz w:val="18"/>
                <w:szCs w:val="18"/>
              </w:rPr>
              <w:t xml:space="preserve">Layout</w:t>
            </w:r>
          </w:p>
        </w:tc>
        <w:tc>
          <w:tcPr>
            <w:tcW w:type="dxa" w:w="3500"/>
            <w:shd w:fill="3A3A3A" w:color="auto" w:val="clear"/>
            <w:tcMar>
              <w:top w:type="dxa" w:w="60"/>
              <w:left w:type="dxa" w:w="90"/>
              <w:bottom w:type="dxa" w:w="60"/>
              <w:right w:type="dxa" w:w="90"/>
            </w:tcMar>
          </w:tcPr>
          <w:p>
            <w:pPr>
              <w:spacing w:after="0" w:line="240"/>
              <w:jc w:val="left"/>
            </w:pPr>
            <w:r>
              <w:rPr>
                <w:b/>
                <w:bCs/>
                <w:color w:val="FFFFFF"/>
                <w:sz w:val="18"/>
                <w:szCs w:val="18"/>
              </w:rPr>
              <w:t xml:space="preserve">Structure</w:t>
            </w:r>
          </w:p>
        </w:tc>
        <w:tc>
          <w:tcPr>
            <w:tcW w:type="dxa" w:w="3354"/>
            <w:shd w:fill="3A3A3A" w:color="auto" w:val="clear"/>
            <w:tcMar>
              <w:top w:type="dxa" w:w="60"/>
              <w:left w:type="dxa" w:w="90"/>
              <w:bottom w:type="dxa" w:w="60"/>
              <w:right w:type="dxa" w:w="90"/>
            </w:tcMar>
          </w:tcPr>
          <w:p>
            <w:pPr>
              <w:spacing w:after="0" w:line="240"/>
              <w:jc w:val="left"/>
            </w:pPr>
            <w:r>
              <w:rPr>
                <w:b/>
                <w:bCs/>
                <w:color w:val="FFFFFF"/>
                <w:sz w:val="18"/>
                <w:szCs w:val="18"/>
              </w:rPr>
              <w:t xml:space="preserve">Use</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Long format</w:t>
            </w:r>
          </w:p>
        </w:tc>
        <w:tc>
          <w:tcPr>
            <w:tcW w:type="dxa" w:w="3500"/>
            <w:tcMar>
              <w:top w:type="dxa" w:w="60"/>
              <w:left w:type="dxa" w:w="90"/>
              <w:bottom w:type="dxa" w:w="60"/>
              <w:right w:type="dxa" w:w="90"/>
            </w:tcMar>
          </w:tcPr>
          <w:p>
            <w:pPr>
              <w:spacing w:after="0" w:line="240"/>
              <w:jc w:val="left"/>
            </w:pPr>
            <w:r>
              <w:rPr>
                <w:color w:val="000000"/>
                <w:sz w:val="18"/>
                <w:szCs w:val="18"/>
              </w:rPr>
              <w:t xml:space="preserve">One row per observation</w:t>
            </w:r>
          </w:p>
        </w:tc>
        <w:tc>
          <w:tcPr>
            <w:tcW w:type="dxa" w:w="3354"/>
            <w:tcMar>
              <w:top w:type="dxa" w:w="60"/>
              <w:left w:type="dxa" w:w="90"/>
              <w:bottom w:type="dxa" w:w="60"/>
              <w:right w:type="dxa" w:w="90"/>
            </w:tcMar>
          </w:tcPr>
          <w:p>
            <w:pPr>
              <w:spacing w:after="0" w:line="240"/>
              <w:jc w:val="left"/>
            </w:pPr>
            <w:r>
              <w:rPr>
                <w:color w:val="000000"/>
                <w:sz w:val="18"/>
                <w:szCs w:val="18"/>
              </w:rPr>
              <w:t xml:space="preserve">Statistical processing, import into analysis software</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Cross table</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One row per country and period, one column per indicator</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Regression, table for a note</w:t>
            </w:r>
          </w:p>
        </w:tc>
      </w:tr>
    </w:tbl>
    <w:p>
      <w:pPr>
        <w:spacing w:after="220" w:before="90"/>
        <w:jc w:val="center"/>
      </w:pPr>
      <w:r>
        <w:rPr>
          <w:i/>
          <w:iCs/>
          <w:color w:val="5C6672"/>
          <w:sz w:val="17"/>
          <w:szCs w:val="17"/>
        </w:rPr>
        <w:t xml:space="preserve">Table 6.1. The two export layouts</w:t>
      </w:r>
    </w:p>
    <w:p>
      <w:pPr>
        <w:spacing w:after="140" w:line="288"/>
        <w:jc w:val="both"/>
      </w:pPr>
      <w:r>
        <w:rPr>
          <w:b w:val="false"/>
          <w:bCs w:val="false"/>
          <w:i w:val="false"/>
          <w:iCs w:val="false"/>
          <w:sz w:val="21"/>
          <w:szCs w:val="21"/>
        </w:rPr>
        <w:t xml:space="preserve">Both workbooks carry a Sources sheet listing each indicator retained, its origin, its unit and the retrieval date.</w:t>
      </w:r>
    </w:p>
    <w:p>
      <w:r>
        <w:br w:type="page"/>
      </w:r>
    </w:p>
    <w:p>
      <w:pPr>
        <w:spacing w:after="120" w:before="0"/>
      </w:pPr>
      <w:r>
        <w:rPr>
          <w:color w:val="000000"/>
          <w:sz w:val="26"/>
          <w:szCs w:val="26"/>
        </w:rPr>
        <w:t xml:space="preserve">Chapter 7</w:t>
      </w:r>
    </w:p>
    <w:p>
      <w:pPr>
        <w:pStyle w:val="Heading1"/>
        <w:spacing w:after="260" w:before="0"/>
      </w:pPr>
      <w:r>
        <w:t xml:space="preserve">GoogleOPESc+, guided search</w:t>
      </w:r>
    </w:p>
    <w:p>
      <w:pPr>
        <w:spacing w:after="140" w:line="288"/>
        <w:jc w:val="both"/>
      </w:pPr>
      <w:r>
        <w:rPr>
          <w:b w:val="false"/>
          <w:bCs w:val="false"/>
          <w:i w:val="false"/>
          <w:iCs w:val="false"/>
          <w:sz w:val="21"/>
          <w:szCs w:val="21"/>
        </w:rPr>
        <w:t xml:space="preserve">This tab answers a daily difficulty: finding a figure or a publication without getting lost among results whose origin and worth are unclear.</w:t>
      </w:r>
    </w:p>
    <w:p>
      <w:pPr>
        <w:spacing w:after="140" w:line="288"/>
        <w:jc w:val="both"/>
      </w:pPr>
      <w:r>
        <w:rPr>
          <w:b w:val="false"/>
          <w:bCs w:val="false"/>
          <w:i w:val="false"/>
          <w:iCs w:val="false"/>
          <w:sz w:val="21"/>
          <w:szCs w:val="21"/>
        </w:rPr>
        <w:t xml:space="preserve">The principle is the opposite of a general search engine. The list of sources is closed and chosen, and the search covers only those. Thirty-five sources across three natures: seventeen data providers, nine publishers, nine news outlets. Four are Cameroonian: the National Institute of Statistics, MINEPAT, the Ministry of Finance and the Autonomous Sinking Fund.</w:t>
      </w:r>
    </w:p>
    <w:p>
      <w:pPr>
        <w:pStyle w:val="Heading2"/>
      </w:pPr>
      <w:r>
        <w:t xml:space="preserve">7.1 What is displayed</w:t>
      </w:r>
    </w:p>
    <w:p>
      <w:pPr>
        <w:pStyle w:val="ListParagraph"/>
        <w:numPr>
          <w:ilvl w:val="0"/>
          <w:numId w:val="2"/>
        </w:numPr>
        <w:spacing w:after="90" w:line="288"/>
        <w:jc w:val="both"/>
      </w:pPr>
      <w:r>
        <w:rPr>
          <w:sz w:val="21"/>
          <w:szCs w:val="21"/>
        </w:rPr>
        <w:t xml:space="preserve">The definition of the notion, when it appears in the platform glossary. Forty-four economic notions are defined, from gross domestic product to the structural balance.</w:t>
      </w:r>
    </w:p>
    <w:p>
      <w:pPr>
        <w:pStyle w:val="ListParagraph"/>
        <w:numPr>
          <w:ilvl w:val="0"/>
          <w:numId w:val="2"/>
        </w:numPr>
        <w:spacing w:after="90" w:line="288"/>
        <w:jc w:val="both"/>
      </w:pPr>
      <w:r>
        <w:rPr>
          <w:sz w:val="21"/>
          <w:szCs w:val="21"/>
        </w:rPr>
        <w:t xml:space="preserve">The platform indicators matching the query. If the data is already in the database, that is the best possible answer.</w:t>
      </w:r>
    </w:p>
    <w:p>
      <w:pPr>
        <w:pStyle w:val="ListParagraph"/>
        <w:numPr>
          <w:ilvl w:val="0"/>
          <w:numId w:val="2"/>
        </w:numPr>
        <w:spacing w:after="90" w:line="288"/>
        <w:jc w:val="both"/>
      </w:pPr>
      <w:r>
        <w:rPr>
          <w:sz w:val="21"/>
          <w:szCs w:val="21"/>
        </w:rPr>
        <w:t xml:space="preserve">Web results, when search is configured.</w:t>
      </w:r>
    </w:p>
    <w:p>
      <w:pPr>
        <w:pStyle w:val="ListParagraph"/>
        <w:numPr>
          <w:ilvl w:val="0"/>
          <w:numId w:val="2"/>
        </w:numPr>
        <w:spacing w:after="90" w:line="288"/>
        <w:jc w:val="both"/>
      </w:pPr>
      <w:r>
        <w:rPr>
          <w:sz w:val="21"/>
          <w:szCs w:val="21"/>
        </w:rPr>
        <w:t xml:space="preserve">The sources to query directly, at most six, chosen for their relevance to the topic.</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Why six sources and not thirty-five</w:t>
            </w:r>
          </w:p>
          <w:p>
            <w:pPr>
              <w:spacing w:after="0" w:line="276"/>
              <w:jc w:val="both"/>
            </w:pPr>
            <w:r>
              <w:rPr>
                <w:b w:val="false"/>
                <w:bCs w:val="false"/>
                <w:color w:val="000000"/>
                <w:sz w:val="19"/>
                <w:szCs w:val="19"/>
              </w:rPr>
              <w:t xml:space="preserve">Showing every source on every query would amount to no filtering at all. Only those that genuinely cover the topic are kept. Ranking crosses three criteria: the category's rank in the query, that category's rank at the site, and the site's specialisation. At equal rank, a site covering three domains is more relevant than a portal covering eight.</w:t>
            </w:r>
          </w:p>
        </w:tc>
      </w:tr>
    </w:tbl>
    <w:p>
      <w:pPr>
        <w:spacing w:after="200" w:line="288"/>
        <w:jc w:val="both"/>
      </w:pPr>
      <w:r>
        <w:rPr>
          <w:b w:val="false"/>
          <w:bCs w:val="false"/>
          <w:i w:val="false"/>
          <w:iCs w:val="false"/>
          <w:sz w:val="21"/>
          <w:szCs w:val="21"/>
        </w:rPr>
        <w:t xml:space="preserve"/>
      </w:r>
    </w:p>
    <w:p>
      <w:pPr>
        <w:pStyle w:val="Heading2"/>
      </w:pPr>
      <w:r>
        <w:t xml:space="preserve">7.2 Suggestions while typing</w:t>
      </w:r>
    </w:p>
    <w:p>
      <w:pPr>
        <w:spacing w:after="140" w:line="288"/>
        <w:jc w:val="both"/>
      </w:pPr>
      <w:r>
        <w:rPr>
          <w:b w:val="false"/>
          <w:bCs w:val="false"/>
          <w:i w:val="false"/>
          <w:iCs w:val="false"/>
          <w:sz w:val="21"/>
          <w:szCs w:val="21"/>
        </w:rPr>
        <w:t xml:space="preserve">From two characters onwards, a completion list appears below the field. It draws on the glossary, the fourteen categories and the indicator labels: suggestions therefore cover what the platform can actually handle, not a general dictionary.</w:t>
      </w:r>
    </w:p>
    <w:p>
      <w:pPr>
        <w:pStyle w:val="Heading2"/>
      </w:pPr>
      <w:r>
        <w:t xml:space="preserve">7.3 The definition and its source</w:t>
      </w:r>
    </w:p>
    <w:p>
      <w:pPr>
        <w:spacing w:after="140" w:line="288"/>
        <w:jc w:val="both"/>
      </w:pPr>
      <w:r>
        <w:rPr>
          <w:b w:val="false"/>
          <w:bCs w:val="false"/>
          <w:i w:val="false"/>
          <w:iCs w:val="false"/>
          <w:sz w:val="21"/>
          <w:szCs w:val="21"/>
        </w:rPr>
        <w:t xml:space="preserve">Every indicator shown carries its definition and, below it, the name of the institution that stands behind it. The World Bank publishes, for each of its series, a definition text and the organisation that establishes it: both are reproduced as they stand.</w:t>
      </w:r>
    </w:p>
    <w:p>
      <w:pPr>
        <w:spacing w:after="140" w:line="288"/>
        <w:jc w:val="both"/>
      </w:pPr>
      <w:r>
        <w:rPr>
          <w:b w:val="false"/>
          <w:bCs w:val="false"/>
          <w:i w:val="false"/>
          <w:iCs w:val="false"/>
          <w:sz w:val="21"/>
          <w:szCs w:val="21"/>
        </w:rPr>
        <w:t xml:space="preserve">For general notions, the glossary definitions point to the manual they are drawn from: the System of National Accounts for gross domestic product, the Balance of Payments Manual for the current account, the resolutions of the International Conference of Labour Statisticians for unemployment.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Why the source is always named</w:t>
            </w:r>
          </w:p>
          <w:p>
            <w:pPr>
              <w:spacing w:after="0" w:line="276"/>
              <w:jc w:val="both"/>
            </w:pPr>
            <w:r>
              <w:rPr>
                <w:b w:val="false"/>
                <w:bCs w:val="false"/>
                <w:color w:val="000000"/>
                <w:sz w:val="19"/>
                <w:szCs w:val="19"/>
              </w:rPr>
              <w:t xml:space="preserve">A definition without a source is worth nothing in an administrative document: the World Bank's commits the World Bank, an anonymous one commits no one. It also lets the reference be cited in a note without having to look it up.</w:t>
            </w:r>
          </w:p>
        </w:tc>
      </w:tr>
    </w:tbl>
    <w:p>
      <w:pPr>
        <w:spacing w:after="200" w:line="288"/>
        <w:jc w:val="both"/>
      </w:pPr>
      <w:r>
        <w:rPr>
          <w:b w:val="false"/>
          <w:bCs w:val="false"/>
          <w:i w:val="false"/>
          <w:iCs w:val="false"/>
          <w:sz w:val="21"/>
          <w:szCs w:val="21"/>
        </w:rPr>
        <w:t xml:space="preserve"/>
      </w:r>
    </w:p>
    <w:p>
      <w:pPr>
        <w:pStyle w:val="Heading2"/>
      </w:pPr>
      <w:r>
        <w:t xml:space="preserve">7.4 Configuring web search</w:t>
      </w:r>
    </w:p>
    <w:p>
      <w:pPr>
        <w:spacing w:after="140" w:line="288"/>
        <w:jc w:val="both"/>
      </w:pPr>
      <w:r>
        <w:rPr>
          <w:b w:val="false"/>
          <w:bCs w:val="false"/>
          <w:i w:val="false"/>
          <w:iCs w:val="false"/>
          <w:sz w:val="21"/>
          <w:szCs w:val="21"/>
        </w:rPr>
        <w:t xml:space="preserve">Without configuration, the tab offers the sources to query, each link running the search on the target site. To get results directly, a programmable search engine is needed, free of charge, restricted to the platform's domains.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54"/>
      </w:tblGrid>
      <w:tr>
        <w:trPr>
          <w:tblHeader/>
        </w:trPr>
        <w:tc>
          <w:tcPr>
            <w:tcW w:type="dxa" w:w="2500"/>
            <w:shd w:fill="3A3A3A" w:color="auto" w:val="clear"/>
            <w:tcMar>
              <w:top w:type="dxa" w:w="60"/>
              <w:left w:type="dxa" w:w="90"/>
              <w:bottom w:type="dxa" w:w="60"/>
              <w:right w:type="dxa" w:w="90"/>
            </w:tcMar>
          </w:tcPr>
          <w:p>
            <w:pPr>
              <w:spacing w:after="0" w:line="240"/>
              <w:jc w:val="left"/>
            </w:pPr>
            <w:r>
              <w:rPr>
                <w:b/>
                <w:bCs/>
                <w:color w:val="FFFFFF"/>
                <w:sz w:val="18"/>
                <w:szCs w:val="18"/>
              </w:rPr>
              <w:t xml:space="preserve">State</w:t>
            </w:r>
          </w:p>
        </w:tc>
        <w:tc>
          <w:tcPr>
            <w:tcW w:type="dxa" w:w="3500"/>
            <w:shd w:fill="3A3A3A" w:color="auto" w:val="clear"/>
            <w:tcMar>
              <w:top w:type="dxa" w:w="60"/>
              <w:left w:type="dxa" w:w="90"/>
              <w:bottom w:type="dxa" w:w="60"/>
              <w:right w:type="dxa" w:w="90"/>
            </w:tcMar>
          </w:tcPr>
          <w:p>
            <w:pPr>
              <w:spacing w:after="0" w:line="240"/>
              <w:jc w:val="left"/>
            </w:pPr>
            <w:r>
              <w:rPr>
                <w:b/>
                <w:bCs/>
                <w:color w:val="FFFFFF"/>
                <w:sz w:val="18"/>
                <w:szCs w:val="18"/>
              </w:rPr>
              <w:t xml:space="preserve">What is configured</w:t>
            </w:r>
          </w:p>
        </w:tc>
        <w:tc>
          <w:tcPr>
            <w:tcW w:type="dxa" w:w="3354"/>
            <w:shd w:fill="3A3A3A" w:color="auto" w:val="clear"/>
            <w:tcMar>
              <w:top w:type="dxa" w:w="60"/>
              <w:left w:type="dxa" w:w="90"/>
              <w:bottom w:type="dxa" w:w="60"/>
              <w:right w:type="dxa" w:w="90"/>
            </w:tcMar>
          </w:tcPr>
          <w:p>
            <w:pPr>
              <w:spacing w:after="0" w:line="240"/>
              <w:jc w:val="left"/>
            </w:pPr>
            <w:r>
              <w:rPr>
                <w:b/>
                <w:bCs/>
                <w:color w:val="FFFFFF"/>
                <w:sz w:val="18"/>
                <w:szCs w:val="18"/>
              </w:rPr>
              <w:t xml:space="preserve">What you get</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None</w:t>
            </w:r>
          </w:p>
        </w:tc>
        <w:tc>
          <w:tcPr>
            <w:tcW w:type="dxa" w:w="3500"/>
            <w:tcMar>
              <w:top w:type="dxa" w:w="60"/>
              <w:left w:type="dxa" w:w="90"/>
              <w:bottom w:type="dxa" w:w="60"/>
              <w:right w:type="dxa" w:w="90"/>
            </w:tcMar>
          </w:tcPr>
          <w:p>
            <w:pPr>
              <w:spacing w:after="0" w:line="240"/>
              <w:jc w:val="left"/>
            </w:pPr>
            <w:r>
              <w:rPr>
                <w:color w:val="000000"/>
                <w:sz w:val="18"/>
                <w:szCs w:val="18"/>
              </w:rPr>
              <w:t xml:space="preserve">nothing</w:t>
            </w:r>
          </w:p>
        </w:tc>
        <w:tc>
          <w:tcPr>
            <w:tcW w:type="dxa" w:w="3354"/>
            <w:tcMar>
              <w:top w:type="dxa" w:w="60"/>
              <w:left w:type="dxa" w:w="90"/>
              <w:bottom w:type="dxa" w:w="60"/>
              <w:right w:type="dxa" w:w="90"/>
            </w:tcMar>
          </w:tcPr>
          <w:p>
            <w:pPr>
              <w:spacing w:after="0" w:line="240"/>
              <w:jc w:val="left"/>
            </w:pPr>
            <w:r>
              <w:rPr>
                <w:color w:val="000000"/>
                <w:sz w:val="18"/>
                <w:szCs w:val="18"/>
              </w:rPr>
              <w:t xml:space="preserve">access to the sources, each link running the search on the site</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Embedded engine</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the engine identifier</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Google's engine inside the page, with its own tabs, no key and no quota</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Integrated display</w:t>
            </w:r>
          </w:p>
        </w:tc>
        <w:tc>
          <w:tcPr>
            <w:tcW w:type="dxa" w:w="3500"/>
            <w:tcMar>
              <w:top w:type="dxa" w:w="60"/>
              <w:left w:type="dxa" w:w="90"/>
              <w:bottom w:type="dxa" w:w="60"/>
              <w:right w:type="dxa" w:w="90"/>
            </w:tcMar>
          </w:tcPr>
          <w:p>
            <w:pPr>
              <w:spacing w:after="0" w:line="240"/>
              <w:jc w:val="left"/>
            </w:pPr>
            <w:r>
              <w:rPr>
                <w:color w:val="000000"/>
                <w:sz w:val="18"/>
                <w:szCs w:val="18"/>
              </w:rPr>
              <w:t xml:space="preserve">the identifier and an API key</w:t>
            </w:r>
          </w:p>
        </w:tc>
        <w:tc>
          <w:tcPr>
            <w:tcW w:type="dxa" w:w="3354"/>
            <w:tcMar>
              <w:top w:type="dxa" w:w="60"/>
              <w:left w:type="dxa" w:w="90"/>
              <w:bottom w:type="dxa" w:w="60"/>
              <w:right w:type="dxa" w:w="90"/>
            </w:tcMar>
          </w:tcPr>
          <w:p>
            <w:pPr>
              <w:spacing w:after="0" w:line="240"/>
              <w:jc w:val="left"/>
            </w:pPr>
            <w:r>
              <w:rPr>
                <w:color w:val="000000"/>
                <w:sz w:val="18"/>
                <w:szCs w:val="18"/>
              </w:rPr>
              <w:t xml:space="preserve">results formatted by the platform, with its own tabs, definition and indicators</w:t>
            </w:r>
          </w:p>
        </w:tc>
      </w:tr>
    </w:tbl>
    <w:p>
      <w:pPr>
        <w:spacing w:after="220" w:before="90"/>
        <w:jc w:val="center"/>
      </w:pPr>
      <w:r>
        <w:rPr>
          <w:i/>
          <w:iCs/>
          <w:color w:val="5C6672"/>
          <w:sz w:val="17"/>
          <w:szCs w:val="17"/>
        </w:rPr>
        <w:t xml:space="preserve">Table 7.1. The three states of search</w:t>
      </w:r>
    </w:p>
    <w:p>
      <w:pPr>
        <w:spacing w:after="140" w:line="288"/>
        <w:jc w:val="both"/>
      </w:pPr>
      <w:r>
        <w:rPr>
          <w:b w:val="false"/>
          <w:bCs w:val="false"/>
          <w:i w:val="false"/>
          <w:iCs w:val="false"/>
          <w:sz w:val="21"/>
          <w:szCs w:val="21"/>
        </w:rPr>
        <w:t xml:space="preserve">The command `domaines_pour_moteur()` prints the thirty domains to declare, and `configurer_recherche()` stores the identifiers. The full procedure is in chapter 9 of the project README.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A precaution kept</w:t>
            </w:r>
          </w:p>
          <w:p>
            <w:pPr>
              <w:spacing w:after="0" w:line="276"/>
              <w:jc w:val="both"/>
            </w:pPr>
            <w:r>
              <w:rPr>
                <w:b w:val="false"/>
                <w:bCs w:val="false"/>
                <w:color w:val="000000"/>
                <w:sz w:val="19"/>
                <w:szCs w:val="19"/>
              </w:rPr>
              <w:t xml:space="preserve">Even when the engine is restricted to included sites, the platform filters results against the domain list before displaying them. A configuration mistake must not be enough to let an arbitrary source in. Subdomains are accepted, imitations rejected.</w:t>
            </w:r>
          </w:p>
        </w:tc>
      </w:tr>
    </w:tbl>
    <w:p>
      <w:pPr>
        <w:spacing w:after="200" w:line="288"/>
        <w:jc w:val="both"/>
      </w:pPr>
      <w:r>
        <w:rPr>
          <w:b w:val="false"/>
          <w:bCs w:val="false"/>
          <w:i w:val="false"/>
          <w:iCs w:val="false"/>
          <w:sz w:val="21"/>
          <w:szCs w:val="21"/>
        </w:rPr>
        <w:t xml:space="preserve"/>
      </w:r>
    </w:p>
    <w:p>
      <w:r>
        <w:br w:type="page"/>
      </w:r>
    </w:p>
    <w:p>
      <w:pPr>
        <w:spacing w:after="120" w:before="0"/>
      </w:pPr>
      <w:r>
        <w:rPr>
          <w:color w:val="000000"/>
          <w:sz w:val="26"/>
          <w:szCs w:val="26"/>
        </w:rPr>
        <w:t xml:space="preserve">Chapter 8</w:t>
      </w:r>
    </w:p>
    <w:p>
      <w:pPr>
        <w:pStyle w:val="Heading1"/>
        <w:spacing w:after="260" w:before="0"/>
      </w:pPr>
      <w:r>
        <w:t xml:space="preserve">Data collection</w:t>
      </w:r>
    </w:p>
    <w:p>
      <w:pPr>
        <w:spacing w:after="140" w:line="288"/>
        <w:jc w:val="both"/>
      </w:pPr>
      <w:r>
        <w:rPr>
          <w:b w:val="false"/>
          <w:bCs w:val="false"/>
          <w:i w:val="false"/>
          <w:iCs w:val="false"/>
          <w:sz w:val="21"/>
          <w:szCs w:val="21"/>
        </w:rPr>
        <w:t xml:space="preserve">The platform updates itself by querying its providers' public interfaces. Every run is logged with its scope, trigger, status, the number of values added and revised, and the details of any errors.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Why a log</w:t>
            </w:r>
          </w:p>
          <w:p>
            <w:pPr>
              <w:spacing w:after="0" w:line="276"/>
              <w:jc w:val="both"/>
            </w:pPr>
            <w:r>
              <w:rPr>
                <w:b w:val="false"/>
                <w:bCs w:val="false"/>
                <w:color w:val="000000"/>
                <w:sz w:val="19"/>
                <w:szCs w:val="19"/>
              </w:rPr>
              <w:t xml:space="preserve">A collection can end without error and bring back nothing, for instance if a provider has renamed a code. Without a log, that silent failure would go unnoticed for months and analysis would rest on frozen series. Check the log after every update.</w:t>
            </w:r>
          </w:p>
        </w:tc>
      </w:tr>
    </w:tbl>
    <w:p>
      <w:pPr>
        <w:spacing w:after="200" w:line="288"/>
        <w:jc w:val="both"/>
      </w:pPr>
      <w:r>
        <w:rPr>
          <w:b w:val="false"/>
          <w:bCs w:val="false"/>
          <w:i w:val="false"/>
          <w:iCs w:val="false"/>
          <w:sz w:val="21"/>
          <w:szCs w:val="21"/>
        </w:rPr>
        <w:t xml:space="preserve"/>
      </w:r>
    </w:p>
    <w:p>
      <w:pPr>
        <w:pStyle w:val="Heading2"/>
      </w:pPr>
      <w:r>
        <w:t xml:space="preserve">8.1 Triggering an update</w:t>
      </w:r>
    </w:p>
    <w:p>
      <w:pPr>
        <w:spacing w:after="140" w:line="288"/>
        <w:jc w:val="both"/>
      </w:pPr>
      <w:r>
        <w:rPr>
          <w:b w:val="false"/>
          <w:bCs w:val="false"/>
          <w:i w:val="false"/>
          <w:iCs w:val="false"/>
          <w:sz w:val="21"/>
          <w:szCs w:val="21"/>
        </w:rPr>
        <w:t xml:space="preserve">From the Data collection tab, for one category or for the whole catalogue. A full collection means several hundred calls and takes thirty to forty-five minutes: proceed one category at a time.</w:t>
      </w:r>
    </w:p>
    <w:p>
      <w:pPr>
        <w:spacing w:after="140" w:line="288"/>
        <w:jc w:val="both"/>
      </w:pPr>
      <w:r>
        <w:rPr>
          <w:b w:val="false"/>
          <w:bCs w:val="false"/>
          <w:i w:val="false"/>
          <w:iCs w:val="false"/>
          <w:sz w:val="21"/>
          <w:szCs w:val="21"/>
        </w:rPr>
        <w:t xml:space="preserve">The Refresh data button on the dashboard updates only the displayed indicators, which takes a few seconds.</w:t>
      </w:r>
    </w:p>
    <w:p>
      <w:pPr>
        <w:pStyle w:val="Heading2"/>
      </w:pPr>
      <w:r>
        <w:t xml:space="preserve">8.2 Recommended rhythm</w:t>
      </w:r>
    </w:p>
    <w:p>
      <w:pPr>
        <w:spacing w:after="140" w:line="288"/>
        <w:jc w:val="both"/>
      </w:pPr>
      <w:r>
        <w:rPr>
          <w:b w:val="false"/>
          <w:bCs w:val="false"/>
          <w:i w:val="false"/>
          <w:iCs w:val="false"/>
          <w:sz w:val="21"/>
          <w:szCs w:val="21"/>
        </w:rPr>
        <w:t xml:space="preserve">Macroeconomic data do not change from hour to hour.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54"/>
      </w:tblGrid>
      <w:tr>
        <w:trPr>
          <w:tblHeader/>
        </w:trPr>
        <w:tc>
          <w:tcPr>
            <w:tcW w:type="dxa" w:w="2500"/>
            <w:shd w:fill="3A3A3A" w:color="auto" w:val="clear"/>
            <w:tcMar>
              <w:top w:type="dxa" w:w="60"/>
              <w:left w:type="dxa" w:w="90"/>
              <w:bottom w:type="dxa" w:w="60"/>
              <w:right w:type="dxa" w:w="90"/>
            </w:tcMar>
          </w:tcPr>
          <w:p>
            <w:pPr>
              <w:spacing w:after="0" w:line="240"/>
              <w:jc w:val="left"/>
            </w:pPr>
            <w:r>
              <w:rPr>
                <w:b/>
                <w:bCs/>
                <w:color w:val="FFFFFF"/>
                <w:sz w:val="18"/>
                <w:szCs w:val="18"/>
              </w:rPr>
              <w:t xml:space="preserve">Source</w:t>
            </w:r>
          </w:p>
        </w:tc>
        <w:tc>
          <w:tcPr>
            <w:tcW w:type="dxa" w:w="3500"/>
            <w:shd w:fill="3A3A3A" w:color="auto" w:val="clear"/>
            <w:tcMar>
              <w:top w:type="dxa" w:w="60"/>
              <w:left w:type="dxa" w:w="90"/>
              <w:bottom w:type="dxa" w:w="60"/>
              <w:right w:type="dxa" w:w="90"/>
            </w:tcMar>
          </w:tcPr>
          <w:p>
            <w:pPr>
              <w:spacing w:after="0" w:line="240"/>
              <w:jc w:val="left"/>
            </w:pPr>
            <w:r>
              <w:rPr>
                <w:b/>
                <w:bCs/>
                <w:color w:val="FFFFFF"/>
                <w:sz w:val="18"/>
                <w:szCs w:val="18"/>
              </w:rPr>
              <w:t xml:space="preserve">Publication rhythm</w:t>
            </w:r>
          </w:p>
        </w:tc>
        <w:tc>
          <w:tcPr>
            <w:tcW w:type="dxa" w:w="3354"/>
            <w:shd w:fill="3A3A3A" w:color="auto" w:val="clear"/>
            <w:tcMar>
              <w:top w:type="dxa" w:w="60"/>
              <w:left w:type="dxa" w:w="90"/>
              <w:bottom w:type="dxa" w:w="60"/>
              <w:right w:type="dxa" w:w="90"/>
            </w:tcMar>
          </w:tcPr>
          <w:p>
            <w:pPr>
              <w:spacing w:after="0" w:line="240"/>
              <w:jc w:val="left"/>
            </w:pPr>
            <w:r>
              <w:rPr>
                <w:b/>
                <w:bCs/>
                <w:color w:val="FFFFFF"/>
                <w:sz w:val="18"/>
                <w:szCs w:val="18"/>
              </w:rPr>
              <w:t xml:space="preserve">Recommended update</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Pink Sheet, commodities</w:t>
            </w:r>
          </w:p>
        </w:tc>
        <w:tc>
          <w:tcPr>
            <w:tcW w:type="dxa" w:w="3500"/>
            <w:tcMar>
              <w:top w:type="dxa" w:w="60"/>
              <w:left w:type="dxa" w:w="90"/>
              <w:bottom w:type="dxa" w:w="60"/>
              <w:right w:type="dxa" w:w="90"/>
            </w:tcMar>
          </w:tcPr>
          <w:p>
            <w:pPr>
              <w:spacing w:after="0" w:line="240"/>
              <w:jc w:val="left"/>
            </w:pPr>
            <w:r>
              <w:rPr>
                <w:color w:val="000000"/>
                <w:sz w:val="18"/>
                <w:szCs w:val="18"/>
              </w:rPr>
              <w:t xml:space="preserve">Monthly, early in the month</w:t>
            </w:r>
          </w:p>
        </w:tc>
        <w:tc>
          <w:tcPr>
            <w:tcW w:type="dxa" w:w="3354"/>
            <w:tcMar>
              <w:top w:type="dxa" w:w="60"/>
              <w:left w:type="dxa" w:w="90"/>
              <w:bottom w:type="dxa" w:w="60"/>
              <w:right w:type="dxa" w:w="90"/>
            </w:tcMar>
          </w:tcPr>
          <w:p>
            <w:pPr>
              <w:spacing w:after="0" w:line="240"/>
              <w:jc w:val="left"/>
            </w:pPr>
            <w:r>
              <w:rPr>
                <w:color w:val="000000"/>
                <w:sz w:val="18"/>
                <w:szCs w:val="18"/>
              </w:rPr>
              <w:t xml:space="preserve">Weekly</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World Development Indicators</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Two to four revisions a year</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Monthly</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World Economic Outlook</w:t>
            </w:r>
          </w:p>
        </w:tc>
        <w:tc>
          <w:tcPr>
            <w:tcW w:type="dxa" w:w="3500"/>
            <w:tcMar>
              <w:top w:type="dxa" w:w="60"/>
              <w:left w:type="dxa" w:w="90"/>
              <w:bottom w:type="dxa" w:w="60"/>
              <w:right w:type="dxa" w:w="90"/>
            </w:tcMar>
          </w:tcPr>
          <w:p>
            <w:pPr>
              <w:spacing w:after="0" w:line="240"/>
              <w:jc w:val="left"/>
            </w:pPr>
            <w:r>
              <w:rPr>
                <w:color w:val="000000"/>
                <w:sz w:val="18"/>
                <w:szCs w:val="18"/>
              </w:rPr>
              <w:t xml:space="preserve">April and October</w:t>
            </w:r>
          </w:p>
        </w:tc>
        <w:tc>
          <w:tcPr>
            <w:tcW w:type="dxa" w:w="3354"/>
            <w:tcMar>
              <w:top w:type="dxa" w:w="60"/>
              <w:left w:type="dxa" w:w="90"/>
              <w:bottom w:type="dxa" w:w="60"/>
              <w:right w:type="dxa" w:w="90"/>
            </w:tcMar>
          </w:tcPr>
          <w:p>
            <w:pPr>
              <w:spacing w:after="0" w:line="240"/>
              <w:jc w:val="left"/>
            </w:pPr>
            <w:r>
              <w:rPr>
                <w:color w:val="000000"/>
                <w:sz w:val="18"/>
                <w:szCs w:val="18"/>
              </w:rPr>
              <w:t xml:space="preserve">Monthly</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Atlas of Economic Complexity</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Annual</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Quarterly</w:t>
            </w:r>
          </w:p>
        </w:tc>
      </w:tr>
    </w:tbl>
    <w:p>
      <w:pPr>
        <w:spacing w:after="220" w:before="90"/>
        <w:jc w:val="center"/>
      </w:pPr>
      <w:r>
        <w:rPr>
          <w:i/>
          <w:iCs/>
          <w:color w:val="5C6672"/>
          <w:sz w:val="17"/>
          <w:szCs w:val="17"/>
        </w:rPr>
        <w:t xml:space="preserve">Table 8.1. Publication rhythm of the sources</w:t>
      </w:r>
    </w:p>
    <w:p>
      <w:r>
        <w:br w:type="page"/>
      </w:r>
    </w:p>
    <w:p>
      <w:pPr>
        <w:spacing w:after="120" w:before="0"/>
      </w:pPr>
      <w:r>
        <w:rPr>
          <w:color w:val="000000"/>
          <w:sz w:val="26"/>
          <w:szCs w:val="26"/>
        </w:rPr>
        <w:t xml:space="preserve">Chapter 9</w:t>
      </w:r>
    </w:p>
    <w:p>
      <w:pPr>
        <w:pStyle w:val="Heading1"/>
        <w:spacing w:after="260" w:before="0"/>
      </w:pPr>
      <w:r>
        <w:t xml:space="preserve">Importing an external database</w:t>
      </w:r>
    </w:p>
    <w:p>
      <w:pPr>
        <w:spacing w:after="140" w:line="288"/>
        <w:jc w:val="both"/>
      </w:pPr>
      <w:r>
        <w:rPr>
          <w:b w:val="false"/>
          <w:bCs w:val="false"/>
          <w:i w:val="false"/>
          <w:iCs w:val="false"/>
          <w:sz w:val="21"/>
          <w:szCs w:val="21"/>
        </w:rPr>
        <w:t xml:space="preserve">Not every source can be queried programmatically. The International Monetary Fund's Primary Commodity Price System page builds its download link in JavaScript: no address appears in the page source, so it cannot be found automatically.</w:t>
      </w:r>
    </w:p>
    <w:p>
      <w:pPr>
        <w:spacing w:after="140" w:line="288"/>
        <w:jc w:val="both"/>
      </w:pPr>
      <w:r>
        <w:rPr>
          <w:b w:val="false"/>
          <w:bCs w:val="false"/>
          <w:i w:val="false"/>
          <w:iCs w:val="false"/>
          <w:sz w:val="21"/>
          <w:szCs w:val="21"/>
        </w:rPr>
        <w:t xml:space="preserve">The platform takes two measures for this case, which is not rare.</w:t>
      </w:r>
    </w:p>
    <w:p>
      <w:pPr>
        <w:pStyle w:val="Heading2"/>
      </w:pPr>
      <w:r>
        <w:t xml:space="preserve">9.1 The file shipped with the platform</w:t>
      </w:r>
    </w:p>
    <w:p>
      <w:pPr>
        <w:spacing w:after="140" w:line="288"/>
        <w:jc w:val="both"/>
      </w:pPr>
      <w:r>
        <w:rPr>
          <w:b w:val="false"/>
          <w:bCs w:val="false"/>
          <w:i w:val="false"/>
          <w:iCs w:val="false"/>
          <w:sz w:val="21"/>
          <w:szCs w:val="21"/>
        </w:rPr>
        <w:t xml:space="preserve">Commodity prices are distributed inside the package and loaded at initialisation, just like the catalogue. No command to run: after `preparer_base()`, the 108 products of category C15 are in place, at monthly, quarterly and annual frequency.</w:t>
      </w:r>
    </w:p>
    <w:p>
      <w:pPr>
        <w:spacing w:after="140" w:line="288"/>
        <w:jc w:val="both"/>
      </w:pPr>
      <w:r>
        <w:rPr>
          <w:b w:val="false"/>
          <w:bCs w:val="false"/>
          <w:i w:val="false"/>
          <w:iCs w:val="false"/>
          <w:sz w:val="21"/>
          <w:szCs w:val="21"/>
        </w:rPr>
        <w:t xml:space="preserve">Loading overwrites nothing if it finds existing data: a more recent file you imported yourself stays in place.</w:t>
      </w:r>
    </w:p>
    <w:p>
      <w:pPr>
        <w:pStyle w:val="Heading2"/>
      </w:pPr>
      <w:r>
        <w:t xml:space="preserve">9.2 Importing your own file</w:t>
      </w:r>
    </w:p>
    <w:p>
      <w:pPr>
        <w:spacing w:after="140" w:line="288"/>
        <w:jc w:val="both"/>
      </w:pPr>
      <w:r>
        <w:rPr>
          <w:b w:val="false"/>
          <w:bCs w:val="false"/>
          <w:i w:val="false"/>
          <w:iCs w:val="false"/>
          <w:sz w:val="21"/>
          <w:szCs w:val="21"/>
        </w:rPr>
        <w:t xml:space="preserve">The Data collection tab includes a drop area. Choose a file and a category, and the series it holds join that category. Those unknown to the catalogue are created automatically, with the source's own label.</w:t>
      </w:r>
    </w:p>
    <w:p>
      <w:pPr>
        <w:spacing w:after="140" w:line="288"/>
        <w:jc w:val="both"/>
      </w:pPr>
      <w:r>
        <w:rPr>
          <w:b w:val="false"/>
          <w:bCs w:val="false"/>
          <w:i w:val="false"/>
          <w:iCs w:val="false"/>
          <w:sz w:val="21"/>
          <w:szCs w:val="21"/>
        </w:rPr>
        <w:t xml:space="preserve">Reading is tolerant: columns are identified by their content as much as by their heading. The wide format, one row per series and one column per period, is recognised, the frequency being read from the column name.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An imported figure is worth a collected one</w:t>
            </w:r>
          </w:p>
          <w:p>
            <w:pPr>
              <w:spacing w:after="0" w:line="276"/>
              <w:jc w:val="both"/>
            </w:pPr>
            <w:r>
              <w:rPr>
                <w:b w:val="false"/>
                <w:bCs w:val="false"/>
                <w:color w:val="000000"/>
                <w:sz w:val="19"/>
                <w:szCs w:val="19"/>
              </w:rPr>
              <w:t xml:space="preserve">It uses the same writing function, carries the same frequencies and feeds the same counters. An indicator is active if it can be fed or already is: an imported series therefore stays visible and usable, even though it has no connector. Data present is data usable, however it arrived.</w:t>
            </w:r>
          </w:p>
        </w:tc>
      </w:tr>
    </w:tbl>
    <w:p>
      <w:pPr>
        <w:spacing w:after="200" w:line="288"/>
        <w:jc w:val="both"/>
      </w:pPr>
      <w:r>
        <w:rPr>
          <w:b w:val="false"/>
          <w:bCs w:val="false"/>
          <w:i w:val="false"/>
          <w:iCs w:val="false"/>
          <w:sz w:val="21"/>
          <w:szCs w:val="21"/>
        </w:rPr>
        <w:t xml:space="preserve"/>
      </w:r>
    </w:p>
    <w:p>
      <w:pPr>
        <w:pStyle w:val="Heading2"/>
      </w:pPr>
      <w:r>
        <w:t xml:space="preserve">9.3 The commodity price category</w:t>
      </w:r>
    </w:p>
    <w:p>
      <w:pPr>
        <w:spacing w:after="140" w:line="288"/>
        <w:jc w:val="both"/>
      </w:pPr>
      <w:r>
        <w:rPr>
          <w:b w:val="false"/>
          <w:bCs w:val="false"/>
          <w:i w:val="false"/>
          <w:iCs w:val="false"/>
          <w:sz w:val="21"/>
          <w:szCs w:val="21"/>
        </w:rPr>
        <w:t xml:space="preserve">Category C15 gathers the 108 products of the downloaded file: aggregate indices, precious metals and energy transition metals, rare earths, cereals, oilseeds, meats, seafood, timber, fertilisers, teas by origin.</w:t>
      </w:r>
    </w:p>
    <w:p>
      <w:pPr>
        <w:spacing w:after="140" w:line="288"/>
        <w:jc w:val="both"/>
      </w:pPr>
      <w:r>
        <w:rPr>
          <w:b w:val="false"/>
          <w:bCs w:val="false"/>
          <w:i w:val="false"/>
          <w:iCs w:val="false"/>
          <w:sz w:val="21"/>
          <w:szCs w:val="21"/>
        </w:rPr>
        <w:t xml:space="preserve">A narrower category, limited to twenty-eight main quotations, existed at first. It has been removed: it duplicated the other, and its automatic feed never succeeded. A complete category is worth more than a partial duplicate.</w:t>
      </w:r>
    </w:p>
    <w:p>
      <w:pPr>
        <w:spacing w:after="140" w:line="288"/>
        <w:jc w:val="both"/>
      </w:pPr>
      <w:r>
        <w:rPr>
          <w:b w:val="false"/>
          <w:bCs w:val="false"/>
          <w:i w:val="false"/>
          <w:iCs w:val="false"/>
          <w:sz w:val="21"/>
          <w:szCs w:val="21"/>
        </w:rPr>
        <w:t xml:space="preserve">Fourteen series from the file are set aside on import. They are exchange rates, recognisable by their code, and have no place in a category of products. They remain available in the exchange rate category.</w:t>
      </w:r>
    </w:p>
    <w:p>
      <w:r>
        <w:br w:type="page"/>
      </w:r>
    </w:p>
    <w:p>
      <w:pPr>
        <w:spacing w:after="120" w:before="0"/>
      </w:pPr>
      <w:r>
        <w:rPr>
          <w:color w:val="000000"/>
          <w:sz w:val="26"/>
          <w:szCs w:val="26"/>
        </w:rPr>
        <w:t xml:space="preserve">Chapter 10</w:t>
      </w:r>
    </w:p>
    <w:p>
      <w:pPr>
        <w:pStyle w:val="Heading1"/>
        <w:spacing w:after="260" w:before="0"/>
      </w:pPr>
      <w:r>
        <w:t xml:space="preserve">Methodology</w:t>
      </w:r>
    </w:p>
    <w:p>
      <w:pPr>
        <w:pStyle w:val="Heading2"/>
      </w:pPr>
      <w:r>
        <w:t xml:space="preserve">10.1 Period normalisation</w:t>
      </w:r>
    </w:p>
    <w:p>
      <w:pPr>
        <w:spacing w:after="140" w:line="288"/>
        <w:jc w:val="both"/>
      </w:pPr>
      <w:r>
        <w:rPr>
          <w:b w:val="false"/>
          <w:bCs w:val="false"/>
          <w:i w:val="false"/>
          <w:iCs w:val="false"/>
          <w:sz w:val="21"/>
          <w:szCs w:val="21"/>
        </w:rPr>
        <w:t xml:space="preserve">Every observation is placed on the first day of the period it covers: 1 January for a year, the first day of the quarter, the first day of the month. This convention is what allows series of different frequencies to be overlaid on one chart.</w:t>
      </w:r>
    </w:p>
    <w:p>
      <w:pPr>
        <w:pStyle w:val="Heading2"/>
      </w:pPr>
      <w:r>
        <w:t xml:space="preserve">10.2 Aggregating a monthly series</w:t>
      </w:r>
    </w:p>
    <w:p>
      <w:pPr>
        <w:spacing w:after="140" w:line="288"/>
        <w:jc w:val="both"/>
      </w:pPr>
      <w:r>
        <w:rPr>
          <w:b w:val="false"/>
          <w:bCs w:val="false"/>
          <w:i w:val="false"/>
          <w:iCs w:val="false"/>
          <w:sz w:val="21"/>
          <w:szCs w:val="21"/>
        </w:rPr>
        <w:t xml:space="preserve">Commodity prices are collected monthly and also aggregated into annual averages; otherwise they would share no frequency with annual indicators and could not be compared.</w:t>
      </w:r>
    </w:p>
    <w:p>
      <w:pPr>
        <w:spacing w:after="140" w:line="288"/>
        <w:jc w:val="both"/>
      </w:pPr>
      <w:r>
        <w:rPr>
          <w:b w:val="false"/>
          <w:bCs w:val="false"/>
          <w:i w:val="false"/>
          <w:iCs w:val="false"/>
          <w:sz w:val="21"/>
          <w:szCs w:val="21"/>
        </w:rPr>
        <w:t xml:space="preserve">The aggregation used is the arithmetic mean of the months in the year. A price is a period average: summing twelve monthly quotations would produce no interpretable quantity. For a flow, such as monthly exports, the sum would be the rule; the current catalogue holds none.</w:t>
      </w:r>
    </w:p>
    <w:p>
      <w:pPr>
        <w:pStyle w:val="Heading2"/>
      </w:pPr>
      <w:r>
        <w:t xml:space="preserve">10.3 Rebasing to 100</w:t>
      </w:r>
    </w:p>
    <w:p>
      <w:pPr>
        <w:spacing w:after="140" w:line="288"/>
        <w:jc w:val="both"/>
      </w:pPr>
      <w:r>
        <w:rPr>
          <w:b w:val="false"/>
          <w:bCs w:val="false"/>
          <w:i w:val="false"/>
          <w:iCs w:val="false"/>
          <w:sz w:val="21"/>
          <w:szCs w:val="21"/>
        </w:rPr>
        <w:t xml:space="preserve">Each series is divided by its first non-missing observation within the displayed period, then multiplied by one hundred. A series whose first value is zero or missing is dropped from the chart rather than producing infinite values that would flatten the other curves.</w:t>
      </w:r>
    </w:p>
    <w:p>
      <w:pPr>
        <w:pStyle w:val="Heading2"/>
      </w:pPr>
      <w:r>
        <w:t xml:space="preserve">10.4 Projections</w:t>
      </w:r>
    </w:p>
    <w:p>
      <w:pPr>
        <w:spacing w:after="140" w:line="288"/>
        <w:jc w:val="both"/>
      </w:pPr>
      <w:r>
        <w:rPr>
          <w:b w:val="false"/>
          <w:bCs w:val="false"/>
          <w:i w:val="false"/>
          <w:iCs w:val="false"/>
          <w:sz w:val="21"/>
          <w:szCs w:val="21"/>
        </w:rPr>
        <w:t xml:space="preserve">All three methods rely solely on the annual observations available for the chosen country.</w:t>
      </w:r>
    </w:p>
    <w:p>
      <w:pPr>
        <w:spacing w:after="140" w:line="288"/>
        <w:jc w:val="both"/>
      </w:pPr>
      <w:r>
        <w:rPr>
          <w:b w:val="false"/>
          <w:bCs w:val="false"/>
          <w:i w:val="false"/>
          <w:iCs w:val="false"/>
          <w:sz w:val="21"/>
          <w:szCs w:val="21"/>
        </w:rPr>
        <w:t xml:space="preserve">The linear trend fits a straight line by ordinary least squares and extends it. The interval is built from the standard deviation of the residuals.</w:t>
      </w:r>
    </w:p>
    <w:p>
      <w:pPr>
        <w:spacing w:after="140" w:line="288"/>
        <w:jc w:val="both"/>
      </w:pPr>
      <w:r>
        <w:rPr>
          <w:b w:val="false"/>
          <w:bCs w:val="false"/>
          <w:i w:val="false"/>
          <w:iCs w:val="false"/>
          <w:sz w:val="21"/>
          <w:szCs w:val="21"/>
        </w:rPr>
        <w:t xml:space="preserve">The random walk with drift takes the mean change over the last five periods and adds it to the last observed value, once per horizon step. Uncertainty grows with the square root of the horizon, reflecting the accumulation of successive errors.</w:t>
      </w:r>
    </w:p>
    <w:p>
      <w:pPr>
        <w:spacing w:after="140" w:line="288"/>
        <w:jc w:val="both"/>
      </w:pPr>
      <w:r>
        <w:rPr>
          <w:b w:val="false"/>
          <w:bCs w:val="false"/>
          <w:i w:val="false"/>
          <w:iCs w:val="false"/>
          <w:sz w:val="21"/>
          <w:szCs w:val="21"/>
        </w:rPr>
        <w:t xml:space="preserve">Holt smoothing updates a level and a trend at each period, each weighted between the new observation and the previous extrapolation. It therefore reacts faster to recent turning points than the linear trend.</w:t>
      </w:r>
    </w:p>
    <w:p>
      <w:pPr>
        <w:pStyle w:val="Heading2"/>
      </w:pPr>
      <w:r>
        <w:t xml:space="preserve">10.5 Map scale</w:t>
      </w:r>
    </w:p>
    <w:p>
      <w:pPr>
        <w:spacing w:after="140" w:line="288"/>
        <w:jc w:val="both"/>
      </w:pPr>
      <w:r>
        <w:rPr>
          <w:b w:val="false"/>
          <w:bCs w:val="false"/>
          <w:i w:val="false"/>
          <w:iCs w:val="false"/>
          <w:sz w:val="21"/>
          <w:szCs w:val="21"/>
        </w:rPr>
        <w:t xml:space="preserve">The colour bounds are the 2nd and 98th percentiles of the value distribution for the displayed year, aggregates excluded. Values beyond take the extreme shade without stretching the scale.</w:t>
      </w:r>
    </w:p>
    <w:p>
      <w:pPr>
        <w:pStyle w:val="Heading2"/>
      </w:pPr>
      <w:r>
        <w:t xml:space="preserve">10.6 Missing values</w:t>
      </w:r>
    </w:p>
    <w:p>
      <w:pPr>
        <w:spacing w:after="140" w:line="288"/>
        <w:jc w:val="both"/>
      </w:pPr>
      <w:r>
        <w:rPr>
          <w:b w:val="false"/>
          <w:bCs w:val="false"/>
          <w:i w:val="false"/>
          <w:iCs w:val="false"/>
          <w:sz w:val="21"/>
          <w:szCs w:val="21"/>
        </w:rPr>
        <w:t xml:space="preserve">A missing value is never stored. The absence of a row means absence of data, never zero. Providers nonetheless return a row for every country-period pair, including where there is no data: on an indicator with sparse coverage, more than nine tenths of the volume would be empty rows.</w:t>
      </w:r>
    </w:p>
    <w:p>
      <w:pPr>
        <w:spacing w:after="140" w:line="288"/>
        <w:jc w:val="both"/>
      </w:pPr>
      <w:r>
        <w:rPr>
          <w:b w:val="false"/>
          <w:bCs w:val="false"/>
          <w:i w:val="false"/>
          <w:iCs w:val="false"/>
          <w:sz w:val="21"/>
          <w:szCs w:val="21"/>
        </w:rPr>
        <w:t xml:space="preserve">As a result, a series with gaps is drawn as a dashed line with visible points, and never interpolated.</w:t>
      </w:r>
    </w:p>
    <w:p>
      <w:r>
        <w:br w:type="page"/>
      </w:r>
    </w:p>
    <w:p>
      <w:pPr>
        <w:spacing w:after="120" w:before="0"/>
      </w:pPr>
      <w:r>
        <w:rPr>
          <w:color w:val="000000"/>
          <w:sz w:val="26"/>
          <w:szCs w:val="26"/>
        </w:rPr>
        <w:t xml:space="preserve">Chapter 11</w:t>
      </w:r>
    </w:p>
    <w:p>
      <w:pPr>
        <w:pStyle w:val="Heading1"/>
        <w:spacing w:after="260" w:before="0"/>
      </w:pPr>
      <w:r>
        <w:t xml:space="preserve">Limitations and points to watch</w:t>
      </w:r>
    </w:p>
    <w:p>
      <w:pPr>
        <w:pStyle w:val="Heading2"/>
      </w:pPr>
      <w:r>
        <w:t xml:space="preserve">11.1 Country coding</w:t>
      </w:r>
    </w:p>
    <w:p>
      <w:pPr>
        <w:spacing w:after="140" w:line="288"/>
        <w:jc w:val="both"/>
      </w:pPr>
      <w:r>
        <w:rPr>
          <w:b w:val="false"/>
          <w:bCs w:val="false"/>
          <w:i w:val="false"/>
          <w:iCs w:val="false"/>
          <w:sz w:val="21"/>
          <w:szCs w:val="21"/>
        </w:rPr>
        <w:t xml:space="preserve">Providers do not use the same coding. The country table keeps, for each economy, the reference identifier and those specific to each source. Without that mapping, joins would produce incomplete series with no error raised.</w:t>
      </w:r>
    </w:p>
    <w:p>
      <w:pPr>
        <w:pStyle w:val="Heading2"/>
      </w:pPr>
      <w:r>
        <w:t xml:space="preserve">11.2 Revisions</w:t>
      </w:r>
    </w:p>
    <w:p>
      <w:pPr>
        <w:spacing w:after="140" w:line="288"/>
        <w:jc w:val="both"/>
      </w:pPr>
      <w:r>
        <w:rPr>
          <w:b w:val="false"/>
          <w:bCs w:val="false"/>
          <w:i w:val="false"/>
          <w:iCs w:val="false"/>
          <w:sz w:val="21"/>
          <w:szCs w:val="21"/>
        </w:rPr>
        <w:t xml:space="preserve">Macroeconomic data are revised. A 2023 gross domestic product figure collected in January may differ from the same figure collected in June. The platform keeps the latest known value and the collection date, with no vintage history. A published note must therefore carry its retrieval date.</w:t>
      </w:r>
    </w:p>
    <w:p>
      <w:pPr>
        <w:pStyle w:val="Heading2"/>
      </w:pPr>
      <w:r>
        <w:t xml:space="preserve">11.3 Economic complexity</w:t>
      </w:r>
    </w:p>
    <w:p>
      <w:pPr>
        <w:spacing w:after="140" w:line="288"/>
        <w:jc w:val="both"/>
      </w:pPr>
      <w:r>
        <w:rPr>
          <w:b w:val="false"/>
          <w:bCs w:val="false"/>
          <w:i w:val="false"/>
          <w:iCs w:val="false"/>
          <w:sz w:val="21"/>
          <w:szCs w:val="21"/>
        </w:rPr>
        <w:t xml:space="preserve">The Economic Complexity Index is not measured but computed across all countries and products simultaneously. A revision to one large exporter's trade data mechanically shifts every other country's index. Values are therefore not comparable from one Atlas release to the next.</w:t>
      </w:r>
    </w:p>
    <w:p>
      <w:pPr>
        <w:spacing w:after="140" w:line="288"/>
        <w:jc w:val="both"/>
      </w:pPr>
      <w:r>
        <w:rPr>
          <w:b w:val="false"/>
          <w:bCs w:val="false"/>
          <w:i w:val="false"/>
          <w:iCs w:val="false"/>
          <w:sz w:val="21"/>
          <w:szCs w:val="21"/>
        </w:rPr>
        <w:t xml:space="preserve">Furthermore, a year's trade data reach the Atlas only about two years later: the latest available year will always lag the rest of the dashboard by that much.</w:t>
      </w:r>
    </w:p>
    <w:p>
      <w:pPr>
        <w:pStyle w:val="Heading2"/>
      </w:pPr>
      <w:r>
        <w:t xml:space="preserve">11.4 Commodity price units</w:t>
      </w:r>
    </w:p>
    <w:p>
      <w:pPr>
        <w:spacing w:after="140" w:line="288"/>
        <w:jc w:val="both"/>
      </w:pPr>
      <w:r>
        <w:rPr>
          <w:b w:val="false"/>
          <w:bCs w:val="false"/>
          <w:i w:val="false"/>
          <w:iCs w:val="false"/>
          <w:sz w:val="21"/>
          <w:szCs w:val="21"/>
        </w:rPr>
        <w:t xml:space="preserve">They are read directly from the provider's workbook rather than copied. They may therefore differ from other publications: cocoa is quoted per kilogram in the Pink Sheet and per tonne in some sources. Always check the unit shown on the axis before quoting a level.</w:t>
      </w:r>
    </w:p>
    <w:p>
      <w:pPr>
        <w:pStyle w:val="Heading2"/>
      </w:pPr>
      <w:r>
        <w:t xml:space="preserve">11.5 Fine frequencies</w:t>
      </w:r>
    </w:p>
    <w:p>
      <w:pPr>
        <w:spacing w:after="140" w:line="288"/>
        <w:jc w:val="both"/>
      </w:pPr>
      <w:r>
        <w:rPr>
          <w:b w:val="false"/>
          <w:bCs w:val="false"/>
          <w:i w:val="false"/>
          <w:iCs w:val="false"/>
          <w:sz w:val="21"/>
          <w:szCs w:val="21"/>
        </w:rPr>
        <w:t xml:space="preserve">The schema provides for weekly, daily and intraday steps, but no catalogue source feeds them. This is not a limitation of the tool: a quarterly gross domestic product has no daily value. Those steps only make sense for market data, which come from other providers and are often paid.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single" w:color="9A9A9A" w:sz="4"/>
              <w:left w:val="single" w:color="9A9A9A" w:sz="4"/>
              <w:bottom w:val="single" w:color="9A9A9A" w:sz="4"/>
              <w:right w:val="single" w:color="9A9A9A" w:sz="4"/>
            </w:tcBorders>
            <w:shd w:fill="EFEFEF" w:color="auto" w:val="clear"/>
            <w:tcMar>
              <w:top w:type="dxa" w:w="60"/>
              <w:left w:type="dxa" w:w="90"/>
              <w:bottom w:type="dxa" w:w="60"/>
              <w:right w:type="dxa" w:w="90"/>
            </w:tcMar>
          </w:tcPr>
          <w:p>
            <w:pPr>
              <w:spacing w:after="70" w:line="276"/>
              <w:jc w:val="left"/>
            </w:pPr>
            <w:r>
              <w:rPr>
                <w:b/>
                <w:bCs/>
                <w:color w:val="000000"/>
                <w:sz w:val="19"/>
                <w:szCs w:val="19"/>
              </w:rPr>
              <w:t xml:space="preserve">Why almost everything is annual</w:t>
            </w:r>
          </w:p>
          <w:p>
            <w:pPr>
              <w:spacing w:after="0" w:line="276"/>
              <w:jc w:val="both"/>
            </w:pPr>
            <w:r>
              <w:rPr>
                <w:b w:val="false"/>
                <w:bCs w:val="false"/>
                <w:color w:val="000000"/>
                <w:sz w:val="19"/>
                <w:szCs w:val="19"/>
              </w:rPr>
              <w:t xml:space="preserve">The World Bank, which supplies most of the active indicators, publishes annual data only. The only monthly series in the catalogue are commodity prices. If the frequency filter offers nothing but Annual, that is not a fault: no sub-annual series has been collected.</w:t>
            </w:r>
          </w:p>
        </w:tc>
      </w:tr>
    </w:tbl>
    <w:p>
      <w:pPr>
        <w:spacing w:after="200" w:line="288"/>
        <w:jc w:val="both"/>
      </w:pPr>
      <w:r>
        <w:rPr>
          <w:b w:val="false"/>
          <w:bCs w:val="false"/>
          <w:i w:val="false"/>
          <w:iCs w:val="false"/>
          <w:sz w:val="21"/>
          <w:szCs w:val="21"/>
        </w:rPr>
        <w:t xml:space="preserve"/>
      </w:r>
    </w:p>
    <w:p>
      <w:r>
        <w:br w:type="page"/>
      </w:r>
    </w:p>
    <w:p>
      <w:pPr>
        <w:spacing w:after="120" w:before="0"/>
      </w:pPr>
      <w:r>
        <w:rPr>
          <w:color w:val="000000"/>
          <w:sz w:val="26"/>
          <w:szCs w:val="26"/>
        </w:rPr>
        <w:t xml:space="preserve">Chapter 12</w:t>
      </w:r>
    </w:p>
    <w:p>
      <w:pPr>
        <w:pStyle w:val="Heading1"/>
        <w:spacing w:after="260" w:before="0"/>
      </w:pPr>
      <w:r>
        <w:t xml:space="preserve">Quick operating guide</w:t>
      </w:r>
    </w:p>
    <w:p>
      <w:pPr>
        <w:pStyle w:val="Heading2"/>
      </w:pPr>
      <w:r>
        <w:t xml:space="preserve">12.1 Consulting an indicator</w:t>
      </w:r>
    </w:p>
    <w:p>
      <w:pPr>
        <w:pStyle w:val="ListParagraph"/>
        <w:numPr>
          <w:ilvl w:val="0"/>
          <w:numId w:val="2"/>
        </w:numPr>
        <w:spacing w:after="90" w:line="288"/>
        <w:jc w:val="both"/>
      </w:pPr>
      <w:r>
        <w:rPr>
          <w:sz w:val="21"/>
          <w:szCs w:val="21"/>
        </w:rPr>
        <w:t xml:space="preserve">Open the Dashboard tab.</w:t>
      </w:r>
    </w:p>
    <w:p>
      <w:pPr>
        <w:pStyle w:val="ListParagraph"/>
        <w:numPr>
          <w:ilvl w:val="0"/>
          <w:numId w:val="2"/>
        </w:numPr>
        <w:spacing w:after="90" w:line="288"/>
        <w:jc w:val="both"/>
      </w:pPr>
      <w:r>
        <w:rPr>
          <w:sz w:val="21"/>
          <w:szCs w:val="21"/>
        </w:rPr>
        <w:t xml:space="preserve">Choose the category in the first panel.</w:t>
      </w:r>
    </w:p>
    <w:p>
      <w:pPr>
        <w:pStyle w:val="ListParagraph"/>
        <w:numPr>
          <w:ilvl w:val="0"/>
          <w:numId w:val="2"/>
        </w:numPr>
        <w:spacing w:after="90" w:line="288"/>
        <w:jc w:val="both"/>
      </w:pPr>
      <w:r>
        <w:rPr>
          <w:sz w:val="21"/>
          <w:szCs w:val="21"/>
        </w:rPr>
        <w:t xml:space="preserve">Select one or more indicators.</w:t>
      </w:r>
    </w:p>
    <w:p>
      <w:pPr>
        <w:pStyle w:val="ListParagraph"/>
        <w:numPr>
          <w:ilvl w:val="0"/>
          <w:numId w:val="2"/>
        </w:numPr>
        <w:spacing w:after="90" w:line="288"/>
        <w:jc w:val="both"/>
      </w:pPr>
      <w:r>
        <w:rPr>
          <w:sz w:val="21"/>
          <w:szCs w:val="21"/>
        </w:rPr>
        <w:t xml:space="preserve">Check the frequency offered and adjust the period.</w:t>
      </w:r>
    </w:p>
    <w:p>
      <w:pPr>
        <w:pStyle w:val="ListParagraph"/>
        <w:numPr>
          <w:ilvl w:val="0"/>
          <w:numId w:val="2"/>
        </w:numPr>
        <w:spacing w:after="90" w:line="288"/>
        <w:jc w:val="both"/>
      </w:pPr>
      <w:r>
        <w:rPr>
          <w:sz w:val="21"/>
          <w:szCs w:val="21"/>
        </w:rPr>
        <w:t xml:space="preserve">Choose the countries.</w:t>
      </w:r>
    </w:p>
    <w:p>
      <w:pPr>
        <w:pStyle w:val="ListParagraph"/>
        <w:numPr>
          <w:ilvl w:val="0"/>
          <w:numId w:val="2"/>
        </w:numPr>
        <w:spacing w:after="90" w:line="288"/>
        <w:jc w:val="both"/>
      </w:pPr>
      <w:r>
        <w:rPr>
          <w:sz w:val="21"/>
          <w:szCs w:val="21"/>
        </w:rPr>
        <w:t xml:space="preserve">Click Apply filter.</w:t>
      </w:r>
    </w:p>
    <w:p>
      <w:pPr>
        <w:pStyle w:val="ListParagraph"/>
        <w:numPr>
          <w:ilvl w:val="0"/>
          <w:numId w:val="2"/>
        </w:numPr>
        <w:spacing w:after="90" w:line="288"/>
        <w:jc w:val="both"/>
      </w:pPr>
      <w:r>
        <w:rPr>
          <w:sz w:val="21"/>
          <w:szCs w:val="21"/>
        </w:rPr>
        <w:t xml:space="preserve">Read the chart, then the map below.</w:t>
      </w:r>
    </w:p>
    <w:p>
      <w:pPr>
        <w:pStyle w:val="ListParagraph"/>
        <w:numPr>
          <w:ilvl w:val="0"/>
          <w:numId w:val="2"/>
        </w:numPr>
        <w:spacing w:after="90" w:line="288"/>
        <w:jc w:val="both"/>
      </w:pPr>
      <w:r>
        <w:rPr>
          <w:sz w:val="21"/>
          <w:szCs w:val="21"/>
        </w:rPr>
        <w:t xml:space="preserve">Click a country on the map to open its profile.</w:t>
      </w:r>
    </w:p>
    <w:p>
      <w:pPr>
        <w:pStyle w:val="ListParagraph"/>
        <w:numPr>
          <w:ilvl w:val="0"/>
          <w:numId w:val="2"/>
        </w:numPr>
        <w:spacing w:after="90" w:line="288"/>
        <w:jc w:val="both"/>
      </w:pPr>
      <w:r>
        <w:rPr>
          <w:sz w:val="21"/>
          <w:szCs w:val="21"/>
        </w:rPr>
        <w:t xml:space="preserve">Export as an image or a spreadsheet.</w:t>
      </w:r>
    </w:p>
    <w:p>
      <w:pPr>
        <w:pStyle w:val="Heading2"/>
      </w:pPr>
      <w:r>
        <w:t xml:space="preserve">12.2 Comparing several indicators</w:t>
      </w:r>
    </w:p>
    <w:p>
      <w:pPr>
        <w:pStyle w:val="ListParagraph"/>
        <w:numPr>
          <w:ilvl w:val="0"/>
          <w:numId w:val="2"/>
        </w:numPr>
        <w:spacing w:after="90" w:line="288"/>
        <w:jc w:val="both"/>
      </w:pPr>
      <w:r>
        <w:rPr>
          <w:sz w:val="21"/>
          <w:szCs w:val="21"/>
        </w:rPr>
        <w:t xml:space="preserve">Build a first selection and apply it.</w:t>
      </w:r>
    </w:p>
    <w:p>
      <w:pPr>
        <w:pStyle w:val="ListParagraph"/>
        <w:numPr>
          <w:ilvl w:val="0"/>
          <w:numId w:val="2"/>
        </w:numPr>
        <w:spacing w:after="90" w:line="288"/>
        <w:jc w:val="both"/>
      </w:pPr>
      <w:r>
        <w:rPr>
          <w:sz w:val="21"/>
          <w:szCs w:val="21"/>
        </w:rPr>
        <w:t xml:space="preserve">Change category and build a second selection.</w:t>
      </w:r>
    </w:p>
    <w:p>
      <w:pPr>
        <w:pStyle w:val="ListParagraph"/>
        <w:numPr>
          <w:ilvl w:val="0"/>
          <w:numId w:val="2"/>
        </w:numPr>
        <w:spacing w:after="90" w:line="288"/>
        <w:jc w:val="both"/>
      </w:pPr>
      <w:r>
        <w:rPr>
          <w:sz w:val="21"/>
          <w:szCs w:val="21"/>
        </w:rPr>
        <w:t xml:space="preserve">Click Add to chart.</w:t>
      </w:r>
    </w:p>
    <w:p>
      <w:pPr>
        <w:pStyle w:val="ListParagraph"/>
        <w:numPr>
          <w:ilvl w:val="0"/>
          <w:numId w:val="2"/>
        </w:numPr>
        <w:spacing w:after="90" w:line="288"/>
        <w:jc w:val="both"/>
      </w:pPr>
      <w:r>
        <w:rPr>
          <w:sz w:val="21"/>
          <w:szCs w:val="21"/>
        </w:rPr>
        <w:t xml:space="preserve">Check the unit on the axis: if units differ, base 100 is imposed.</w:t>
      </w:r>
    </w:p>
    <w:p>
      <w:pPr>
        <w:pStyle w:val="ListParagraph"/>
        <w:numPr>
          <w:ilvl w:val="0"/>
          <w:numId w:val="2"/>
        </w:numPr>
        <w:spacing w:after="90" w:line="288"/>
        <w:jc w:val="both"/>
      </w:pPr>
      <w:r>
        <w:rPr>
          <w:sz w:val="21"/>
          <w:szCs w:val="21"/>
        </w:rPr>
        <w:t xml:space="preserve">Remove a series with one click on the cross of its chip.</w:t>
      </w:r>
    </w:p>
    <w:p>
      <w:pPr>
        <w:pStyle w:val="Heading2"/>
      </w:pPr>
      <w:r>
        <w:t xml:space="preserve">12.3 Updating the data</w:t>
      </w:r>
    </w:p>
    <w:p>
      <w:pPr>
        <w:pStyle w:val="ListParagraph"/>
        <w:numPr>
          <w:ilvl w:val="0"/>
          <w:numId w:val="2"/>
        </w:numPr>
        <w:spacing w:after="90" w:line="288"/>
        <w:jc w:val="both"/>
      </w:pPr>
      <w:r>
        <w:rPr>
          <w:sz w:val="21"/>
          <w:szCs w:val="21"/>
        </w:rPr>
        <w:t xml:space="preserve">Open the Data collection tab.</w:t>
      </w:r>
    </w:p>
    <w:p>
      <w:pPr>
        <w:pStyle w:val="ListParagraph"/>
        <w:numPr>
          <w:ilvl w:val="0"/>
          <w:numId w:val="2"/>
        </w:numPr>
        <w:spacing w:after="90" w:line="288"/>
        <w:jc w:val="both"/>
      </w:pPr>
      <w:r>
        <w:rPr>
          <w:sz w:val="21"/>
          <w:szCs w:val="21"/>
        </w:rPr>
        <w:t xml:space="preserve">Choose the scope, preferably one category.</w:t>
      </w:r>
    </w:p>
    <w:p>
      <w:pPr>
        <w:pStyle w:val="ListParagraph"/>
        <w:numPr>
          <w:ilvl w:val="0"/>
          <w:numId w:val="2"/>
        </w:numPr>
        <w:spacing w:after="90" w:line="288"/>
        <w:jc w:val="both"/>
      </w:pPr>
      <w:r>
        <w:rPr>
          <w:sz w:val="21"/>
          <w:szCs w:val="21"/>
        </w:rPr>
        <w:t xml:space="preserve">Click Refresh and let the run finish.</w:t>
      </w:r>
    </w:p>
    <w:p>
      <w:pPr>
        <w:pStyle w:val="ListParagraph"/>
        <w:numPr>
          <w:ilvl w:val="0"/>
          <w:numId w:val="2"/>
        </w:numPr>
        <w:spacing w:after="90" w:line="288"/>
        <w:jc w:val="both"/>
      </w:pPr>
      <w:r>
        <w:rPr>
          <w:sz w:val="21"/>
          <w:szCs w:val="21"/>
        </w:rPr>
        <w:t xml:space="preserve">Read the line added to the log, especially the errors column.</w:t>
      </w:r>
    </w:p>
    <w:p>
      <w:pPr>
        <w:pStyle w:val="ListParagraph"/>
        <w:numPr>
          <w:ilvl w:val="0"/>
          <w:numId w:val="2"/>
        </w:numPr>
        <w:spacing w:after="90" w:line="288"/>
        <w:jc w:val="both"/>
      </w:pPr>
      <w:r>
        <w:rPr>
          <w:sz w:val="21"/>
          <w:szCs w:val="21"/>
        </w:rPr>
        <w:t xml:space="preserve">Return to the dashboard and check that the period has extended.</w:t>
      </w:r>
    </w:p>
    <w:p>
      <w:r>
        <w:br w:type="page"/>
      </w:r>
    </w:p>
    <w:p>
      <w:pPr>
        <w:spacing w:after="120" w:before="0"/>
      </w:pPr>
      <w:r>
        <w:rPr>
          <w:color w:val="000000"/>
          <w:sz w:val="26"/>
          <w:szCs w:val="26"/>
        </w:rPr>
        <w:t xml:space="preserve">Chapter 13</w:t>
      </w:r>
    </w:p>
    <w:p>
      <w:pPr>
        <w:pStyle w:val="Heading1"/>
        <w:spacing w:after="260" w:before="0"/>
      </w:pPr>
      <w:r>
        <w:t xml:space="preserve">Frequently asked questions</w:t>
      </w:r>
    </w:p>
    <w:p>
      <w:pPr>
        <w:pStyle w:val="Heading2"/>
      </w:pPr>
      <w:r>
        <w:t xml:space="preserve">13.1 The filter only offers annual frequency</w:t>
      </w:r>
    </w:p>
    <w:p>
      <w:pPr>
        <w:spacing w:after="140" w:line="288"/>
        <w:jc w:val="both"/>
      </w:pPr>
      <w:r>
        <w:rPr>
          <w:b w:val="false"/>
          <w:bCs w:val="false"/>
          <w:i w:val="false"/>
          <w:iCs w:val="false"/>
          <w:sz w:val="21"/>
          <w:szCs w:val="21"/>
        </w:rPr>
        <w:t xml:space="preserve">That is the normal case for most indicators: the World Bank publishes annual data only. Only commodity prices exist monthly.</w:t>
      </w:r>
    </w:p>
    <w:p>
      <w:pPr>
        <w:pStyle w:val="Heading2"/>
      </w:pPr>
      <w:r>
        <w:t xml:space="preserve">13.2 An indicator is marked as not collected</w:t>
      </w:r>
    </w:p>
    <w:p>
      <w:pPr>
        <w:spacing w:after="140" w:line="288"/>
        <w:jc w:val="both"/>
      </w:pPr>
      <w:r>
        <w:rPr>
          <w:b w:val="false"/>
          <w:bCs w:val="false"/>
          <w:i w:val="false"/>
          <w:iCs w:val="false"/>
          <w:sz w:val="21"/>
          <w:szCs w:val="21"/>
        </w:rPr>
        <w:t xml:space="preserve">It is in the catalogue but has never been retrieved. Run a collection on its category from the Data collection tab.</w:t>
      </w:r>
    </w:p>
    <w:p>
      <w:pPr>
        <w:pStyle w:val="Heading2"/>
      </w:pPr>
      <w:r>
        <w:t xml:space="preserve">13.3 The chart is empty although the indicator is collected</w:t>
      </w:r>
    </w:p>
    <w:p>
      <w:pPr>
        <w:spacing w:after="140" w:line="288"/>
        <w:jc w:val="both"/>
      </w:pPr>
      <w:r>
        <w:rPr>
          <w:b w:val="false"/>
          <w:bCs w:val="false"/>
          <w:i w:val="false"/>
          <w:iCs w:val="false"/>
          <w:sz w:val="21"/>
          <w:szCs w:val="21"/>
        </w:rPr>
        <w:t xml:space="preserve">Widen the period, or check that the selected countries are populated for that indicator. Coverage varies a great deal: a poverty indicator may exist for only three years out of sixty in a given country.</w:t>
      </w:r>
    </w:p>
    <w:p>
      <w:pPr>
        <w:pStyle w:val="Heading2"/>
      </w:pPr>
      <w:r>
        <w:t xml:space="preserve">13.4 The map stays grey for many countries</w:t>
      </w:r>
    </w:p>
    <w:p>
      <w:pPr>
        <w:spacing w:after="140" w:line="288"/>
        <w:jc w:val="both"/>
      </w:pPr>
      <w:r>
        <w:rPr>
          <w:b w:val="false"/>
          <w:bCs w:val="false"/>
          <w:i w:val="false"/>
          <w:iCs w:val="false"/>
          <w:sz w:val="21"/>
          <w:szCs w:val="21"/>
        </w:rPr>
        <w:t xml:space="preserve">Those countries have no value for the displayed year. Move the slider to an earlier year: coverage is often better a few years back than for the most recent year.</w:t>
      </w:r>
    </w:p>
    <w:p>
      <w:pPr>
        <w:pStyle w:val="Heading2"/>
      </w:pPr>
      <w:r>
        <w:t xml:space="preserve">13.5 Can a value be edited</w:t>
      </w:r>
    </w:p>
    <w:p>
      <w:pPr>
        <w:spacing w:after="140" w:line="288"/>
        <w:jc w:val="both"/>
      </w:pPr>
      <w:r>
        <w:rPr>
          <w:b w:val="false"/>
          <w:bCs w:val="false"/>
          <w:i w:val="false"/>
          <w:iCs w:val="false"/>
          <w:sz w:val="21"/>
          <w:szCs w:val="21"/>
        </w:rPr>
        <w:t xml:space="preserve">No. The platform is read-only for the user. An erroneous value is the provider's responsibility and should be reported to them.</w:t>
      </w:r>
    </w:p>
    <w:p>
      <w:pPr>
        <w:pStyle w:val="Heading2"/>
      </w:pPr>
      <w:r>
        <w:t xml:space="preserve">13.6 Do the projections commit the ministry</w:t>
      </w:r>
    </w:p>
    <w:p>
      <w:pPr>
        <w:spacing w:after="140" w:line="288"/>
        <w:jc w:val="both"/>
      </w:pPr>
      <w:r>
        <w:rPr>
          <w:b w:val="false"/>
          <w:bCs w:val="false"/>
          <w:i w:val="false"/>
          <w:iCs w:val="false"/>
          <w:sz w:val="21"/>
          <w:szCs w:val="21"/>
        </w:rPr>
        <w:t xml:space="preserve">No. They are statistical extensions of the observed series, with no policy assumption. They must not be circulated as an institutional forecast.</w:t>
      </w:r>
    </w:p>
    <w:p>
      <w:pPr>
        <w:pStyle w:val="Heading2"/>
      </w:pPr>
      <w:r>
        <w:t xml:space="preserve">13.7 A pie chart shows a warning</w:t>
      </w:r>
    </w:p>
    <w:p>
      <w:pPr>
        <w:spacing w:after="140" w:line="288"/>
        <w:jc w:val="both"/>
      </w:pPr>
      <w:r>
        <w:rPr>
          <w:b w:val="false"/>
          <w:bCs w:val="false"/>
          <w:i w:val="false"/>
          <w:iCs w:val="false"/>
          <w:sz w:val="21"/>
          <w:szCs w:val="21"/>
        </w:rPr>
        <w:t xml:space="preserve">The series shown are not additive, for instance shares of gross domestic product. The pie total then means nothing. Choose a quantity in levels, or another chart type.</w:t>
      </w:r>
    </w:p>
    <w:p>
      <w:r>
        <w:br w:type="page"/>
      </w:r>
    </w:p>
    <w:p>
      <w:pPr>
        <w:spacing w:after="120" w:before="0"/>
      </w:pPr>
      <w:r>
        <w:rPr>
          <w:color w:val="000000"/>
          <w:sz w:val="26"/>
          <w:szCs w:val="26"/>
        </w:rPr>
        <w:t xml:space="preserve">Appendix A</w:t>
      </w:r>
    </w:p>
    <w:p>
      <w:pPr>
        <w:pStyle w:val="Heading1"/>
        <w:spacing w:after="260" w:before="0"/>
      </w:pPr>
      <w:r>
        <w:t xml:space="preserve">Indicator catalogue</w:t>
      </w:r>
    </w:p>
    <w:p>
      <w:pPr>
        <w:spacing w:after="140" w:line="288"/>
        <w:jc w:val="both"/>
      </w:pPr>
      <w:r>
        <w:rPr>
          <w:b w:val="false"/>
          <w:bCs w:val="false"/>
          <w:i w:val="false"/>
          <w:iCs w:val="false"/>
          <w:sz w:val="21"/>
          <w:szCs w:val="21"/>
        </w:rPr>
        <w:t xml:space="preserve">The tables below list the 313 active indicators by category. The collection code is the one used with the provider: it must not be altered. Unless stated otherwise the frequency is annual; commodity prices are monthly and also aggregated into annual averages.</w:t>
      </w:r>
    </w:p>
    <w:p>
      <w:pPr>
        <w:pStyle w:val="Heading2"/>
      </w:pPr>
      <w:r>
        <w:t xml:space="preserve">C02. Real sector indicators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Indicator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Collection code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General government consumption</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NE.CON.GOVT.ZS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Household final consumption</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NE.CON.PRVT.ZS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GDP per capita growth</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NY.GDP.PCAP.KD.ZG</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GDP deflator, annual change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NY.GDP.DEFL.KD.ZG</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Exports of goods and services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NE.EXP.GNFS.ZS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Gross capital formation</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NE.GDI.TOTL.ZS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Gross fixed capital formation</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NE.GDI.FTOT.ZS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Imports of goods and services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NE.IMP.GNFS.ZS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Total investment</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NID_NGDP</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GDP, national currency</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NGDP</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Mds LCU</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GDP, US dollars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NGDPD</w:t>
            </w:r>
          </w:p>
        </w:tc>
        <w:tc>
          <w:tcPr>
            <w:tcW w:type="dxa" w:w="2754"/>
            <w:tcMar>
              <w:top w:type="dxa" w:w="24"/>
              <w:left w:type="dxa" w:w="70"/>
              <w:bottom w:type="dxa" w:w="24"/>
              <w:right w:type="dxa" w:w="70"/>
            </w:tcMar>
          </w:tcPr>
          <w:p>
            <w:pPr>
              <w:spacing w:after="0" w:line="200"/>
              <w:jc w:val="left"/>
            </w:pPr>
            <w:r>
              <w:rPr>
                <w:color w:val="000000"/>
                <w:sz w:val="15"/>
                <w:szCs w:val="15"/>
              </w:rPr>
              <w:t xml:space="preserve">Mds USD</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GDP per capita, PPP</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NY.GDP.PCAP.PP.CD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PPA</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GDP per capita, constant prices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NY.GDP.PCAP.KD</w:t>
            </w:r>
          </w:p>
        </w:tc>
        <w:tc>
          <w:tcPr>
            <w:tcW w:type="dxa" w:w="2754"/>
            <w:tcMar>
              <w:top w:type="dxa" w:w="24"/>
              <w:left w:type="dxa" w:w="70"/>
              <w:bottom w:type="dxa" w:w="24"/>
              <w:right w:type="dxa" w:w="70"/>
            </w:tcMar>
          </w:tcPr>
          <w:p>
            <w:pPr>
              <w:spacing w:after="0" w:line="200"/>
              <w:jc w:val="left"/>
            </w:pPr>
            <w:r>
              <w:rPr>
                <w:color w:val="000000"/>
                <w:sz w:val="15"/>
                <w:szCs w:val="15"/>
              </w:rPr>
              <w:t xml:space="preserve">USD constants 2015</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GDP per capita, current prices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NY.GDP.PCAP.CD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GDP, PPP</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PPPGDP</w:t>
            </w:r>
          </w:p>
        </w:tc>
        <w:tc>
          <w:tcPr>
            <w:tcW w:type="dxa" w:w="2754"/>
            <w:tcMar>
              <w:top w:type="dxa" w:w="24"/>
              <w:left w:type="dxa" w:w="70"/>
              <w:bottom w:type="dxa" w:w="24"/>
              <w:right w:type="dxa" w:w="70"/>
            </w:tcMar>
          </w:tcPr>
          <w:p>
            <w:pPr>
              <w:spacing w:after="0" w:line="200"/>
              <w:jc w:val="left"/>
            </w:pPr>
            <w:r>
              <w:rPr>
                <w:color w:val="000000"/>
                <w:sz w:val="15"/>
                <w:szCs w:val="15"/>
              </w:rPr>
              <w:t xml:space="preserve">Mds USD PPA</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Share of world GDP (PPP)</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PPPSH</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GDP, constant prices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NY.GDP.MKTP.KD</w:t>
            </w:r>
          </w:p>
        </w:tc>
        <w:tc>
          <w:tcPr>
            <w:tcW w:type="dxa" w:w="2754"/>
            <w:tcMar>
              <w:top w:type="dxa" w:w="24"/>
              <w:left w:type="dxa" w:w="70"/>
              <w:bottom w:type="dxa" w:w="24"/>
              <w:right w:type="dxa" w:w="70"/>
            </w:tcMar>
          </w:tcPr>
          <w:p>
            <w:pPr>
              <w:spacing w:after="0" w:line="200"/>
              <w:jc w:val="left"/>
            </w:pPr>
            <w:r>
              <w:rPr>
                <w:color w:val="000000"/>
                <w:sz w:val="15"/>
                <w:szCs w:val="15"/>
              </w:rPr>
              <w:t xml:space="preserve">USD constants 2015</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GDP, current prices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NY.GDP.MKTP.CD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GNI per capita, Atlas method</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NY.GNP.PCAP.CD</w:t>
            </w:r>
          </w:p>
        </w:tc>
        <w:tc>
          <w:tcPr>
            <w:tcW w:type="dxa" w:w="2754"/>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GDP growth</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NY.GDP.MKTP.KD.ZG</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Real GDP growth (projections)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NGDP_RPCH</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Agriculture, value added</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NV.AGR.TOTL.ZS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Industry, value added</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NV.IND.TOTL.ZS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Manufacturing, value added</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NV.IND.MANF.ZS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Services, value added</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NV.SRV.TOTL.ZS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Gross domestic savings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NY.GNS.ICTR.ZS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Gross national savings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NGSD_NGDP</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bl>
    <w:p>
      <w:pPr>
        <w:spacing w:after="180" w:before="70"/>
      </w:pPr>
      <w:r>
        <w:rPr>
          <w:i/>
          <w:iCs/>
          <w:color w:val="5C6672"/>
          <w:sz w:val="16"/>
          <w:szCs w:val="16"/>
        </w:rPr>
        <w:t xml:space="preserve">Source: BM · WDI, FMI · WEO</w:t>
      </w:r>
    </w:p>
    <w:p>
      <w:pPr>
        <w:spacing w:after="160" w:line="288"/>
        <w:jc w:val="both"/>
      </w:pPr>
      <w:r>
        <w:rPr>
          <w:b w:val="false"/>
          <w:bCs w:val="false"/>
          <w:i w:val="false"/>
          <w:iCs w:val="false"/>
          <w:sz w:val="21"/>
          <w:szCs w:val="21"/>
        </w:rPr>
        <w:t xml:space="preserve"/>
      </w:r>
    </w:p>
    <w:p>
      <w:pPr>
        <w:pStyle w:val="Heading2"/>
      </w:pPr>
      <w:r>
        <w:t xml:space="preserve">C03. Public finance indicators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Indicator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Collection code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Net lending/borrowing</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GC.NLD.TOTL.GD.ZS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Interest payments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GC.XPN.INTP.RV.ZS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recettes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Military expenditure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MS.MIL.XPND.GD.ZS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Central government expense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GC.XPN.TOTL.GD.ZS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General government expenditure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GGX_NGDP</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Taxes on income and profits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GC.TAX.YPKG.RV.ZS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recettes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Compensation of employees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GC.XPN.COMP.ZS</w:t>
            </w:r>
          </w:p>
        </w:tc>
        <w:tc>
          <w:tcPr>
            <w:tcW w:type="dxa" w:w="2754"/>
            <w:tcMar>
              <w:top w:type="dxa" w:w="24"/>
              <w:left w:type="dxa" w:w="70"/>
              <w:bottom w:type="dxa" w:w="24"/>
              <w:right w:type="dxa" w:w="70"/>
            </w:tcMar>
          </w:tcPr>
          <w:p>
            <w:pPr>
              <w:spacing w:after="0" w:line="200"/>
              <w:jc w:val="left"/>
            </w:pPr>
            <w:r>
              <w:rPr>
                <w:color w:val="000000"/>
                <w:sz w:val="15"/>
                <w:szCs w:val="15"/>
              </w:rPr>
              <w:t xml:space="preserve">% des dépenses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Tax revenue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GC.TAX.TOTL.GD.ZS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Revenue excluding grants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GC.REV.XGRT.GD.ZS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General government revenue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GGR_NGDP</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General government net lending/borrowing</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GGXCNL_NGDP</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General government primary balance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GGXONLB_NGDP</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General government structural balance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GGSB_NPGDP</w:t>
            </w:r>
          </w:p>
        </w:tc>
        <w:tc>
          <w:tcPr>
            <w:tcW w:type="dxa" w:w="2754"/>
            <w:tcMar>
              <w:top w:type="dxa" w:w="24"/>
              <w:left w:type="dxa" w:w="70"/>
              <w:bottom w:type="dxa" w:w="24"/>
              <w:right w:type="dxa" w:w="70"/>
            </w:tcMar>
          </w:tcPr>
          <w:p>
            <w:pPr>
              <w:spacing w:after="0" w:line="200"/>
              <w:jc w:val="left"/>
            </w:pPr>
            <w:r>
              <w:rPr>
                <w:color w:val="000000"/>
                <w:sz w:val="15"/>
                <w:szCs w:val="15"/>
              </w:rPr>
              <w:t xml:space="preserve">% du PIB pot.</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Subsidies and other transfers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GC.XPN.TRFT.ZS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dépenses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Taxes on international trade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GC.TAX.INTT.RV.ZS</w:t>
            </w:r>
          </w:p>
        </w:tc>
        <w:tc>
          <w:tcPr>
            <w:tcW w:type="dxa" w:w="2754"/>
            <w:tcMar>
              <w:top w:type="dxa" w:w="24"/>
              <w:left w:type="dxa" w:w="70"/>
              <w:bottom w:type="dxa" w:w="24"/>
              <w:right w:type="dxa" w:w="70"/>
            </w:tcMar>
          </w:tcPr>
          <w:p>
            <w:pPr>
              <w:spacing w:after="0" w:line="200"/>
              <w:jc w:val="left"/>
            </w:pPr>
            <w:r>
              <w:rPr>
                <w:color w:val="000000"/>
                <w:sz w:val="15"/>
                <w:szCs w:val="15"/>
              </w:rPr>
              <w:t xml:space="preserve">% des recettes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Taxes on goods and services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GC.TAX.GSRV.RV.ZS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recettes</w:t>
            </w:r>
          </w:p>
        </w:tc>
      </w:tr>
    </w:tbl>
    <w:p>
      <w:pPr>
        <w:spacing w:after="180" w:before="70"/>
      </w:pPr>
      <w:r>
        <w:rPr>
          <w:i/>
          <w:iCs/>
          <w:color w:val="5C6672"/>
          <w:sz w:val="16"/>
          <w:szCs w:val="16"/>
        </w:rPr>
        <w:t xml:space="preserve">Source: BM · WDI, FMI · FM</w:t>
      </w:r>
    </w:p>
    <w:p>
      <w:pPr>
        <w:spacing w:after="160" w:line="288"/>
        <w:jc w:val="both"/>
      </w:pPr>
      <w:r>
        <w:rPr>
          <w:b w:val="false"/>
          <w:bCs w:val="false"/>
          <w:i w:val="false"/>
          <w:iCs w:val="false"/>
          <w:sz w:val="21"/>
          <w:szCs w:val="21"/>
        </w:rPr>
        <w:t xml:space="preserve"/>
      </w:r>
    </w:p>
    <w:p>
      <w:pPr>
        <w:pStyle w:val="Heading2"/>
      </w:pPr>
      <w:r>
        <w:t xml:space="preserve">C04. Monetary sector indicators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Indicator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Collection code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Commercial bank branches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FB.CBK.BRCH.P5</w:t>
            </w:r>
          </w:p>
        </w:tc>
        <w:tc>
          <w:tcPr>
            <w:tcW w:type="dxa" w:w="2754"/>
            <w:tcMar>
              <w:top w:type="dxa" w:w="24"/>
              <w:left w:type="dxa" w:w="70"/>
              <w:bottom w:type="dxa" w:w="24"/>
              <w:right w:type="dxa" w:w="70"/>
            </w:tcMar>
          </w:tcPr>
          <w:p>
            <w:pPr>
              <w:spacing w:after="0" w:line="200"/>
              <w:jc w:val="left"/>
            </w:pPr>
            <w:r>
              <w:rPr>
                <w:color w:val="000000"/>
                <w:sz w:val="15"/>
                <w:szCs w:val="15"/>
              </w:rPr>
              <w:t xml:space="preserve">Pour 100 000</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Market capitalization of listed companies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CM.MKT.LCAP.GD.ZS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Account ownership at a financial institution</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FX.OWN.TOTL.ZS</w:t>
            </w:r>
          </w:p>
        </w:tc>
        <w:tc>
          <w:tcPr>
            <w:tcW w:type="dxa" w:w="2754"/>
            <w:tcMar>
              <w:top w:type="dxa" w:w="24"/>
              <w:left w:type="dxa" w:w="70"/>
              <w:bottom w:type="dxa" w:w="24"/>
              <w:right w:type="dxa" w:w="70"/>
            </w:tcMar>
          </w:tcPr>
          <w:p>
            <w:pPr>
              <w:spacing w:after="0" w:line="200"/>
              <w:jc w:val="left"/>
            </w:pPr>
            <w:r>
              <w:rPr>
                <w:color w:val="000000"/>
                <w:sz w:val="15"/>
                <w:szCs w:val="15"/>
              </w:rPr>
              <w:t xml:space="preserve">% de la population</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Broad money growth</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FM.LBL.BMNY.ZG</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annuel</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Domestic credit to private sector by banks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FD.AST.PRVT.GD.ZS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Domestic credit to private sector</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FS.AST.PRVT.GD.ZS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Net domestic credit</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FS.AST.DOMS.GD.ZS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Broad money</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FM.LBL.BMNY.GD.ZS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Bank non-performing loans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FB.AST.NPER.ZS</w:t>
            </w:r>
          </w:p>
        </w:tc>
        <w:tc>
          <w:tcPr>
            <w:tcW w:type="dxa" w:w="2754"/>
            <w:tcMar>
              <w:top w:type="dxa" w:w="24"/>
              <w:left w:type="dxa" w:w="70"/>
              <w:bottom w:type="dxa" w:w="24"/>
              <w:right w:type="dxa" w:w="70"/>
            </w:tcMar>
          </w:tcPr>
          <w:p>
            <w:pPr>
              <w:spacing w:after="0" w:line="200"/>
              <w:jc w:val="left"/>
            </w:pPr>
            <w:r>
              <w:rPr>
                <w:color w:val="000000"/>
                <w:sz w:val="15"/>
                <w:szCs w:val="15"/>
              </w:rPr>
              <w:t xml:space="preserve">% des prêts bruts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Bank capital to assets ratio</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FB.BNK.CAPA.ZS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w:t>
            </w:r>
          </w:p>
        </w:tc>
      </w:tr>
    </w:tbl>
    <w:p>
      <w:pPr>
        <w:spacing w:after="180" w:before="70"/>
      </w:pPr>
      <w:r>
        <w:rPr>
          <w:i/>
          <w:iCs/>
          <w:color w:val="5C6672"/>
          <w:sz w:val="16"/>
          <w:szCs w:val="16"/>
        </w:rPr>
        <w:t xml:space="preserve">Source: BM · WDI, BM · Findex</w:t>
      </w:r>
    </w:p>
    <w:p>
      <w:pPr>
        <w:spacing w:after="160" w:line="288"/>
        <w:jc w:val="both"/>
      </w:pPr>
      <w:r>
        <w:rPr>
          <w:b w:val="false"/>
          <w:bCs w:val="false"/>
          <w:i w:val="false"/>
          <w:iCs w:val="false"/>
          <w:sz w:val="21"/>
          <w:szCs w:val="21"/>
        </w:rPr>
        <w:t xml:space="preserve"/>
      </w:r>
    </w:p>
    <w:p>
      <w:pPr>
        <w:pStyle w:val="Heading2"/>
      </w:pPr>
      <w:r>
        <w:t xml:space="preserve">C05. External sector indicators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Indicator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Collection code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Net official development assistance received</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DT.ODA.ODAT.GN.ZS</w:t>
            </w:r>
          </w:p>
        </w:tc>
        <w:tc>
          <w:tcPr>
            <w:tcW w:type="dxa" w:w="2754"/>
            <w:tcMar>
              <w:top w:type="dxa" w:w="24"/>
              <w:left w:type="dxa" w:w="70"/>
              <w:bottom w:type="dxa" w:w="24"/>
              <w:right w:type="dxa" w:w="70"/>
            </w:tcMar>
          </w:tcPr>
          <w:p>
            <w:pPr>
              <w:spacing w:after="0" w:line="200"/>
              <w:jc w:val="left"/>
            </w:pPr>
            <w:r>
              <w:rPr>
                <w:color w:val="000000"/>
                <w:sz w:val="15"/>
                <w:szCs w:val="15"/>
              </w:rPr>
              <w:t xml:space="preserve">% du RNB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Exports of goods and services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BX.GSR.GNFS.CD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Merchandise exports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TX.VAL.MRCH.CD.WT</w:t>
            </w:r>
          </w:p>
        </w:tc>
        <w:tc>
          <w:tcPr>
            <w:tcW w:type="dxa" w:w="2754"/>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Imports of goods and services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BM.GSR.GNFS.CD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Merchandise imports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TM.VAL.MRCH.CD.WT</w:t>
            </w:r>
          </w:p>
        </w:tc>
        <w:tc>
          <w:tcPr>
            <w:tcW w:type="dxa" w:w="2754"/>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Foreign direct investment, net outflows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BM.KLT.DINV.WD.GD.ZS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Foreign direct investment, net inflows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BX.KLT.DINV.WD.GD.ZS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Foreign direct investment, value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BX.KLT.DINV.CD.WD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Trade openness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NE.TRD.GNFS.ZS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Manufactures exports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TX.VAL.MANF.ZS.UN</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Food exports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TX.VAL.FOOD.ZS.UN</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Total reserves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FI.RES.TOTL.CD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Total reserves in months of imports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FI.RES.TOTL.MO</w:t>
            </w:r>
          </w:p>
        </w:tc>
        <w:tc>
          <w:tcPr>
            <w:tcW w:type="dxa" w:w="2754"/>
            <w:tcMar>
              <w:top w:type="dxa" w:w="24"/>
              <w:left w:type="dxa" w:w="70"/>
              <w:bottom w:type="dxa" w:w="24"/>
              <w:right w:type="dxa" w:w="70"/>
            </w:tcMar>
          </w:tcPr>
          <w:p>
            <w:pPr>
              <w:spacing w:after="0" w:line="200"/>
              <w:jc w:val="left"/>
            </w:pPr>
            <w:r>
              <w:rPr>
                <w:color w:val="000000"/>
                <w:sz w:val="15"/>
                <w:szCs w:val="15"/>
              </w:rPr>
              <w:t xml:space="preserve">Mois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Current account balance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BN.CAB.XOKA.GD.ZS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Current account balance (projections)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BCA_NGDPD</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Current account balance, value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BN.CAB.XOKA.CD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Applied tariff rate, weighted mean</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TM.TAX.MRCH.WM.AR.ZS</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Net barter terms of trade index</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TT.PRI.MRCH.XD.WD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Indice 2015 = 100</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Personal remittances received</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BX.TRF.PWKR.CD.DT</w:t>
            </w:r>
          </w:p>
        </w:tc>
        <w:tc>
          <w:tcPr>
            <w:tcW w:type="dxa" w:w="2754"/>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Personal remittances received</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BX.TRF.PWKR.DT.GD.ZS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bl>
    <w:p>
      <w:pPr>
        <w:spacing w:after="180" w:before="70"/>
      </w:pPr>
      <w:r>
        <w:rPr>
          <w:i/>
          <w:iCs/>
          <w:color w:val="5C6672"/>
          <w:sz w:val="16"/>
          <w:szCs w:val="16"/>
        </w:rPr>
        <w:t xml:space="preserve">Source: BM · WDI, FMI · WEO</w:t>
      </w:r>
    </w:p>
    <w:p>
      <w:pPr>
        <w:spacing w:after="160" w:line="288"/>
        <w:jc w:val="both"/>
      </w:pPr>
      <w:r>
        <w:rPr>
          <w:b w:val="false"/>
          <w:bCs w:val="false"/>
          <w:i w:val="false"/>
          <w:iCs w:val="false"/>
          <w:sz w:val="21"/>
          <w:szCs w:val="21"/>
        </w:rPr>
        <w:t xml:space="preserve"/>
      </w:r>
    </w:p>
    <w:p>
      <w:pPr>
        <w:pStyle w:val="Heading2"/>
      </w:pPr>
      <w:r>
        <w:t xml:space="preserve">C06. Exchange rates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Indicator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Collection code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PPP conversion factor</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PA.NUS.PPP</w:t>
            </w:r>
          </w:p>
        </w:tc>
        <w:tc>
          <w:tcPr>
            <w:tcW w:type="dxa" w:w="2754"/>
            <w:tcMar>
              <w:top w:type="dxa" w:w="24"/>
              <w:left w:type="dxa" w:w="70"/>
              <w:bottom w:type="dxa" w:w="24"/>
              <w:right w:type="dxa" w:w="70"/>
            </w:tcMar>
          </w:tcPr>
          <w:p>
            <w:pPr>
              <w:spacing w:after="0" w:line="200"/>
              <w:jc w:val="left"/>
            </w:pPr>
            <w:r>
              <w:rPr>
                <w:color w:val="000000"/>
                <w:sz w:val="15"/>
                <w:szCs w:val="15"/>
              </w:rPr>
              <w:t xml:space="preserve">LCU / USD int.</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Real effective exchange rate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PX.REX.REER</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Indice 2010 = 100</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Official exchange rate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PA.NUS.FCRF</w:t>
            </w:r>
          </w:p>
        </w:tc>
        <w:tc>
          <w:tcPr>
            <w:tcW w:type="dxa" w:w="2754"/>
            <w:tcMar>
              <w:top w:type="dxa" w:w="24"/>
              <w:left w:type="dxa" w:w="70"/>
              <w:bottom w:type="dxa" w:w="24"/>
              <w:right w:type="dxa" w:w="70"/>
            </w:tcMar>
          </w:tcPr>
          <w:p>
            <w:pPr>
              <w:spacing w:after="0" w:line="200"/>
              <w:jc w:val="left"/>
            </w:pPr>
            <w:r>
              <w:rPr>
                <w:color w:val="000000"/>
                <w:sz w:val="15"/>
                <w:szCs w:val="15"/>
              </w:rPr>
              <w:t xml:space="preserve">LCU / USD</w:t>
            </w:r>
          </w:p>
        </w:tc>
      </w:tr>
    </w:tbl>
    <w:p>
      <w:pPr>
        <w:spacing w:after="180" w:before="70"/>
      </w:pPr>
      <w:r>
        <w:rPr>
          <w:i/>
          <w:iCs/>
          <w:color w:val="5C6672"/>
          <w:sz w:val="16"/>
          <w:szCs w:val="16"/>
        </w:rPr>
        <w:t xml:space="preserve">Source: BM · WDI</w:t>
      </w:r>
    </w:p>
    <w:p>
      <w:pPr>
        <w:spacing w:after="160" w:line="288"/>
        <w:jc w:val="both"/>
      </w:pPr>
      <w:r>
        <w:rPr>
          <w:b w:val="false"/>
          <w:bCs w:val="false"/>
          <w:i w:val="false"/>
          <w:iCs w:val="false"/>
          <w:sz w:val="21"/>
          <w:szCs w:val="21"/>
        </w:rPr>
        <w:t xml:space="preserve"/>
      </w:r>
    </w:p>
    <w:p>
      <w:pPr>
        <w:pStyle w:val="Heading2"/>
      </w:pPr>
      <w:r>
        <w:t xml:space="preserve">C07. Interest rates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Indicator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Collection code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Interest rate spread</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FR.INR.LNDP</w:t>
            </w:r>
          </w:p>
        </w:tc>
        <w:tc>
          <w:tcPr>
            <w:tcW w:type="dxa" w:w="2754"/>
            <w:tcMar>
              <w:top w:type="dxa" w:w="24"/>
              <w:left w:type="dxa" w:w="70"/>
              <w:bottom w:type="dxa" w:w="24"/>
              <w:right w:type="dxa" w:w="70"/>
            </w:tcMar>
          </w:tcPr>
          <w:p>
            <w:pPr>
              <w:spacing w:after="0" w:line="200"/>
              <w:jc w:val="left"/>
            </w:pPr>
            <w:r>
              <w:rPr>
                <w:color w:val="000000"/>
                <w:sz w:val="15"/>
                <w:szCs w:val="15"/>
              </w:rPr>
              <w:t xml:space="preserve">Points de %</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Deposit interest rate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FR.INR.DPST</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Lending interest rate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FR.INR.LEND</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Real interest rate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FR.INR.RINR</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w:t>
            </w:r>
          </w:p>
        </w:tc>
      </w:tr>
    </w:tbl>
    <w:p>
      <w:pPr>
        <w:spacing w:after="180" w:before="70"/>
      </w:pPr>
      <w:r>
        <w:rPr>
          <w:i/>
          <w:iCs/>
          <w:color w:val="5C6672"/>
          <w:sz w:val="16"/>
          <w:szCs w:val="16"/>
        </w:rPr>
        <w:t xml:space="preserve">Source: BM · WDI</w:t>
      </w:r>
    </w:p>
    <w:p>
      <w:pPr>
        <w:spacing w:after="160" w:line="288"/>
        <w:jc w:val="both"/>
      </w:pPr>
      <w:r>
        <w:rPr>
          <w:b w:val="false"/>
          <w:bCs w:val="false"/>
          <w:i w:val="false"/>
          <w:iCs w:val="false"/>
          <w:sz w:val="21"/>
          <w:szCs w:val="21"/>
        </w:rPr>
        <w:t xml:space="preserve"/>
      </w:r>
    </w:p>
    <w:p>
      <w:pPr>
        <w:pStyle w:val="Heading2"/>
      </w:pPr>
      <w:r>
        <w:t xml:space="preserve">C08. Prices and inflation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Indicator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Collection code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GDP deflator</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NY.GDP.DEFL.ZS</w:t>
            </w:r>
          </w:p>
        </w:tc>
        <w:tc>
          <w:tcPr>
            <w:tcW w:type="dxa" w:w="2754"/>
            <w:tcMar>
              <w:top w:type="dxa" w:w="24"/>
              <w:left w:type="dxa" w:w="70"/>
              <w:bottom w:type="dxa" w:w="24"/>
              <w:right w:type="dxa" w:w="70"/>
            </w:tcMar>
          </w:tcPr>
          <w:p>
            <w:pPr>
              <w:spacing w:after="0" w:line="200"/>
              <w:jc w:val="left"/>
            </w:pPr>
            <w:r>
              <w:rPr>
                <w:color w:val="000000"/>
                <w:sz w:val="15"/>
                <w:szCs w:val="15"/>
              </w:rPr>
              <w:t xml:space="preserve">Indice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Consumer price index</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FP.CPI.TOTL</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Indice 2010 = 100</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End-of-period inflation</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PCPIEPCH</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Average consumer price inflation</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PCPIPCH</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Inflation, consumer prices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FP.CPI.TOTL.ZG</w:t>
            </w:r>
          </w:p>
        </w:tc>
        <w:tc>
          <w:tcPr>
            <w:tcW w:type="dxa" w:w="2754"/>
            <w:tcMar>
              <w:top w:type="dxa" w:w="24"/>
              <w:left w:type="dxa" w:w="70"/>
              <w:bottom w:type="dxa" w:w="24"/>
              <w:right w:type="dxa" w:w="70"/>
            </w:tcMar>
          </w:tcPr>
          <w:p>
            <w:pPr>
              <w:spacing w:after="0" w:line="200"/>
              <w:jc w:val="left"/>
            </w:pPr>
            <w:r>
              <w:rPr>
                <w:color w:val="000000"/>
                <w:sz w:val="15"/>
                <w:szCs w:val="15"/>
              </w:rPr>
              <w:t xml:space="preserve">% annuel</w:t>
            </w:r>
          </w:p>
        </w:tc>
      </w:tr>
    </w:tbl>
    <w:p>
      <w:pPr>
        <w:spacing w:after="180" w:before="70"/>
      </w:pPr>
      <w:r>
        <w:rPr>
          <w:i/>
          <w:iCs/>
          <w:color w:val="5C6672"/>
          <w:sz w:val="16"/>
          <w:szCs w:val="16"/>
        </w:rPr>
        <w:t xml:space="preserve">Source: BM · WDI, FMI · WEO</w:t>
      </w:r>
    </w:p>
    <w:p>
      <w:pPr>
        <w:spacing w:after="160" w:line="288"/>
        <w:jc w:val="both"/>
      </w:pPr>
      <w:r>
        <w:rPr>
          <w:b w:val="false"/>
          <w:bCs w:val="false"/>
          <w:i w:val="false"/>
          <w:iCs w:val="false"/>
          <w:sz w:val="21"/>
          <w:szCs w:val="21"/>
        </w:rPr>
        <w:t xml:space="preserve"/>
      </w:r>
    </w:p>
    <w:p>
      <w:pPr>
        <w:pStyle w:val="Heading2"/>
      </w:pPr>
      <w:r>
        <w:t xml:space="preserve">C09. Public and external debt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Indicator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Collection code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General government gross debt</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GGXWDG_NGDP</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Central government debt</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GC.DOD.TOTL.GD.ZS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External debt stocks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DT.DOD.DECT.GN.ZS</w:t>
            </w:r>
          </w:p>
        </w:tc>
        <w:tc>
          <w:tcPr>
            <w:tcW w:type="dxa" w:w="2754"/>
            <w:tcMar>
              <w:top w:type="dxa" w:w="24"/>
              <w:left w:type="dxa" w:w="70"/>
              <w:bottom w:type="dxa" w:w="24"/>
              <w:right w:type="dxa" w:w="70"/>
            </w:tcMar>
          </w:tcPr>
          <w:p>
            <w:pPr>
              <w:spacing w:after="0" w:line="200"/>
              <w:jc w:val="left"/>
            </w:pPr>
            <w:r>
              <w:rPr>
                <w:color w:val="000000"/>
                <w:sz w:val="15"/>
                <w:szCs w:val="15"/>
              </w:rPr>
              <w:t xml:space="preserve">% du RNB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Short-term external debt</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DT.DOD.DSTC.CD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General government net debt</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GGXWDN_NGDP</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Public and publicly guaranteed debt</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DT.DOD.DPPG.CD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Short-term debt to reserves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DT.DOD.DSTC.IR.ZS</w:t>
            </w:r>
          </w:p>
        </w:tc>
        <w:tc>
          <w:tcPr>
            <w:tcW w:type="dxa" w:w="2754"/>
            <w:tcMar>
              <w:top w:type="dxa" w:w="24"/>
              <w:left w:type="dxa" w:w="70"/>
              <w:bottom w:type="dxa" w:w="24"/>
              <w:right w:type="dxa" w:w="70"/>
            </w:tcMar>
          </w:tcPr>
          <w:p>
            <w:pPr>
              <w:spacing w:after="0" w:line="200"/>
              <w:jc w:val="left"/>
            </w:pPr>
            <w:r>
              <w:rPr>
                <w:color w:val="000000"/>
                <w:sz w:val="15"/>
                <w:szCs w:val="15"/>
              </w:rPr>
              <w:t xml:space="preserve">% des réserves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Disbursements on new loans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DT.DIS.DPPG.CD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Average maturity on new commitments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DT.MAT.DPPG</w:t>
            </w:r>
          </w:p>
        </w:tc>
        <w:tc>
          <w:tcPr>
            <w:tcW w:type="dxa" w:w="2754"/>
            <w:tcMar>
              <w:top w:type="dxa" w:w="24"/>
              <w:left w:type="dxa" w:w="70"/>
              <w:bottom w:type="dxa" w:w="24"/>
              <w:right w:type="dxa" w:w="70"/>
            </w:tcMar>
          </w:tcPr>
          <w:p>
            <w:pPr>
              <w:spacing w:after="0" w:line="200"/>
              <w:jc w:val="left"/>
            </w:pPr>
            <w:r>
              <w:rPr>
                <w:color w:val="000000"/>
                <w:sz w:val="15"/>
                <w:szCs w:val="15"/>
              </w:rPr>
              <w:t xml:space="preserve">Années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Total debt service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DT.TDS.DECT.EX.ZS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exportations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Public debt service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DT.TDS.DPPG.GN.ZS</w:t>
            </w:r>
          </w:p>
        </w:tc>
        <w:tc>
          <w:tcPr>
            <w:tcW w:type="dxa" w:w="2754"/>
            <w:tcMar>
              <w:top w:type="dxa" w:w="24"/>
              <w:left w:type="dxa" w:w="70"/>
              <w:bottom w:type="dxa" w:w="24"/>
              <w:right w:type="dxa" w:w="70"/>
            </w:tcMar>
          </w:tcPr>
          <w:p>
            <w:pPr>
              <w:spacing w:after="0" w:line="200"/>
              <w:jc w:val="left"/>
            </w:pPr>
            <w:r>
              <w:rPr>
                <w:color w:val="000000"/>
                <w:sz w:val="15"/>
                <w:szCs w:val="15"/>
              </w:rPr>
              <w:t xml:space="preserve">% du RNB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External debt stocks, total</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DT.DOD.DECT.CD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Average interest on new commitments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DT.INR.DPPG</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Net transfers on debt</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DT.NTR.DECT.CD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Average grant element on new commitments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DT.GRE.DPPG</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bl>
    <w:p>
      <w:pPr>
        <w:spacing w:after="180" w:before="70"/>
      </w:pPr>
      <w:r>
        <w:rPr>
          <w:i/>
          <w:iCs/>
          <w:color w:val="5C6672"/>
          <w:sz w:val="16"/>
          <w:szCs w:val="16"/>
        </w:rPr>
        <w:t xml:space="preserve">Source: FMI · FM, BM · WDI, BM · IDS</w:t>
      </w:r>
    </w:p>
    <w:p>
      <w:pPr>
        <w:spacing w:after="160" w:line="288"/>
        <w:jc w:val="both"/>
      </w:pPr>
      <w:r>
        <w:rPr>
          <w:b w:val="false"/>
          <w:bCs w:val="false"/>
          <w:i w:val="false"/>
          <w:iCs w:val="false"/>
          <w:sz w:val="21"/>
          <w:szCs w:val="21"/>
        </w:rPr>
        <w:t xml:space="preserve"/>
      </w:r>
    </w:p>
    <w:p>
      <w:pPr>
        <w:pStyle w:val="Heading2"/>
      </w:pPr>
      <w:r>
        <w:t xml:space="preserve">C10. Labour market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Indicator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Collection code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Employment in agriculture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SL.AGR.EMPL.ZS</w:t>
            </w:r>
          </w:p>
        </w:tc>
        <w:tc>
          <w:tcPr>
            <w:tcW w:type="dxa" w:w="2754"/>
            <w:tcMar>
              <w:top w:type="dxa" w:w="24"/>
              <w:left w:type="dxa" w:w="70"/>
              <w:bottom w:type="dxa" w:w="24"/>
              <w:right w:type="dxa" w:w="70"/>
            </w:tcMar>
          </w:tcPr>
          <w:p>
            <w:pPr>
              <w:spacing w:after="0" w:line="200"/>
              <w:jc w:val="left"/>
            </w:pPr>
            <w:r>
              <w:rPr>
                <w:color w:val="000000"/>
                <w:sz w:val="15"/>
                <w:szCs w:val="15"/>
              </w:rPr>
              <w:t xml:space="preserve">% de l'emploi total</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Employment in industry</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SL.IND.EMPL.ZS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 l'emploi total</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Employment in services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SL.SRV.EMPL.ZS</w:t>
            </w:r>
          </w:p>
        </w:tc>
        <w:tc>
          <w:tcPr>
            <w:tcW w:type="dxa" w:w="2754"/>
            <w:tcMar>
              <w:top w:type="dxa" w:w="24"/>
              <w:left w:type="dxa" w:w="70"/>
              <w:bottom w:type="dxa" w:w="24"/>
              <w:right w:type="dxa" w:w="70"/>
            </w:tcMar>
          </w:tcPr>
          <w:p>
            <w:pPr>
              <w:spacing w:after="0" w:line="200"/>
              <w:jc w:val="left"/>
            </w:pPr>
            <w:r>
              <w:rPr>
                <w:color w:val="000000"/>
                <w:sz w:val="15"/>
                <w:szCs w:val="15"/>
              </w:rPr>
              <w:t xml:space="preserve">% de l'emploi total</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Wage and salaried workers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SL.EMP.WORK.ZS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 l'emploi total</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Vulnerable employment</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SL.EMP.VULN.ZS</w:t>
            </w:r>
          </w:p>
        </w:tc>
        <w:tc>
          <w:tcPr>
            <w:tcW w:type="dxa" w:w="2754"/>
            <w:tcMar>
              <w:top w:type="dxa" w:w="24"/>
              <w:left w:type="dxa" w:w="70"/>
              <w:bottom w:type="dxa" w:w="24"/>
              <w:right w:type="dxa" w:w="70"/>
            </w:tcMar>
          </w:tcPr>
          <w:p>
            <w:pPr>
              <w:spacing w:after="0" w:line="200"/>
              <w:jc w:val="left"/>
            </w:pPr>
            <w:r>
              <w:rPr>
                <w:color w:val="000000"/>
                <w:sz w:val="15"/>
                <w:szCs w:val="15"/>
              </w:rPr>
              <w:t xml:space="preserve">% de l'emploi total</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Youth not in education, employment or training</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SL.UEM.NEET.ZS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jeunes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GDP per person employed</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SL.GDP.PCAP.EM.KD</w:t>
            </w:r>
          </w:p>
        </w:tc>
        <w:tc>
          <w:tcPr>
            <w:tcW w:type="dxa" w:w="2754"/>
            <w:tcMar>
              <w:top w:type="dxa" w:w="24"/>
              <w:left w:type="dxa" w:w="70"/>
              <w:bottom w:type="dxa" w:w="24"/>
              <w:right w:type="dxa" w:w="70"/>
            </w:tcMar>
          </w:tcPr>
          <w:p>
            <w:pPr>
              <w:spacing w:after="0" w:line="200"/>
              <w:jc w:val="left"/>
            </w:pPr>
            <w:r>
              <w:rPr>
                <w:color w:val="000000"/>
                <w:sz w:val="15"/>
                <w:szCs w:val="15"/>
              </w:rPr>
              <w:t xml:space="preserve">USD PPA 2021</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Labour force, total</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SL.TLF.TOTL.IN</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Personnes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Employment to population ratio</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SL.EMP.TOTL.SP.ZS</w:t>
            </w:r>
          </w:p>
        </w:tc>
        <w:tc>
          <w:tcPr>
            <w:tcW w:type="dxa" w:w="2754"/>
            <w:tcMar>
              <w:top w:type="dxa" w:w="24"/>
              <w:left w:type="dxa" w:w="70"/>
              <w:bottom w:type="dxa" w:w="24"/>
              <w:right w:type="dxa" w:w="70"/>
            </w:tcMar>
          </w:tcPr>
          <w:p>
            <w:pPr>
              <w:spacing w:after="0" w:line="200"/>
              <w:jc w:val="left"/>
            </w:pPr>
            <w:r>
              <w:rPr>
                <w:color w:val="000000"/>
                <w:sz w:val="15"/>
                <w:szCs w:val="15"/>
              </w:rPr>
              <w:t xml:space="preserve">% des 15 ans et +</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Labour force participation rate, female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SL.TLF.CACT.FE.ZS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femmes 15 ans +</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Labour force participation rate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SL.TLF.CACT.ZS</w:t>
            </w:r>
          </w:p>
        </w:tc>
        <w:tc>
          <w:tcPr>
            <w:tcW w:type="dxa" w:w="2754"/>
            <w:tcMar>
              <w:top w:type="dxa" w:w="24"/>
              <w:left w:type="dxa" w:w="70"/>
              <w:bottom w:type="dxa" w:w="24"/>
              <w:right w:type="dxa" w:w="70"/>
            </w:tcMar>
          </w:tcPr>
          <w:p>
            <w:pPr>
              <w:spacing w:after="0" w:line="200"/>
              <w:jc w:val="left"/>
            </w:pPr>
            <w:r>
              <w:rPr>
                <w:color w:val="000000"/>
                <w:sz w:val="15"/>
                <w:szCs w:val="15"/>
              </w:rPr>
              <w:t xml:space="preserve">% des 15 ans et +</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Unemployment, total (national estimate)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SL.UEM.TOTL.NE.ZS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 la pop. active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Unemployment rate (projections)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LUR</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Youth unemployment (15-24)</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SL.UEM.1524.ZS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15-24 ans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Unemployment, total (ILO estimate)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SL.UEM.TOTL.ZS</w:t>
            </w:r>
          </w:p>
        </w:tc>
        <w:tc>
          <w:tcPr>
            <w:tcW w:type="dxa" w:w="2754"/>
            <w:tcMar>
              <w:top w:type="dxa" w:w="24"/>
              <w:left w:type="dxa" w:w="70"/>
              <w:bottom w:type="dxa" w:w="24"/>
              <w:right w:type="dxa" w:w="70"/>
            </w:tcMar>
          </w:tcPr>
          <w:p>
            <w:pPr>
              <w:spacing w:after="0" w:line="200"/>
              <w:jc w:val="left"/>
            </w:pPr>
            <w:r>
              <w:rPr>
                <w:color w:val="000000"/>
                <w:sz w:val="15"/>
                <w:szCs w:val="15"/>
              </w:rPr>
              <w:t xml:space="preserve">% de la pop. active</w:t>
            </w:r>
          </w:p>
        </w:tc>
      </w:tr>
    </w:tbl>
    <w:p>
      <w:pPr>
        <w:spacing w:after="180" w:before="70"/>
      </w:pPr>
      <w:r>
        <w:rPr>
          <w:i/>
          <w:iCs/>
          <w:color w:val="5C6672"/>
          <w:sz w:val="16"/>
          <w:szCs w:val="16"/>
        </w:rPr>
        <w:t xml:space="preserve">Source: BM · WDI, FMI · WEO</w:t>
      </w:r>
    </w:p>
    <w:p>
      <w:pPr>
        <w:spacing w:after="160" w:line="288"/>
        <w:jc w:val="both"/>
      </w:pPr>
      <w:r>
        <w:rPr>
          <w:b w:val="false"/>
          <w:bCs w:val="false"/>
          <w:i w:val="false"/>
          <w:iCs w:val="false"/>
          <w:sz w:val="21"/>
          <w:szCs w:val="21"/>
        </w:rPr>
        <w:t xml:space="preserve"/>
      </w:r>
    </w:p>
    <w:p>
      <w:pPr>
        <w:pStyle w:val="Heading2"/>
      </w:pPr>
      <w:r>
        <w:t xml:space="preserve">C11. Demography and living conditions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Indicator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Collection code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People using at least basic drinking water</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SH.H2O.BASW.ZS</w:t>
            </w:r>
          </w:p>
        </w:tc>
        <w:tc>
          <w:tcPr>
            <w:tcW w:type="dxa" w:w="2754"/>
            <w:tcMar>
              <w:top w:type="dxa" w:w="24"/>
              <w:left w:type="dxa" w:w="70"/>
              <w:bottom w:type="dxa" w:w="24"/>
              <w:right w:type="dxa" w:w="70"/>
            </w:tcMar>
          </w:tcPr>
          <w:p>
            <w:pPr>
              <w:spacing w:after="0" w:line="200"/>
              <w:jc w:val="left"/>
            </w:pPr>
            <w:r>
              <w:rPr>
                <w:color w:val="000000"/>
                <w:sz w:val="15"/>
                <w:szCs w:val="15"/>
              </w:rPr>
              <w:t xml:space="preserve">% de la population</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People using at least basic sanitation</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SH.STA.BASS.ZS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 la population</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Survey mean consumption, bottom 40%</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SI.SPR.PC40</w:t>
            </w:r>
          </w:p>
        </w:tc>
        <w:tc>
          <w:tcPr>
            <w:tcW w:type="dxa" w:w="2754"/>
            <w:tcMar>
              <w:top w:type="dxa" w:w="24"/>
              <w:left w:type="dxa" w:w="70"/>
              <w:bottom w:type="dxa" w:w="24"/>
              <w:right w:type="dxa" w:w="70"/>
            </w:tcMar>
          </w:tcPr>
          <w:p>
            <w:pPr>
              <w:spacing w:after="0" w:line="200"/>
              <w:jc w:val="left"/>
            </w:pPr>
            <w:r>
              <w:rPr>
                <w:color w:val="000000"/>
                <w:sz w:val="15"/>
                <w:szCs w:val="15"/>
              </w:rPr>
              <w:t xml:space="preserve">USD PPA / jour</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Coverage of social protection programmes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per_allsp.cov_pop_tot</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 la population</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Urban population growth</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SP.URB.GROW</w:t>
            </w:r>
          </w:p>
        </w:tc>
        <w:tc>
          <w:tcPr>
            <w:tcW w:type="dxa" w:w="2754"/>
            <w:tcMar>
              <w:top w:type="dxa" w:w="24"/>
              <w:left w:type="dxa" w:w="70"/>
              <w:bottom w:type="dxa" w:w="24"/>
              <w:right w:type="dxa" w:w="70"/>
            </w:tcMar>
          </w:tcPr>
          <w:p>
            <w:pPr>
              <w:spacing w:after="0" w:line="200"/>
              <w:jc w:val="left"/>
            </w:pPr>
            <w:r>
              <w:rPr>
                <w:color w:val="000000"/>
                <w:sz w:val="15"/>
                <w:szCs w:val="15"/>
              </w:rPr>
              <w:t xml:space="preserve">% annuel</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Population growth</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SP.POP.GROW</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annuel</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Population density</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EN.POP.DNST</w:t>
            </w:r>
          </w:p>
        </w:tc>
        <w:tc>
          <w:tcPr>
            <w:tcW w:type="dxa" w:w="2754"/>
            <w:tcMar>
              <w:top w:type="dxa" w:w="24"/>
              <w:left w:type="dxa" w:w="70"/>
              <w:bottom w:type="dxa" w:w="24"/>
              <w:right w:type="dxa" w:w="70"/>
            </w:tcMar>
          </w:tcPr>
          <w:p>
            <w:pPr>
              <w:spacing w:after="0" w:line="200"/>
              <w:jc w:val="left"/>
            </w:pPr>
            <w:r>
              <w:rPr>
                <w:color w:val="000000"/>
                <w:sz w:val="15"/>
                <w:szCs w:val="15"/>
              </w:rPr>
              <w:t xml:space="preserve">Hab. / km²</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Current health expenditure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SH.XPD.CHEX.GD.ZS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Current health expenditure per capita</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SH.XPD.CHEX.PC.CD</w:t>
            </w:r>
          </w:p>
        </w:tc>
        <w:tc>
          <w:tcPr>
            <w:tcW w:type="dxa" w:w="2754"/>
            <w:tcMar>
              <w:top w:type="dxa" w:w="24"/>
              <w:left w:type="dxa" w:w="70"/>
              <w:bottom w:type="dxa" w:w="24"/>
              <w:right w:type="dxa" w:w="70"/>
            </w:tcMar>
          </w:tcPr>
          <w:p>
            <w:pPr>
              <w:spacing w:after="0" w:line="200"/>
              <w:jc w:val="left"/>
            </w:pPr>
            <w:r>
              <w:rPr>
                <w:color w:val="000000"/>
                <w:sz w:val="15"/>
                <w:szCs w:val="15"/>
              </w:rPr>
              <w:t xml:space="preserve">USD courants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Out-of-pocket health expenditure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SH.XPD.OOPC.CH.ZS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dép. de santé</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Government expenditure on education</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SE.XPD.TOTL.GD.ZS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Life expectancy at birth</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SP.DYN.LE00.IN</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Années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Gini index</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SI.POV.GINI</w:t>
            </w:r>
          </w:p>
        </w:tc>
        <w:tc>
          <w:tcPr>
            <w:tcW w:type="dxa" w:w="2754"/>
            <w:tcMar>
              <w:top w:type="dxa" w:w="24"/>
              <w:left w:type="dxa" w:w="70"/>
              <w:bottom w:type="dxa" w:w="24"/>
              <w:right w:type="dxa" w:w="70"/>
            </w:tcMar>
          </w:tcPr>
          <w:p>
            <w:pPr>
              <w:spacing w:after="0" w:line="200"/>
              <w:jc w:val="left"/>
            </w:pPr>
            <w:r>
              <w:rPr>
                <w:color w:val="000000"/>
                <w:sz w:val="15"/>
                <w:szCs w:val="15"/>
              </w:rPr>
              <w:t xml:space="preserve">Indice 0-100</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Human capital index</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HD.HCI.OVRL</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Indice 0-1</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Fertility rate, total</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SP.DYN.TFRT.IN</w:t>
            </w:r>
          </w:p>
        </w:tc>
        <w:tc>
          <w:tcPr>
            <w:tcW w:type="dxa" w:w="2754"/>
            <w:tcMar>
              <w:top w:type="dxa" w:w="24"/>
              <w:left w:type="dxa" w:w="70"/>
              <w:bottom w:type="dxa" w:w="24"/>
              <w:right w:type="dxa" w:w="70"/>
            </w:tcMar>
          </w:tcPr>
          <w:p>
            <w:pPr>
              <w:spacing w:after="0" w:line="200"/>
              <w:jc w:val="left"/>
            </w:pPr>
            <w:r>
              <w:rPr>
                <w:color w:val="000000"/>
                <w:sz w:val="15"/>
                <w:szCs w:val="15"/>
              </w:rPr>
              <w:t xml:space="preserve">Naissances / femme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Net migration</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SM.POP.NETM</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Personnes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Mortality rate, under-5</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SH.DYN.MORT</w:t>
            </w:r>
          </w:p>
        </w:tc>
        <w:tc>
          <w:tcPr>
            <w:tcW w:type="dxa" w:w="2754"/>
            <w:tcMar>
              <w:top w:type="dxa" w:w="24"/>
              <w:left w:type="dxa" w:w="70"/>
              <w:bottom w:type="dxa" w:w="24"/>
              <w:right w:type="dxa" w:w="70"/>
            </w:tcMar>
          </w:tcPr>
          <w:p>
            <w:pPr>
              <w:spacing w:after="0" w:line="200"/>
              <w:jc w:val="left"/>
            </w:pPr>
            <w:r>
              <w:rPr>
                <w:color w:val="000000"/>
                <w:sz w:val="15"/>
                <w:szCs w:val="15"/>
              </w:rPr>
              <w:t xml:space="preserve">Pour 1 000 nais. viv.</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Mortality rate, infant</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SP.DYN.IMRT.IN</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Pour 1 000 nais. viv.</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Physicians per 1,000 people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SH.MED.PHYS.ZS</w:t>
            </w:r>
          </w:p>
        </w:tc>
        <w:tc>
          <w:tcPr>
            <w:tcW w:type="dxa" w:w="2754"/>
            <w:tcMar>
              <w:top w:type="dxa" w:w="24"/>
              <w:left w:type="dxa" w:w="70"/>
              <w:bottom w:type="dxa" w:w="24"/>
              <w:right w:type="dxa" w:w="70"/>
            </w:tcMar>
          </w:tcPr>
          <w:p>
            <w:pPr>
              <w:spacing w:after="0" w:line="200"/>
              <w:jc w:val="left"/>
            </w:pPr>
            <w:r>
              <w:rPr>
                <w:color w:val="000000"/>
                <w:sz w:val="15"/>
                <w:szCs w:val="15"/>
              </w:rPr>
              <w:t xml:space="preserve">Pour 1 000 hab.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Income share held by highest 10%</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SI.DST.10TH.10</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Income share held by lowest 20%</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SI.DST.FRST.20</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Population, total</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SP.POP.TOTL</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Personnes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Urban population</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SP.URB.TOTL.IN.ZS</w:t>
            </w:r>
          </w:p>
        </w:tc>
        <w:tc>
          <w:tcPr>
            <w:tcW w:type="dxa" w:w="2754"/>
            <w:tcMar>
              <w:top w:type="dxa" w:w="24"/>
              <w:left w:type="dxa" w:w="70"/>
              <w:bottom w:type="dxa" w:w="24"/>
              <w:right w:type="dxa" w:w="70"/>
            </w:tcMar>
          </w:tcPr>
          <w:p>
            <w:pPr>
              <w:spacing w:after="0" w:line="200"/>
              <w:jc w:val="left"/>
            </w:pPr>
            <w:r>
              <w:rPr>
                <w:color w:val="000000"/>
                <w:sz w:val="15"/>
                <w:szCs w:val="15"/>
              </w:rPr>
              <w:t xml:space="preserve">% du total</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Population ages 0-14</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SP.POP.0014.TO.ZS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total</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Population ages 15-64</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SP.POP.1564.TO.ZS</w:t>
            </w:r>
          </w:p>
        </w:tc>
        <w:tc>
          <w:tcPr>
            <w:tcW w:type="dxa" w:w="2754"/>
            <w:tcMar>
              <w:top w:type="dxa" w:w="24"/>
              <w:left w:type="dxa" w:w="70"/>
              <w:bottom w:type="dxa" w:w="24"/>
              <w:right w:type="dxa" w:w="70"/>
            </w:tcMar>
          </w:tcPr>
          <w:p>
            <w:pPr>
              <w:spacing w:after="0" w:line="200"/>
              <w:jc w:val="left"/>
            </w:pPr>
            <w:r>
              <w:rPr>
                <w:color w:val="000000"/>
                <w:sz w:val="15"/>
                <w:szCs w:val="15"/>
              </w:rPr>
              <w:t xml:space="preserve">% du total</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Population ages 65 and above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SP.POP.65UP.TO.ZS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total</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Prevalence of undernourishment</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SN.ITK.DEFC.ZS</w:t>
            </w:r>
          </w:p>
        </w:tc>
        <w:tc>
          <w:tcPr>
            <w:tcW w:type="dxa" w:w="2754"/>
            <w:tcMar>
              <w:top w:type="dxa" w:w="24"/>
              <w:left w:type="dxa" w:w="70"/>
              <w:bottom w:type="dxa" w:w="24"/>
              <w:right w:type="dxa" w:w="70"/>
            </w:tcMar>
          </w:tcPr>
          <w:p>
            <w:pPr>
              <w:spacing w:after="0" w:line="200"/>
              <w:jc w:val="left"/>
            </w:pPr>
            <w:r>
              <w:rPr>
                <w:color w:val="000000"/>
                <w:sz w:val="15"/>
                <w:szCs w:val="15"/>
              </w:rPr>
              <w:t xml:space="preserve">% de la population</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Age dependency ratio</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SP.POP.DPND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15-64 ans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Maternal mortality ratio</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SH.STA.MMRT</w:t>
            </w:r>
          </w:p>
        </w:tc>
        <w:tc>
          <w:tcPr>
            <w:tcW w:type="dxa" w:w="2754"/>
            <w:tcMar>
              <w:top w:type="dxa" w:w="24"/>
              <w:left w:type="dxa" w:w="70"/>
              <w:bottom w:type="dxa" w:w="24"/>
              <w:right w:type="dxa" w:w="70"/>
            </w:tcMar>
          </w:tcPr>
          <w:p>
            <w:pPr>
              <w:spacing w:after="0" w:line="200"/>
              <w:jc w:val="left"/>
            </w:pPr>
            <w:r>
              <w:rPr>
                <w:color w:val="000000"/>
                <w:sz w:val="15"/>
                <w:szCs w:val="15"/>
              </w:rPr>
              <w:t xml:space="preserve">Pour 100 000 nais.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Pupil-teacher ratio, primary</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SE.PRM.ENRL.TC.ZS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Ratio</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Prevalence of stunting, under-5</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SH.STA.STNT.ZS</w:t>
            </w:r>
          </w:p>
        </w:tc>
        <w:tc>
          <w:tcPr>
            <w:tcW w:type="dxa" w:w="2754"/>
            <w:tcMar>
              <w:top w:type="dxa" w:w="24"/>
              <w:left w:type="dxa" w:w="70"/>
              <w:bottom w:type="dxa" w:w="24"/>
              <w:right w:type="dxa" w:w="70"/>
            </w:tcMar>
          </w:tcPr>
          <w:p>
            <w:pPr>
              <w:spacing w:after="0" w:line="200"/>
              <w:jc w:val="left"/>
            </w:pPr>
            <w:r>
              <w:rPr>
                <w:color w:val="000000"/>
                <w:sz w:val="15"/>
                <w:szCs w:val="15"/>
              </w:rPr>
              <w:t xml:space="preserve">% des moins de 5 ans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Death rate, crude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SP.DYN.CDRT.IN</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Pour 1 000 hab.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Birth rate, crude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SP.DYN.CBRT.IN</w:t>
            </w:r>
          </w:p>
        </w:tc>
        <w:tc>
          <w:tcPr>
            <w:tcW w:type="dxa" w:w="2754"/>
            <w:tcMar>
              <w:top w:type="dxa" w:w="24"/>
              <w:left w:type="dxa" w:w="70"/>
              <w:bottom w:type="dxa" w:w="24"/>
              <w:right w:type="dxa" w:w="70"/>
            </w:tcMar>
          </w:tcPr>
          <w:p>
            <w:pPr>
              <w:spacing w:after="0" w:line="200"/>
              <w:jc w:val="left"/>
            </w:pPr>
            <w:r>
              <w:rPr>
                <w:color w:val="000000"/>
                <w:sz w:val="15"/>
                <w:szCs w:val="15"/>
              </w:rPr>
              <w:t xml:space="preserve">Pour 1 000 hab.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School enrolment, tertiary (gross)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SE.TER.ENRR</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Primary completion rate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SE.PRM.CMPT.ZS</w:t>
            </w:r>
          </w:p>
        </w:tc>
        <w:tc>
          <w:tcPr>
            <w:tcW w:type="dxa" w:w="2754"/>
            <w:tcMar>
              <w:top w:type="dxa" w:w="24"/>
              <w:left w:type="dxa" w:w="70"/>
              <w:bottom w:type="dxa" w:w="24"/>
              <w:right w:type="dxa" w:w="70"/>
            </w:tcMar>
          </w:tcPr>
          <w:p>
            <w:pPr>
              <w:spacing w:after="0" w:line="200"/>
              <w:jc w:val="left"/>
            </w:pPr>
            <w:r>
              <w:rPr>
                <w:color w:val="000000"/>
                <w:sz w:val="15"/>
                <w:szCs w:val="15"/>
              </w:rPr>
              <w:t xml:space="preserve">% du groupe d'âge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Adult literacy rate</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SE.ADT.LITR.ZS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15 ans et +</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Poverty headcount at $2.15 a day</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SI.POV.DDAY</w:t>
            </w:r>
          </w:p>
        </w:tc>
        <w:tc>
          <w:tcPr>
            <w:tcW w:type="dxa" w:w="2754"/>
            <w:tcMar>
              <w:top w:type="dxa" w:w="24"/>
              <w:left w:type="dxa" w:w="70"/>
              <w:bottom w:type="dxa" w:w="24"/>
              <w:right w:type="dxa" w:w="70"/>
            </w:tcMar>
          </w:tcPr>
          <w:p>
            <w:pPr>
              <w:spacing w:after="0" w:line="200"/>
              <w:jc w:val="left"/>
            </w:pPr>
            <w:r>
              <w:rPr>
                <w:color w:val="000000"/>
                <w:sz w:val="15"/>
                <w:szCs w:val="15"/>
              </w:rPr>
              <w:t xml:space="preserve">% de la population</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Poverty headcount at $3.65 a day</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SI.POV.LMIC</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 la population</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Poverty headcount at $6.85 a day</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SI.POV.UMIC</w:t>
            </w:r>
          </w:p>
        </w:tc>
        <w:tc>
          <w:tcPr>
            <w:tcW w:type="dxa" w:w="2754"/>
            <w:tcMar>
              <w:top w:type="dxa" w:w="24"/>
              <w:left w:type="dxa" w:w="70"/>
              <w:bottom w:type="dxa" w:w="24"/>
              <w:right w:type="dxa" w:w="70"/>
            </w:tcMar>
          </w:tcPr>
          <w:p>
            <w:pPr>
              <w:spacing w:after="0" w:line="200"/>
              <w:jc w:val="left"/>
            </w:pPr>
            <w:r>
              <w:rPr>
                <w:color w:val="000000"/>
                <w:sz w:val="15"/>
                <w:szCs w:val="15"/>
              </w:rPr>
              <w:t xml:space="preserve">% de la population</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Poverty headcount at national lines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SI.POV.NAHC</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 la population</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School enrolment, primary (net)</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SE.PRM.NENR</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School enrolment, secondary (net)</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SE.SEC.NENR</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Poverty gap at $2.15 a day</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SI.POV.GAPS</w:t>
            </w:r>
          </w:p>
        </w:tc>
        <w:tc>
          <w:tcPr>
            <w:tcW w:type="dxa" w:w="2754"/>
            <w:tcMar>
              <w:top w:type="dxa" w:w="24"/>
              <w:left w:type="dxa" w:w="70"/>
              <w:bottom w:type="dxa" w:w="24"/>
              <w:right w:type="dxa" w:w="70"/>
            </w:tcMar>
          </w:tcPr>
          <w:p>
            <w:pPr>
              <w:spacing w:after="0" w:line="200"/>
              <w:jc w:val="left"/>
            </w:pPr>
            <w:r>
              <w:rPr>
                <w:color w:val="000000"/>
                <w:sz w:val="15"/>
                <w:szCs w:val="15"/>
              </w:rPr>
              <w:t xml:space="preserve">%</w:t>
            </w:r>
          </w:p>
        </w:tc>
      </w:tr>
    </w:tbl>
    <w:p>
      <w:pPr>
        <w:spacing w:after="180" w:before="70"/>
      </w:pPr>
      <w:r>
        <w:rPr>
          <w:i/>
          <w:iCs/>
          <w:color w:val="5C6672"/>
          <w:sz w:val="16"/>
          <w:szCs w:val="16"/>
        </w:rPr>
        <w:t xml:space="preserve">Source: BM · WDI, BM · ASPIRE, BM · PIP</w:t>
      </w:r>
    </w:p>
    <w:p>
      <w:pPr>
        <w:spacing w:after="160" w:line="288"/>
        <w:jc w:val="both"/>
      </w:pPr>
      <w:r>
        <w:rPr>
          <w:b w:val="false"/>
          <w:bCs w:val="false"/>
          <w:i w:val="false"/>
          <w:iCs w:val="false"/>
          <w:sz w:val="21"/>
          <w:szCs w:val="21"/>
        </w:rPr>
        <w:t xml:space="preserve"/>
      </w:r>
    </w:p>
    <w:p>
      <w:pPr>
        <w:pStyle w:val="Heading2"/>
      </w:pPr>
      <w:r>
        <w:t xml:space="preserve">C12. Economic complexity and productive structure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Indicator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Collection code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Economic Complexity Index</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eci</w:t>
            </w:r>
          </w:p>
        </w:tc>
        <w:tc>
          <w:tcPr>
            <w:tcW w:type="dxa" w:w="2754"/>
            <w:tcMar>
              <w:top w:type="dxa" w:w="24"/>
              <w:left w:type="dxa" w:w="70"/>
              <w:bottom w:type="dxa" w:w="24"/>
              <w:right w:type="dxa" w:w="70"/>
            </w:tcMar>
          </w:tcPr>
          <w:p>
            <w:pPr>
              <w:spacing w:after="0" w:line="200"/>
              <w:jc w:val="left"/>
            </w:pPr>
            <w:r>
              <w:rPr>
                <w:color w:val="000000"/>
                <w:sz w:val="15"/>
                <w:szCs w:val="15"/>
              </w:rPr>
              <w:t xml:space="preserve">Score standardisé</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Complexity Outlook Index</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coi</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Score standardisé</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High-technology exports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TX.VAL.TECH.MF.ZS</w:t>
            </w:r>
          </w:p>
        </w:tc>
        <w:tc>
          <w:tcPr>
            <w:tcW w:type="dxa" w:w="2754"/>
            <w:tcMar>
              <w:top w:type="dxa" w:w="24"/>
              <w:left w:type="dxa" w:w="70"/>
              <w:bottom w:type="dxa" w:w="24"/>
              <w:right w:type="dxa" w:w="70"/>
            </w:tcMar>
          </w:tcPr>
          <w:p>
            <w:pPr>
              <w:spacing w:after="0" w:line="200"/>
              <w:jc w:val="left"/>
            </w:pPr>
            <w:r>
              <w:rPr>
                <w:color w:val="000000"/>
                <w:sz w:val="15"/>
                <w:szCs w:val="15"/>
              </w:rPr>
              <w:t xml:space="preserve">% des exp. manuf.</w:t>
            </w:r>
          </w:p>
        </w:tc>
      </w:tr>
    </w:tbl>
    <w:p>
      <w:pPr>
        <w:spacing w:after="180" w:before="70"/>
      </w:pPr>
      <w:r>
        <w:rPr>
          <w:i/>
          <w:iCs/>
          <w:color w:val="5C6672"/>
          <w:sz w:val="16"/>
          <w:szCs w:val="16"/>
        </w:rPr>
        <w:t xml:space="preserve">Source: Harvard · Atlas, BM · WDI</w:t>
      </w:r>
    </w:p>
    <w:p>
      <w:pPr>
        <w:spacing w:after="160" w:line="288"/>
        <w:jc w:val="both"/>
      </w:pPr>
      <w:r>
        <w:rPr>
          <w:b w:val="false"/>
          <w:bCs w:val="false"/>
          <w:i w:val="false"/>
          <w:iCs w:val="false"/>
          <w:sz w:val="21"/>
          <w:szCs w:val="21"/>
        </w:rPr>
        <w:t xml:space="preserve"/>
      </w:r>
    </w:p>
    <w:p>
      <w:pPr>
        <w:pStyle w:val="Heading2"/>
      </w:pPr>
      <w:r>
        <w:t xml:space="preserve">C13. Governance and business environment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Indicator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Collection code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Government effectiveness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GE.EST</w:t>
            </w:r>
          </w:p>
        </w:tc>
        <w:tc>
          <w:tcPr>
            <w:tcW w:type="dxa" w:w="2754"/>
            <w:tcMar>
              <w:top w:type="dxa" w:w="24"/>
              <w:left w:type="dxa" w:w="70"/>
              <w:bottom w:type="dxa" w:w="24"/>
              <w:right w:type="dxa" w:w="70"/>
            </w:tcMar>
          </w:tcPr>
          <w:p>
            <w:pPr>
              <w:spacing w:after="0" w:line="200"/>
              <w:jc w:val="left"/>
            </w:pPr>
            <w:r>
              <w:rPr>
                <w:color w:val="000000"/>
                <w:sz w:val="15"/>
                <w:szCs w:val="15"/>
              </w:rPr>
              <w:t xml:space="preserve">Score -2,5 à 2,5</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Voice and accountability</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VA.EST</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Score -2,5 à 2,5</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Business Ready, regulatory pillar</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BREADY_REG</w:t>
            </w:r>
          </w:p>
        </w:tc>
        <w:tc>
          <w:tcPr>
            <w:tcW w:type="dxa" w:w="2754"/>
            <w:tcMar>
              <w:top w:type="dxa" w:w="24"/>
              <w:left w:type="dxa" w:w="70"/>
              <w:bottom w:type="dxa" w:w="24"/>
              <w:right w:type="dxa" w:w="70"/>
            </w:tcMar>
          </w:tcPr>
          <w:p>
            <w:pPr>
              <w:spacing w:after="0" w:line="200"/>
              <w:jc w:val="left"/>
            </w:pPr>
            <w:r>
              <w:rPr>
                <w:color w:val="000000"/>
                <w:sz w:val="15"/>
                <w:szCs w:val="15"/>
              </w:rPr>
              <w:t xml:space="preserve">Score 0-100</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Control of corruption</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CC.EST</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Score -2,5 à 2,5</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CPIA public sector management</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IQ.CPA.PUBS.XQ</w:t>
            </w:r>
          </w:p>
        </w:tc>
        <w:tc>
          <w:tcPr>
            <w:tcW w:type="dxa" w:w="2754"/>
            <w:tcMar>
              <w:top w:type="dxa" w:w="24"/>
              <w:left w:type="dxa" w:w="70"/>
              <w:bottom w:type="dxa" w:w="24"/>
              <w:right w:type="dxa" w:w="70"/>
            </w:tcMar>
          </w:tcPr>
          <w:p>
            <w:pPr>
              <w:spacing w:after="0" w:line="200"/>
              <w:jc w:val="left"/>
            </w:pPr>
            <w:r>
              <w:rPr>
                <w:color w:val="000000"/>
                <w:sz w:val="15"/>
                <w:szCs w:val="15"/>
              </w:rPr>
              <w:t xml:space="preserve">Score 1-6</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CPIA economic management</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IQ.CPA.ECON.XQ</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Score 1-6</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CPIA transparency and corruption</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IQ.CPA.TRAN.XQ</w:t>
            </w:r>
          </w:p>
        </w:tc>
        <w:tc>
          <w:tcPr>
            <w:tcW w:type="dxa" w:w="2754"/>
            <w:tcMar>
              <w:top w:type="dxa" w:w="24"/>
              <w:left w:type="dxa" w:w="70"/>
              <w:bottom w:type="dxa" w:w="24"/>
              <w:right w:type="dxa" w:w="70"/>
            </w:tcMar>
          </w:tcPr>
          <w:p>
            <w:pPr>
              <w:spacing w:after="0" w:line="200"/>
              <w:jc w:val="left"/>
            </w:pPr>
            <w:r>
              <w:rPr>
                <w:color w:val="000000"/>
                <w:sz w:val="15"/>
                <w:szCs w:val="15"/>
              </w:rPr>
              <w:t xml:space="preserve">Score 1-6</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Regulatory quality</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RQ.EST</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Score -2,5 à 2,5</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Political stability and absence of violence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PV.EST</w:t>
            </w:r>
          </w:p>
        </w:tc>
        <w:tc>
          <w:tcPr>
            <w:tcW w:type="dxa" w:w="2754"/>
            <w:tcMar>
              <w:top w:type="dxa" w:w="24"/>
              <w:left w:type="dxa" w:w="70"/>
              <w:bottom w:type="dxa" w:w="24"/>
              <w:right w:type="dxa" w:w="70"/>
            </w:tcMar>
          </w:tcPr>
          <w:p>
            <w:pPr>
              <w:spacing w:after="0" w:line="200"/>
              <w:jc w:val="left"/>
            </w:pPr>
            <w:r>
              <w:rPr>
                <w:color w:val="000000"/>
                <w:sz w:val="15"/>
                <w:szCs w:val="15"/>
              </w:rPr>
              <w:t xml:space="preserve">Score -2,5 à 2,5</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Time to prepare and pay taxes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IC.TAX.DURS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Heures / an</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Rule of law</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RL.EST</w:t>
            </w:r>
          </w:p>
        </w:tc>
        <w:tc>
          <w:tcPr>
            <w:tcW w:type="dxa" w:w="2754"/>
            <w:tcMar>
              <w:top w:type="dxa" w:w="24"/>
              <w:left w:type="dxa" w:w="70"/>
              <w:bottom w:type="dxa" w:w="24"/>
              <w:right w:type="dxa" w:w="70"/>
            </w:tcMar>
          </w:tcPr>
          <w:p>
            <w:pPr>
              <w:spacing w:after="0" w:line="200"/>
              <w:jc w:val="left"/>
            </w:pPr>
            <w:r>
              <w:rPr>
                <w:color w:val="000000"/>
                <w:sz w:val="15"/>
                <w:szCs w:val="15"/>
              </w:rPr>
              <w:t xml:space="preserve">Score -2,5 à 2,5</w:t>
            </w:r>
          </w:p>
        </w:tc>
      </w:tr>
    </w:tbl>
    <w:p>
      <w:pPr>
        <w:spacing w:after="180" w:before="70"/>
      </w:pPr>
      <w:r>
        <w:rPr>
          <w:i/>
          <w:iCs/>
          <w:color w:val="5C6672"/>
          <w:sz w:val="16"/>
          <w:szCs w:val="16"/>
        </w:rPr>
        <w:t xml:space="preserve">Source: BM · WGI, BM · B-READY, BM · WDI</w:t>
      </w:r>
    </w:p>
    <w:p>
      <w:pPr>
        <w:spacing w:after="160" w:line="288"/>
        <w:jc w:val="both"/>
      </w:pPr>
      <w:r>
        <w:rPr>
          <w:b w:val="false"/>
          <w:bCs w:val="false"/>
          <w:i w:val="false"/>
          <w:iCs w:val="false"/>
          <w:sz w:val="21"/>
          <w:szCs w:val="21"/>
        </w:rPr>
        <w:t xml:space="preserve"/>
      </w:r>
    </w:p>
    <w:p>
      <w:pPr>
        <w:pStyle w:val="Heading2"/>
      </w:pPr>
      <w:r>
        <w:t xml:space="preserve">C14. Energy, environment and agriculture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54"/>
      </w:tblGrid>
      <w:tr>
        <w:trPr>
          <w:tblHeader/>
        </w:trPr>
        <w:tc>
          <w:tcPr>
            <w:tcW w:type="dxa" w:w="4300"/>
            <w:shd w:fill="3A3A3A" w:color="auto" w:val="clear"/>
            <w:tcMar>
              <w:top w:type="dxa" w:w="24"/>
              <w:left w:type="dxa" w:w="70"/>
              <w:bottom w:type="dxa" w:w="24"/>
              <w:right w:type="dxa" w:w="70"/>
            </w:tcMar>
          </w:tcPr>
          <w:p>
            <w:pPr>
              <w:spacing w:after="0" w:line="200"/>
              <w:jc w:val="left"/>
            </w:pPr>
            <w:r>
              <w:rPr>
                <w:b/>
                <w:bCs/>
                <w:color w:val="FFFFFF"/>
                <w:sz w:val="15"/>
                <w:szCs w:val="15"/>
              </w:rPr>
              <w:t xml:space="preserve">Indicator</w:t>
            </w:r>
          </w:p>
        </w:tc>
        <w:tc>
          <w:tcPr>
            <w:tcW w:type="dxa" w:w="2300"/>
            <w:shd w:fill="3A3A3A" w:color="auto" w:val="clear"/>
            <w:tcMar>
              <w:top w:type="dxa" w:w="24"/>
              <w:left w:type="dxa" w:w="70"/>
              <w:bottom w:type="dxa" w:w="24"/>
              <w:right w:type="dxa" w:w="70"/>
            </w:tcMar>
          </w:tcPr>
          <w:p>
            <w:pPr>
              <w:spacing w:after="0" w:line="200"/>
              <w:jc w:val="left"/>
            </w:pPr>
            <w:r>
              <w:rPr>
                <w:b/>
                <w:bCs/>
                <w:color w:val="FFFFFF"/>
                <w:sz w:val="15"/>
                <w:szCs w:val="15"/>
              </w:rPr>
              <w:t xml:space="preserve">Collection code</w:t>
            </w:r>
          </w:p>
        </w:tc>
        <w:tc>
          <w:tcPr>
            <w:tcW w:type="dxa" w:w="2754"/>
            <w:shd w:fill="3A3A3A" w:color="auto" w:val="clear"/>
            <w:tcMar>
              <w:top w:type="dxa" w:w="24"/>
              <w:left w:type="dxa" w:w="70"/>
              <w:bottom w:type="dxa" w:w="24"/>
              <w:right w:type="dxa" w:w="70"/>
            </w:tcMar>
          </w:tcPr>
          <w:p>
            <w:pPr>
              <w:spacing w:after="0" w:line="200"/>
              <w:jc w:val="left"/>
            </w:pPr>
            <w:r>
              <w:rPr>
                <w:b/>
                <w:bCs/>
                <w:color w:val="FFFFFF"/>
                <w:sz w:val="15"/>
                <w:szCs w:val="15"/>
              </w:rPr>
              <w:t xml:space="preserve">Unit</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Fixed broadband subscriptions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IT.NET.BBND.P2</w:t>
            </w:r>
          </w:p>
        </w:tc>
        <w:tc>
          <w:tcPr>
            <w:tcW w:type="dxa" w:w="2754"/>
            <w:tcMar>
              <w:top w:type="dxa" w:w="24"/>
              <w:left w:type="dxa" w:w="70"/>
              <w:bottom w:type="dxa" w:w="24"/>
              <w:right w:type="dxa" w:w="70"/>
            </w:tcMar>
          </w:tcPr>
          <w:p>
            <w:pPr>
              <w:spacing w:after="0" w:line="200"/>
              <w:jc w:val="left"/>
            </w:pPr>
            <w:r>
              <w:rPr>
                <w:color w:val="000000"/>
                <w:sz w:val="15"/>
                <w:szCs w:val="15"/>
              </w:rPr>
              <w:t xml:space="preserve">Pour 100 hab.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Mobile cellular subscriptions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IT.CEL.SETS.P2</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Pour 100 hab.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Access to electricity</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EG.ELC.ACCS.ZS</w:t>
            </w:r>
          </w:p>
        </w:tc>
        <w:tc>
          <w:tcPr>
            <w:tcW w:type="dxa" w:w="2754"/>
            <w:tcMar>
              <w:top w:type="dxa" w:w="24"/>
              <w:left w:type="dxa" w:w="70"/>
              <w:bottom w:type="dxa" w:w="24"/>
              <w:right w:type="dxa" w:w="70"/>
            </w:tcMar>
          </w:tcPr>
          <w:p>
            <w:pPr>
              <w:spacing w:after="0" w:line="200"/>
              <w:jc w:val="left"/>
            </w:pPr>
            <w:r>
              <w:rPr>
                <w:color w:val="000000"/>
                <w:sz w:val="15"/>
                <w:szCs w:val="15"/>
              </w:rPr>
              <w:t xml:space="preserve">% de la population</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Fertilizer consumption</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AG.CON.FERT.ZS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kg / ha de terres arables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Electric power consumption per capita</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EG.USE.ELEC.KH.PC</w:t>
            </w:r>
          </w:p>
        </w:tc>
        <w:tc>
          <w:tcPr>
            <w:tcW w:type="dxa" w:w="2754"/>
            <w:tcMar>
              <w:top w:type="dxa" w:w="24"/>
              <w:left w:type="dxa" w:w="70"/>
              <w:bottom w:type="dxa" w:w="24"/>
              <w:right w:type="dxa" w:w="70"/>
            </w:tcMar>
          </w:tcPr>
          <w:p>
            <w:pPr>
              <w:spacing w:after="0" w:line="200"/>
              <w:jc w:val="left"/>
            </w:pPr>
            <w:r>
              <w:rPr>
                <w:color w:val="000000"/>
                <w:sz w:val="15"/>
                <w:szCs w:val="15"/>
              </w:rPr>
              <w:t xml:space="preserve">kWh / hab.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Energy use per capita</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EG.USE.PCAP.KG.OE</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kg équiv. pétrole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Agricultural raw materials exports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TX.VAL.AGRI.ZS.UN</w:t>
            </w:r>
          </w:p>
        </w:tc>
        <w:tc>
          <w:tcPr>
            <w:tcW w:type="dxa" w:w="2754"/>
            <w:tcMar>
              <w:top w:type="dxa" w:w="24"/>
              <w:left w:type="dxa" w:w="70"/>
              <w:bottom w:type="dxa" w:w="24"/>
              <w:right w:type="dxa" w:w="70"/>
            </w:tcMar>
          </w:tcPr>
          <w:p>
            <w:pPr>
              <w:spacing w:after="0" w:line="200"/>
              <w:jc w:val="left"/>
            </w:pPr>
            <w:r>
              <w:rPr>
                <w:color w:val="000000"/>
                <w:sz w:val="15"/>
                <w:szCs w:val="15"/>
              </w:rPr>
              <w:t xml:space="preserve">% des exp. de march.</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ICT service exports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BX.GSR.CCIS.ZS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exp. de services</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PM2.5 air pollution exposure</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EN.ATM.PM25.MC.M3</w:t>
            </w:r>
          </w:p>
        </w:tc>
        <w:tc>
          <w:tcPr>
            <w:tcW w:type="dxa" w:w="2754"/>
            <w:tcMar>
              <w:top w:type="dxa" w:w="24"/>
              <w:left w:type="dxa" w:w="70"/>
              <w:bottom w:type="dxa" w:w="24"/>
              <w:right w:type="dxa" w:w="70"/>
            </w:tcMar>
          </w:tcPr>
          <w:p>
            <w:pPr>
              <w:spacing w:after="0" w:line="200"/>
              <w:jc w:val="left"/>
            </w:pPr>
            <w:r>
              <w:rPr>
                <w:color w:val="000000"/>
                <w:sz w:val="15"/>
                <w:szCs w:val="15"/>
              </w:rPr>
              <w:t xml:space="preserve">µg / m³</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Food imports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TM.VAL.FOOD.ZS.UN</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des imp. de march.</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Logistics performance index, overall</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LP.LPI.OVRL.XQ</w:t>
            </w:r>
          </w:p>
        </w:tc>
        <w:tc>
          <w:tcPr>
            <w:tcW w:type="dxa" w:w="2754"/>
            <w:tcMar>
              <w:top w:type="dxa" w:w="24"/>
              <w:left w:type="dxa" w:w="70"/>
              <w:bottom w:type="dxa" w:w="24"/>
              <w:right w:type="dxa" w:w="70"/>
            </w:tcMar>
          </w:tcPr>
          <w:p>
            <w:pPr>
              <w:spacing w:after="0" w:line="200"/>
              <w:jc w:val="left"/>
            </w:pPr>
            <w:r>
              <w:rPr>
                <w:color w:val="000000"/>
                <w:sz w:val="15"/>
                <w:szCs w:val="15"/>
              </w:rPr>
              <w:t xml:space="preserve">Score 1-5</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Food production index</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AG.PRD.FOOD.XD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Indice 2014-2016 = 100</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Livestock production index</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AG.PRD.LVSK.XD</w:t>
            </w:r>
          </w:p>
        </w:tc>
        <w:tc>
          <w:tcPr>
            <w:tcW w:type="dxa" w:w="2754"/>
            <w:tcMar>
              <w:top w:type="dxa" w:w="24"/>
              <w:left w:type="dxa" w:w="70"/>
              <w:bottom w:type="dxa" w:w="24"/>
              <w:right w:type="dxa" w:w="70"/>
            </w:tcMar>
          </w:tcPr>
          <w:p>
            <w:pPr>
              <w:spacing w:after="0" w:line="200"/>
              <w:jc w:val="left"/>
            </w:pPr>
            <w:r>
              <w:rPr>
                <w:color w:val="000000"/>
                <w:sz w:val="15"/>
                <w:szCs w:val="15"/>
              </w:rPr>
              <w:t xml:space="preserve">Indice 2014-2016 = 100</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Crop production index</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AG.PRD.CROP.XD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Indice 2014-2016 = 100</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CO2 emissions per unit of GDP</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EN.GHG.CO2.RT.GDP.PP.KD</w:t>
            </w:r>
          </w:p>
        </w:tc>
        <w:tc>
          <w:tcPr>
            <w:tcW w:type="dxa" w:w="2754"/>
            <w:tcMar>
              <w:top w:type="dxa" w:w="24"/>
              <w:left w:type="dxa" w:w="70"/>
              <w:bottom w:type="dxa" w:w="24"/>
              <w:right w:type="dxa" w:w="70"/>
            </w:tcMar>
          </w:tcPr>
          <w:p>
            <w:pPr>
              <w:spacing w:after="0" w:line="200"/>
              <w:jc w:val="left"/>
            </w:pPr>
            <w:r>
              <w:rPr>
                <w:color w:val="000000"/>
                <w:sz w:val="15"/>
                <w:szCs w:val="15"/>
              </w:rPr>
              <w:t xml:space="preserve">kg / USD PPA</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Energy intensity of GDP</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EG.EGY.PRIM.PP.KD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MJ / USD PPA 2017</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Renewable energy consumption</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EG.FEC.RNEW.ZS</w:t>
            </w:r>
          </w:p>
        </w:tc>
        <w:tc>
          <w:tcPr>
            <w:tcW w:type="dxa" w:w="2754"/>
            <w:tcMar>
              <w:top w:type="dxa" w:w="24"/>
              <w:left w:type="dxa" w:w="70"/>
              <w:bottom w:type="dxa" w:w="24"/>
              <w:right w:type="dxa" w:w="70"/>
            </w:tcMar>
          </w:tcPr>
          <w:p>
            <w:pPr>
              <w:spacing w:after="0" w:line="200"/>
              <w:jc w:val="left"/>
            </w:pPr>
            <w:r>
              <w:rPr>
                <w:color w:val="000000"/>
                <w:sz w:val="15"/>
                <w:szCs w:val="15"/>
              </w:rPr>
              <w:t xml:space="preserve">% de la conso finale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Electric power transmission and distribution losses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EG.ELC.LOSS.ZS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de la production</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Annual freshwater withdrawals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ER.H2O.FWTL.ZS</w:t>
            </w:r>
          </w:p>
        </w:tc>
        <w:tc>
          <w:tcPr>
            <w:tcW w:type="dxa" w:w="2754"/>
            <w:tcMar>
              <w:top w:type="dxa" w:w="24"/>
              <w:left w:type="dxa" w:w="70"/>
              <w:bottom w:type="dxa" w:w="24"/>
              <w:right w:type="dxa" w:w="70"/>
            </w:tcMar>
          </w:tcPr>
          <w:p>
            <w:pPr>
              <w:spacing w:after="0" w:line="200"/>
              <w:jc w:val="left"/>
            </w:pPr>
            <w:r>
              <w:rPr>
                <w:color w:val="000000"/>
                <w:sz w:val="15"/>
                <w:szCs w:val="15"/>
              </w:rPr>
              <w:t xml:space="preserve">% des ressources</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Cereal yield</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AG.YLD.CREL.KG</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kg / hectare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Mineral rents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NY.GDP.MINR.RT.ZS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Oil rents</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NY.GDP.PETR.RT.ZS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Total natural resources rents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NY.GDP.TOTL.RT.ZS</w:t>
            </w:r>
          </w:p>
        </w:tc>
        <w:tc>
          <w:tcPr>
            <w:tcW w:type="dxa" w:w="2754"/>
            <w:tcMar>
              <w:top w:type="dxa" w:w="24"/>
              <w:left w:type="dxa" w:w="70"/>
              <w:bottom w:type="dxa" w:w="24"/>
              <w:right w:type="dxa" w:w="70"/>
            </w:tcMar>
          </w:tcPr>
          <w:p>
            <w:pPr>
              <w:spacing w:after="0" w:line="200"/>
              <w:jc w:val="left"/>
            </w:pPr>
            <w:r>
              <w:rPr>
                <w:color w:val="000000"/>
                <w:sz w:val="15"/>
                <w:szCs w:val="15"/>
              </w:rPr>
              <w:t xml:space="preserve">% du PIB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Forest area</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AG.LND.FRST.ZS</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 du territoire</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Agricultural land</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AG.LND.AGRI.ZS</w:t>
            </w:r>
          </w:p>
        </w:tc>
        <w:tc>
          <w:tcPr>
            <w:tcW w:type="dxa" w:w="2754"/>
            <w:tcMar>
              <w:top w:type="dxa" w:w="24"/>
              <w:left w:type="dxa" w:w="70"/>
              <w:bottom w:type="dxa" w:w="24"/>
              <w:right w:type="dxa" w:w="70"/>
            </w:tcMar>
          </w:tcPr>
          <w:p>
            <w:pPr>
              <w:spacing w:after="0" w:line="200"/>
              <w:jc w:val="left"/>
            </w:pPr>
            <w:r>
              <w:rPr>
                <w:color w:val="000000"/>
                <w:sz w:val="15"/>
                <w:szCs w:val="15"/>
              </w:rPr>
              <w:t xml:space="preserve">% du territoire</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Arable land per capita</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AG.LND.ARBL.HA.PC</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Hectares / hab.</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Container port traffic</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IS.SHP.GOOD.TU</w:t>
            </w:r>
          </w:p>
        </w:tc>
        <w:tc>
          <w:tcPr>
            <w:tcW w:type="dxa" w:w="2754"/>
            <w:tcMar>
              <w:top w:type="dxa" w:w="24"/>
              <w:left w:type="dxa" w:w="70"/>
              <w:bottom w:type="dxa" w:w="24"/>
              <w:right w:type="dxa" w:w="70"/>
            </w:tcMar>
          </w:tcPr>
          <w:p>
            <w:pPr>
              <w:spacing w:after="0" w:line="200"/>
              <w:jc w:val="left"/>
            </w:pPr>
            <w:r>
              <w:rPr>
                <w:color w:val="000000"/>
                <w:sz w:val="15"/>
                <w:szCs w:val="15"/>
              </w:rPr>
              <w:t xml:space="preserve">EVP</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Air transport, freight</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IS.AIR.GOOD.MT.K1</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Millions t-km</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Individuals using the Internet</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IT.NET.USER.ZS</w:t>
            </w:r>
          </w:p>
        </w:tc>
        <w:tc>
          <w:tcPr>
            <w:tcW w:type="dxa" w:w="2754"/>
            <w:tcMar>
              <w:top w:type="dxa" w:w="24"/>
              <w:left w:type="dxa" w:w="70"/>
              <w:bottom w:type="dxa" w:w="24"/>
              <w:right w:type="dxa" w:w="70"/>
            </w:tcMar>
          </w:tcPr>
          <w:p>
            <w:pPr>
              <w:spacing w:after="0" w:line="200"/>
              <w:jc w:val="left"/>
            </w:pPr>
            <w:r>
              <w:rPr>
                <w:color w:val="000000"/>
                <w:sz w:val="15"/>
                <w:szCs w:val="15"/>
              </w:rPr>
              <w:t xml:space="preserve">% de la population</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Agriculture value added per worker</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NV.AGR.EMPL.KD</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USD constants 2015</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CO2 emissions per capita</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EN.GHG.CO2.PC.CE.AR5</w:t>
            </w:r>
          </w:p>
        </w:tc>
        <w:tc>
          <w:tcPr>
            <w:tcW w:type="dxa" w:w="2754"/>
            <w:tcMar>
              <w:top w:type="dxa" w:w="24"/>
              <w:left w:type="dxa" w:w="70"/>
              <w:bottom w:type="dxa" w:w="24"/>
              <w:right w:type="dxa" w:w="70"/>
            </w:tcMar>
          </w:tcPr>
          <w:p>
            <w:pPr>
              <w:spacing w:after="0" w:line="200"/>
              <w:jc w:val="left"/>
            </w:pPr>
            <w:r>
              <w:rPr>
                <w:color w:val="000000"/>
                <w:sz w:val="15"/>
                <w:szCs w:val="15"/>
              </w:rPr>
              <w:t xml:space="preserve">t équiv. CO2 / hab.</w:t>
            </w:r>
          </w:p>
        </w:tc>
      </w:tr>
      <w:tr>
        <w:tc>
          <w:tcPr>
            <w:tcW w:type="dxa" w:w="4300"/>
            <w:shd w:fill="F2F2F2" w:color="auto" w:val="clear"/>
            <w:tcMar>
              <w:top w:type="dxa" w:w="24"/>
              <w:left w:type="dxa" w:w="70"/>
              <w:bottom w:type="dxa" w:w="24"/>
              <w:right w:type="dxa" w:w="70"/>
            </w:tcMar>
          </w:tcPr>
          <w:p>
            <w:pPr>
              <w:spacing w:after="0" w:line="200"/>
              <w:jc w:val="left"/>
            </w:pPr>
            <w:r>
              <w:rPr>
                <w:color w:val="000000"/>
                <w:sz w:val="15"/>
                <w:szCs w:val="15"/>
              </w:rPr>
              <w:t xml:space="preserve">CO2 emissions, total</w:t>
            </w:r>
          </w:p>
        </w:tc>
        <w:tc>
          <w:tcPr>
            <w:tcW w:type="dxa" w:w="2300"/>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EN.GHG.CO2.MT.CE.AR5</w:t>
            </w:r>
          </w:p>
        </w:tc>
        <w:tc>
          <w:tcPr>
            <w:tcW w:type="dxa" w:w="2754"/>
            <w:shd w:fill="F2F2F2" w:color="auto" w:val="clear"/>
            <w:tcMar>
              <w:top w:type="dxa" w:w="24"/>
              <w:left w:type="dxa" w:w="70"/>
              <w:bottom w:type="dxa" w:w="24"/>
              <w:right w:type="dxa" w:w="70"/>
            </w:tcMar>
          </w:tcPr>
          <w:p>
            <w:pPr>
              <w:spacing w:after="0" w:line="200"/>
              <w:jc w:val="left"/>
            </w:pPr>
            <w:r>
              <w:rPr>
                <w:color w:val="000000"/>
                <w:sz w:val="15"/>
                <w:szCs w:val="15"/>
              </w:rPr>
              <w:t xml:space="preserve">Mt équiv. CO2</w:t>
            </w:r>
          </w:p>
        </w:tc>
      </w:tr>
      <w:tr>
        <w:tc>
          <w:tcPr>
            <w:tcW w:type="dxa" w:w="4300"/>
            <w:tcMar>
              <w:top w:type="dxa" w:w="24"/>
              <w:left w:type="dxa" w:w="70"/>
              <w:bottom w:type="dxa" w:w="24"/>
              <w:right w:type="dxa" w:w="70"/>
            </w:tcMar>
          </w:tcPr>
          <w:p>
            <w:pPr>
              <w:spacing w:after="0" w:line="200"/>
              <w:jc w:val="left"/>
            </w:pPr>
            <w:r>
              <w:rPr>
                <w:color w:val="000000"/>
                <w:sz w:val="15"/>
                <w:szCs w:val="15"/>
              </w:rPr>
              <w:t xml:space="preserve">Adjusted net savings</w:t>
            </w:r>
          </w:p>
        </w:tc>
        <w:tc>
          <w:tcPr>
            <w:tcW w:type="dxa" w:w="2300"/>
            <w:tcMar>
              <w:top w:type="dxa" w:w="24"/>
              <w:left w:type="dxa" w:w="70"/>
              <w:bottom w:type="dxa" w:w="24"/>
              <w:right w:type="dxa" w:w="70"/>
            </w:tcMar>
          </w:tcPr>
          <w:p>
            <w:pPr>
              <w:spacing w:after="0" w:line="200"/>
              <w:jc w:val="left"/>
            </w:pPr>
            <w:r>
              <w:rPr>
                <w:rFonts w:ascii="Consolas" w:cs="Consolas" w:eastAsia="Consolas" w:hAnsi="Consolas"/>
                <w:color w:val="000000"/>
                <w:sz w:val="15"/>
                <w:szCs w:val="15"/>
              </w:rPr>
              <w:t xml:space="preserve">NY.ADJ.SVNG.GN.ZS</w:t>
            </w:r>
          </w:p>
        </w:tc>
        <w:tc>
          <w:tcPr>
            <w:tcW w:type="dxa" w:w="2754"/>
            <w:tcMar>
              <w:top w:type="dxa" w:w="24"/>
              <w:left w:type="dxa" w:w="70"/>
              <w:bottom w:type="dxa" w:w="24"/>
              <w:right w:type="dxa" w:w="70"/>
            </w:tcMar>
          </w:tcPr>
          <w:p>
            <w:pPr>
              <w:spacing w:after="0" w:line="200"/>
              <w:jc w:val="left"/>
            </w:pPr>
            <w:r>
              <w:rPr>
                <w:color w:val="000000"/>
                <w:sz w:val="15"/>
                <w:szCs w:val="15"/>
              </w:rPr>
              <w:t xml:space="preserve">% du RNB</w:t>
            </w:r>
          </w:p>
        </w:tc>
      </w:tr>
    </w:tbl>
    <w:p>
      <w:pPr>
        <w:spacing w:after="180" w:before="70"/>
      </w:pPr>
      <w:r>
        <w:rPr>
          <w:i/>
          <w:iCs/>
          <w:color w:val="5C6672"/>
          <w:sz w:val="16"/>
          <w:szCs w:val="16"/>
        </w:rPr>
        <w:t xml:space="preserve">Source: BM · WDI, BM · LPI</w:t>
      </w:r>
    </w:p>
    <w:p>
      <w:pPr>
        <w:spacing w:after="160" w:line="288"/>
        <w:jc w:val="both"/>
      </w:pPr>
      <w:r>
        <w:rPr>
          <w:b w:val="false"/>
          <w:bCs w:val="false"/>
          <w:i w:val="false"/>
          <w:iCs w:val="false"/>
          <w:sz w:val="21"/>
          <w:szCs w:val="21"/>
        </w:rPr>
        <w:t xml:space="preserve"/>
      </w:r>
    </w:p>
    <w:p>
      <w:pPr>
        <w:pStyle w:val="Heading2"/>
      </w:pPr>
      <w:r>
        <w:t xml:space="preserve">C15. Commodity prices (commodityPrice)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1677"/>
        <w:gridCol w:w="3000"/>
        <w:gridCol w:w="1677"/>
      </w:tblGrid>
      <w:tr>
        <w:trPr>
          <w:tblHeader/>
        </w:trPr>
        <w:tc>
          <w:tcPr>
            <w:tcW w:type="dxa" w:w="3000"/>
            <w:shd w:fill="3A3A3A" w:color="auto" w:val="clear"/>
            <w:tcMar>
              <w:top w:type="dxa" w:w="24"/>
              <w:left w:type="dxa" w:w="70"/>
              <w:bottom w:type="dxa" w:w="24"/>
              <w:right w:type="dxa" w:w="70"/>
            </w:tcMar>
          </w:tcPr>
          <w:p>
            <w:pPr>
              <w:spacing w:after="0" w:line="200"/>
              <w:jc w:val="left"/>
            </w:pPr>
            <w:r>
              <w:rPr>
                <w:b/>
                <w:bCs/>
                <w:color w:val="FFFFFF"/>
                <w:sz w:val="14"/>
                <w:szCs w:val="14"/>
              </w:rPr>
              <w:t xml:space="preserve">Indicator</w:t>
            </w:r>
          </w:p>
        </w:tc>
        <w:tc>
          <w:tcPr>
            <w:tcW w:type="dxa" w:w="1677"/>
            <w:shd w:fill="3A3A3A" w:color="auto" w:val="clear"/>
            <w:tcMar>
              <w:top w:type="dxa" w:w="24"/>
              <w:left w:type="dxa" w:w="70"/>
              <w:bottom w:type="dxa" w:w="24"/>
              <w:right w:type="dxa" w:w="70"/>
            </w:tcMar>
          </w:tcPr>
          <w:p>
            <w:pPr>
              <w:spacing w:after="0" w:line="200"/>
              <w:jc w:val="left"/>
            </w:pPr>
            <w:r>
              <w:rPr>
                <w:b/>
                <w:bCs/>
                <w:color w:val="FFFFFF"/>
                <w:sz w:val="14"/>
                <w:szCs w:val="14"/>
              </w:rPr>
              <w:t xml:space="preserve">Collection code</w:t>
            </w:r>
          </w:p>
        </w:tc>
        <w:tc>
          <w:tcPr>
            <w:tcW w:type="dxa" w:w="3000"/>
            <w:shd w:fill="3A3A3A" w:color="auto" w:val="clear"/>
            <w:tcMar>
              <w:top w:type="dxa" w:w="24"/>
              <w:left w:type="dxa" w:w="70"/>
              <w:bottom w:type="dxa" w:w="24"/>
              <w:right w:type="dxa" w:w="70"/>
            </w:tcMar>
          </w:tcPr>
          <w:p>
            <w:pPr>
              <w:spacing w:after="0" w:line="200"/>
              <w:jc w:val="left"/>
            </w:pPr>
            <w:r>
              <w:rPr>
                <w:b/>
                <w:bCs/>
                <w:color w:val="FFFFFF"/>
                <w:sz w:val="14"/>
                <w:szCs w:val="14"/>
              </w:rPr>
              <w:t xml:space="preserve">Indicator</w:t>
            </w:r>
          </w:p>
        </w:tc>
        <w:tc>
          <w:tcPr>
            <w:tcW w:type="dxa" w:w="1677"/>
            <w:shd w:fill="3A3A3A" w:color="auto" w:val="clear"/>
            <w:tcMar>
              <w:top w:type="dxa" w:w="24"/>
              <w:left w:type="dxa" w:w="70"/>
              <w:bottom w:type="dxa" w:w="24"/>
              <w:right w:type="dxa" w:w="70"/>
            </w:tcMar>
          </w:tcPr>
          <w:p>
            <w:pPr>
              <w:spacing w:after="0" w:line="200"/>
              <w:jc w:val="left"/>
            </w:pPr>
            <w:r>
              <w:rPr>
                <w:b/>
                <w:bCs/>
                <w:color w:val="FFFFFF"/>
                <w:sz w:val="14"/>
                <w:szCs w:val="14"/>
              </w:rPr>
              <w:t xml:space="preserve">Collection code</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Aluminium</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PALUM</w:t>
            </w:r>
          </w:p>
        </w:tc>
        <w:tc>
          <w:tcPr>
            <w:tcW w:type="dxa" w:w="3000"/>
            <w:tcMar>
              <w:top w:type="dxa" w:w="24"/>
              <w:left w:type="dxa" w:w="70"/>
              <w:bottom w:type="dxa" w:w="24"/>
              <w:right w:type="dxa" w:w="70"/>
            </w:tcMar>
          </w:tcPr>
          <w:p>
            <w:pPr>
              <w:spacing w:after="0" w:line="200"/>
              <w:jc w:val="left"/>
            </w:pPr>
            <w:r>
              <w:rPr>
                <w:color w:val="000000"/>
                <w:sz w:val="14"/>
                <w:szCs w:val="14"/>
              </w:rPr>
              <w:t xml:space="preserve">Timber index</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PTIMB</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Groundnuts</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PGNUTS</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Hardwood index</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PHARD</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Silver</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PSILVER</w:t>
            </w:r>
          </w:p>
        </w:tc>
        <w:tc>
          <w:tcPr>
            <w:tcW w:type="dxa" w:w="3000"/>
            <w:tcMar>
              <w:top w:type="dxa" w:w="24"/>
              <w:left w:type="dxa" w:w="70"/>
              <w:bottom w:type="dxa" w:w="24"/>
              <w:right w:type="dxa" w:w="70"/>
            </w:tcMar>
          </w:tcPr>
          <w:p>
            <w:pPr>
              <w:spacing w:after="0" w:line="200"/>
              <w:jc w:val="left"/>
            </w:pPr>
            <w:r>
              <w:rPr>
                <w:color w:val="000000"/>
                <w:sz w:val="14"/>
                <w:szCs w:val="14"/>
              </w:rPr>
              <w:t xml:space="preserve">Coffee index</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PCOFF</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Oats</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POATS</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Coal index</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PCOAL</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Bananas</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PBANSOP</w:t>
            </w:r>
          </w:p>
        </w:tc>
        <w:tc>
          <w:tcPr>
            <w:tcW w:type="dxa" w:w="3000"/>
            <w:tcMar>
              <w:top w:type="dxa" w:w="24"/>
              <w:left w:type="dxa" w:w="70"/>
              <w:bottom w:type="dxa" w:w="24"/>
              <w:right w:type="dxa" w:w="70"/>
            </w:tcMar>
          </w:tcPr>
          <w:p>
            <w:pPr>
              <w:spacing w:after="0" w:line="200"/>
              <w:jc w:val="left"/>
            </w:pPr>
            <w:r>
              <w:rPr>
                <w:color w:val="000000"/>
                <w:sz w:val="14"/>
                <w:szCs w:val="14"/>
              </w:rPr>
              <w:t xml:space="preserve">Natural gas index</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PNGAS</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Wheat</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PWHEAMT</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Sugar index</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PSUGA</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Softwood index</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PSOFT</w:t>
            </w:r>
          </w:p>
        </w:tc>
        <w:tc>
          <w:tcPr>
            <w:tcW w:type="dxa" w:w="3000"/>
            <w:tcMar>
              <w:top w:type="dxa" w:w="24"/>
              <w:left w:type="dxa" w:w="70"/>
              <w:bottom w:type="dxa" w:w="24"/>
              <w:right w:type="dxa" w:w="70"/>
            </w:tcMar>
          </w:tcPr>
          <w:p>
            <w:pPr>
              <w:spacing w:after="0" w:line="200"/>
              <w:jc w:val="left"/>
            </w:pPr>
            <w:r>
              <w:rPr>
                <w:color w:val="000000"/>
                <w:sz w:val="14"/>
                <w:szCs w:val="14"/>
              </w:rPr>
              <w:t xml:space="preserve">Wool</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PWOOLF</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Cocoa</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PCOCO</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Wool</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PWOOLC</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Coffee, Arabica</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PCOFFOTM</w:t>
            </w:r>
          </w:p>
        </w:tc>
        <w:tc>
          <w:tcPr>
            <w:tcW w:type="dxa" w:w="3000"/>
            <w:tcMar>
              <w:top w:type="dxa" w:w="24"/>
              <w:left w:type="dxa" w:w="70"/>
              <w:bottom w:type="dxa" w:w="24"/>
              <w:right w:type="dxa" w:w="70"/>
            </w:tcMar>
          </w:tcPr>
          <w:p>
            <w:pPr>
              <w:spacing w:after="0" w:line="200"/>
              <w:jc w:val="left"/>
            </w:pPr>
            <w:r>
              <w:rPr>
                <w:color w:val="000000"/>
                <w:sz w:val="14"/>
                <w:szCs w:val="14"/>
              </w:rPr>
              <w:t xml:space="preserve">Dairy Products</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PMILK</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Coffee, Robusta</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PCOFFROB</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Lithium</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PLITH</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Rubber</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PRUBB</w:t>
            </w:r>
          </w:p>
        </w:tc>
        <w:tc>
          <w:tcPr>
            <w:tcW w:type="dxa" w:w="3000"/>
            <w:tcMar>
              <w:top w:type="dxa" w:w="24"/>
              <w:left w:type="dxa" w:w="70"/>
              <w:bottom w:type="dxa" w:w="24"/>
              <w:right w:type="dxa" w:w="70"/>
            </w:tcMar>
          </w:tcPr>
          <w:p>
            <w:pPr>
              <w:spacing w:after="0" w:line="200"/>
              <w:jc w:val="left"/>
            </w:pPr>
            <w:r>
              <w:rPr>
                <w:color w:val="000000"/>
                <w:sz w:val="14"/>
                <w:szCs w:val="14"/>
              </w:rPr>
              <w:t xml:space="preserve">Legumes</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PCHANA</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Coal</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PCOALSA</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Manganese</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PMANGELE</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Coal, Australia</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PCOALAU</w:t>
            </w:r>
          </w:p>
        </w:tc>
        <w:tc>
          <w:tcPr>
            <w:tcW w:type="dxa" w:w="3000"/>
            <w:tcMar>
              <w:top w:type="dxa" w:w="24"/>
              <w:left w:type="dxa" w:w="70"/>
              <w:bottom w:type="dxa" w:w="24"/>
              <w:right w:type="dxa" w:w="70"/>
            </w:tcMar>
          </w:tcPr>
          <w:p>
            <w:pPr>
              <w:spacing w:after="0" w:line="200"/>
              <w:jc w:val="left"/>
            </w:pPr>
            <w:r>
              <w:rPr>
                <w:color w:val="000000"/>
                <w:sz w:val="14"/>
                <w:szCs w:val="14"/>
              </w:rPr>
              <w:t xml:space="preserve">Maize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PMAIZMT</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Chromium</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PCHROM</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Iron ore</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PIORECR</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Cobalt</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PCOBA</w:t>
            </w:r>
          </w:p>
        </w:tc>
        <w:tc>
          <w:tcPr>
            <w:tcW w:type="dxa" w:w="3000"/>
            <w:tcMar>
              <w:top w:type="dxa" w:w="24"/>
              <w:left w:type="dxa" w:w="70"/>
              <w:bottom w:type="dxa" w:w="24"/>
              <w:right w:type="dxa" w:w="70"/>
            </w:tcMar>
          </w:tcPr>
          <w:p>
            <w:pPr>
              <w:spacing w:after="0" w:line="200"/>
              <w:jc w:val="left"/>
            </w:pPr>
            <w:r>
              <w:rPr>
                <w:color w:val="000000"/>
                <w:sz w:val="14"/>
                <w:szCs w:val="14"/>
              </w:rPr>
              <w:t xml:space="preserve">Molybdenum</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PLMMODY</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Cotton</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PCOTTIND</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Nickel</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PNICK</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Shrimp</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PSHRI</w:t>
            </w:r>
          </w:p>
        </w:tc>
        <w:tc>
          <w:tcPr>
            <w:tcW w:type="dxa" w:w="3000"/>
            <w:tcMar>
              <w:top w:type="dxa" w:w="24"/>
              <w:left w:type="dxa" w:w="70"/>
              <w:bottom w:type="dxa" w:w="24"/>
              <w:right w:type="dxa" w:w="70"/>
            </w:tcMar>
          </w:tcPr>
          <w:p>
            <w:pPr>
              <w:spacing w:after="0" w:line="200"/>
              <w:jc w:val="left"/>
            </w:pPr>
            <w:r>
              <w:rPr>
                <w:color w:val="000000"/>
                <w:sz w:val="14"/>
                <w:szCs w:val="14"/>
              </w:rPr>
              <w:t xml:space="preserve">Gold</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PGOLD</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Hides</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PHIDE</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Orange</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PORANG</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Copper</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PCOPP</w:t>
            </w:r>
          </w:p>
        </w:tc>
        <w:tc>
          <w:tcPr>
            <w:tcW w:type="dxa" w:w="3000"/>
            <w:tcMar>
              <w:top w:type="dxa" w:w="24"/>
              <w:left w:type="dxa" w:w="70"/>
              <w:bottom w:type="dxa" w:w="24"/>
              <w:right w:type="dxa" w:w="70"/>
            </w:tcMar>
          </w:tcPr>
          <w:p>
            <w:pPr>
              <w:spacing w:after="0" w:line="200"/>
              <w:jc w:val="left"/>
            </w:pPr>
            <w:r>
              <w:rPr>
                <w:color w:val="000000"/>
                <w:sz w:val="14"/>
                <w:szCs w:val="14"/>
              </w:rPr>
              <w:t xml:space="preserve">Barley</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PBARL</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Fish Meal</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PFSHMEAL</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Palladium</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PPALLA</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Non-Citrus Fruit</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PAPPLE</w:t>
            </w:r>
          </w:p>
        </w:tc>
        <w:tc>
          <w:tcPr>
            <w:tcW w:type="dxa" w:w="3000"/>
            <w:tcMar>
              <w:top w:type="dxa" w:w="24"/>
              <w:left w:type="dxa" w:w="70"/>
              <w:bottom w:type="dxa" w:w="24"/>
              <w:right w:type="dxa" w:w="70"/>
            </w:tcMar>
          </w:tcPr>
          <w:p>
            <w:pPr>
              <w:spacing w:after="0" w:line="200"/>
              <w:jc w:val="left"/>
            </w:pPr>
            <w:r>
              <w:rPr>
                <w:color w:val="000000"/>
                <w:sz w:val="14"/>
                <w:szCs w:val="14"/>
              </w:rPr>
              <w:t xml:space="preserve">Diammonium phosphate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PDAP</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Natural gas, Europe</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PNGASEU</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Platinum</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PPLAT</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LNG</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PNGASJP</w:t>
            </w:r>
          </w:p>
        </w:tc>
        <w:tc>
          <w:tcPr>
            <w:tcW w:type="dxa" w:w="3000"/>
            <w:tcMar>
              <w:top w:type="dxa" w:w="24"/>
              <w:left w:type="dxa" w:w="70"/>
              <w:bottom w:type="dxa" w:w="24"/>
              <w:right w:type="dxa" w:w="70"/>
            </w:tcMar>
          </w:tcPr>
          <w:p>
            <w:pPr>
              <w:spacing w:after="0" w:line="200"/>
              <w:jc w:val="left"/>
            </w:pPr>
            <w:r>
              <w:rPr>
                <w:color w:val="000000"/>
                <w:sz w:val="14"/>
                <w:szCs w:val="14"/>
              </w:rPr>
              <w:t xml:space="preserve">Lead</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PLEAD</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Natural Gas</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PNGASUS</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Potassium Fertilizer</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PPOTASH</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Soft Logs</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PLOGORE</w:t>
            </w:r>
          </w:p>
        </w:tc>
        <w:tc>
          <w:tcPr>
            <w:tcW w:type="dxa" w:w="3000"/>
            <w:tcMar>
              <w:top w:type="dxa" w:w="24"/>
              <w:left w:type="dxa" w:w="70"/>
              <w:bottom w:type="dxa" w:w="24"/>
              <w:right w:type="dxa" w:w="70"/>
            </w:tcMar>
          </w:tcPr>
          <w:p>
            <w:pPr>
              <w:spacing w:after="0" w:line="200"/>
              <w:jc w:val="left"/>
            </w:pPr>
            <w:r>
              <w:rPr>
                <w:color w:val="000000"/>
                <w:sz w:val="14"/>
                <w:szCs w:val="14"/>
              </w:rPr>
              <w:t xml:space="preserve">Propane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PPROPANE</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Logs, Cameroon</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PLOGSK</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Crude oil, Brent</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POILBRE</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Olive Oil</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POLVOIL</w:t>
            </w:r>
          </w:p>
        </w:tc>
        <w:tc>
          <w:tcPr>
            <w:tcW w:type="dxa" w:w="3000"/>
            <w:tcMar>
              <w:top w:type="dxa" w:w="24"/>
              <w:left w:type="dxa" w:w="70"/>
              <w:bottom w:type="dxa" w:w="24"/>
              <w:right w:type="dxa" w:w="70"/>
            </w:tcMar>
          </w:tcPr>
          <w:p>
            <w:pPr>
              <w:spacing w:after="0" w:line="200"/>
              <w:jc w:val="left"/>
            </w:pPr>
            <w:r>
              <w:rPr>
                <w:color w:val="000000"/>
                <w:sz w:val="14"/>
                <w:szCs w:val="14"/>
              </w:rPr>
              <w:t xml:space="preserve">Crude oil, Dubai</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POILDUB</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Coconut Oil</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PCOIL</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Crude oil, WTI</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POILWTI</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Rapeseed Oil</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PROIL</w:t>
            </w:r>
          </w:p>
        </w:tc>
        <w:tc>
          <w:tcPr>
            <w:tcW w:type="dxa" w:w="3000"/>
            <w:tcMar>
              <w:top w:type="dxa" w:w="24"/>
              <w:left w:type="dxa" w:w="70"/>
              <w:bottom w:type="dxa" w:w="24"/>
              <w:right w:type="dxa" w:w="70"/>
            </w:tcMar>
          </w:tcPr>
          <w:p>
            <w:pPr>
              <w:spacing w:after="0" w:line="200"/>
              <w:jc w:val="left"/>
            </w:pPr>
            <w:r>
              <w:rPr>
                <w:color w:val="000000"/>
                <w:sz w:val="14"/>
                <w:szCs w:val="14"/>
              </w:rPr>
              <w:t xml:space="preserve">Crude oil, average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POILAPSP</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Palm oil</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PPOIL</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Rice</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PRICENPQ</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Soybeans Oil</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PSOIL</w:t>
            </w:r>
          </w:p>
        </w:tc>
        <w:tc>
          <w:tcPr>
            <w:tcW w:type="dxa" w:w="3000"/>
            <w:tcMar>
              <w:top w:type="dxa" w:w="24"/>
              <w:left w:type="dxa" w:w="70"/>
              <w:bottom w:type="dxa" w:w="24"/>
              <w:right w:type="dxa" w:w="70"/>
            </w:tcMar>
          </w:tcPr>
          <w:p>
            <w:pPr>
              <w:spacing w:after="0" w:line="200"/>
              <w:jc w:val="left"/>
            </w:pPr>
            <w:r>
              <w:rPr>
                <w:color w:val="000000"/>
                <w:sz w:val="14"/>
                <w:szCs w:val="14"/>
              </w:rPr>
              <w:t xml:space="preserve">Fish</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PSALM</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Sunflower Oil</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PSUNO</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Soft Sawnwood</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PSAWORE</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Food index</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PFOOD</w:t>
            </w:r>
          </w:p>
        </w:tc>
        <w:tc>
          <w:tcPr>
            <w:tcW w:type="dxa" w:w="3000"/>
            <w:tcMar>
              <w:top w:type="dxa" w:w="24"/>
              <w:left w:type="dxa" w:w="70"/>
              <w:bottom w:type="dxa" w:w="24"/>
              <w:right w:type="dxa" w:w="70"/>
            </w:tcMar>
          </w:tcPr>
          <w:p>
            <w:pPr>
              <w:spacing w:after="0" w:line="200"/>
              <w:jc w:val="left"/>
            </w:pPr>
            <w:r>
              <w:rPr>
                <w:color w:val="000000"/>
                <w:sz w:val="14"/>
                <w:szCs w:val="14"/>
              </w:rPr>
              <w:t xml:space="preserve">Sawnwood, Cameroon</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PSAWMAL</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Food price index</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PFANDB</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Silicon</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PSILLUMP</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Wool index</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PWOOL</w:t>
            </w:r>
          </w:p>
        </w:tc>
        <w:tc>
          <w:tcPr>
            <w:tcW w:type="dxa" w:w="3000"/>
            <w:tcMar>
              <w:top w:type="dxa" w:w="24"/>
              <w:left w:type="dxa" w:w="70"/>
              <w:bottom w:type="dxa" w:w="24"/>
              <w:right w:type="dxa" w:w="70"/>
            </w:tcMar>
          </w:tcPr>
          <w:p>
            <w:pPr>
              <w:spacing w:after="0" w:line="200"/>
              <w:jc w:val="left"/>
            </w:pPr>
            <w:r>
              <w:rPr>
                <w:color w:val="000000"/>
                <w:sz w:val="14"/>
                <w:szCs w:val="14"/>
              </w:rPr>
              <w:t xml:space="preserve">Soybeans</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PSOYB</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All Metals Index</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PALLMETA</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Sorghum</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PSORG</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Non-energy price index</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PALLFNF</w:t>
            </w:r>
          </w:p>
        </w:tc>
        <w:tc>
          <w:tcPr>
            <w:tcW w:type="dxa" w:w="3000"/>
            <w:tcMar>
              <w:top w:type="dxa" w:w="24"/>
              <w:left w:type="dxa" w:w="70"/>
              <w:bottom w:type="dxa" w:w="24"/>
              <w:right w:type="dxa" w:w="70"/>
            </w:tcMar>
          </w:tcPr>
          <w:p>
            <w:pPr>
              <w:spacing w:after="0" w:line="200"/>
              <w:jc w:val="left"/>
            </w:pPr>
            <w:r>
              <w:rPr>
                <w:color w:val="000000"/>
                <w:sz w:val="14"/>
                <w:szCs w:val="14"/>
              </w:rPr>
              <w:t xml:space="preserve">Sugar</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PSUGAISA</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Commodities for Index: All</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PEXGALL</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Sugar</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PSUGAUSA</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Beverages index</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PBEVE</w:t>
            </w:r>
          </w:p>
        </w:tc>
        <w:tc>
          <w:tcPr>
            <w:tcW w:type="dxa" w:w="3000"/>
            <w:tcMar>
              <w:top w:type="dxa" w:w="24"/>
              <w:left w:type="dxa" w:w="70"/>
              <w:bottom w:type="dxa" w:w="24"/>
              <w:right w:type="dxa" w:w="70"/>
            </w:tcMar>
          </w:tcPr>
          <w:p>
            <w:pPr>
              <w:spacing w:after="0" w:line="200"/>
              <w:jc w:val="left"/>
            </w:pPr>
            <w:r>
              <w:rPr>
                <w:color w:val="000000"/>
                <w:sz w:val="14"/>
                <w:szCs w:val="14"/>
              </w:rPr>
              <w:t xml:space="preserve">Rare Earth Elements</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PREODOM</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Cereal index</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PCERE</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Tea</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PTEA</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Fertlizer</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PFERT</w:t>
            </w:r>
          </w:p>
        </w:tc>
        <w:tc>
          <w:tcPr>
            <w:tcW w:type="dxa" w:w="3000"/>
            <w:tcMar>
              <w:top w:type="dxa" w:w="24"/>
              <w:left w:type="dxa" w:w="70"/>
              <w:bottom w:type="dxa" w:w="24"/>
              <w:right w:type="dxa" w:w="70"/>
            </w:tcMar>
          </w:tcPr>
          <w:p>
            <w:pPr>
              <w:spacing w:after="0" w:line="200"/>
              <w:jc w:val="left"/>
            </w:pPr>
            <w:r>
              <w:rPr>
                <w:color w:val="000000"/>
                <w:sz w:val="14"/>
                <w:szCs w:val="14"/>
              </w:rPr>
              <w:t xml:space="preserve">Tea</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PTEAINDIA</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Vegetable oil index</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PVOIL</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Tea</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PTEAMOM</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Industrial Materials index</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PINDU</w:t>
            </w:r>
          </w:p>
        </w:tc>
        <w:tc>
          <w:tcPr>
            <w:tcW w:type="dxa" w:w="3000"/>
            <w:tcMar>
              <w:top w:type="dxa" w:w="24"/>
              <w:left w:type="dxa" w:w="70"/>
              <w:bottom w:type="dxa" w:w="24"/>
              <w:right w:type="dxa" w:w="70"/>
            </w:tcMar>
          </w:tcPr>
          <w:p>
            <w:pPr>
              <w:spacing w:after="0" w:line="200"/>
              <w:jc w:val="left"/>
            </w:pPr>
            <w:r>
              <w:rPr>
                <w:color w:val="000000"/>
                <w:sz w:val="14"/>
                <w:szCs w:val="14"/>
              </w:rPr>
              <w:t xml:space="preserve">Tea</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PTEASL</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Agricultural raw materials price index</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PRAWM</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Vegetables</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PTOMATO</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Metals and minerals price index</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PMETA</w:t>
            </w:r>
          </w:p>
        </w:tc>
        <w:tc>
          <w:tcPr>
            <w:tcW w:type="dxa" w:w="3000"/>
            <w:tcMar>
              <w:top w:type="dxa" w:w="24"/>
              <w:left w:type="dxa" w:w="70"/>
              <w:bottom w:type="dxa" w:w="24"/>
              <w:right w:type="dxa" w:w="70"/>
            </w:tcMar>
          </w:tcPr>
          <w:p>
            <w:pPr>
              <w:spacing w:after="0" w:line="200"/>
              <w:jc w:val="left"/>
            </w:pPr>
            <w:r>
              <w:rPr>
                <w:color w:val="000000"/>
                <w:sz w:val="14"/>
                <w:szCs w:val="14"/>
              </w:rPr>
              <w:t xml:space="preserve">Soybean Meal</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PSMEA</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Energy Transition Metal Index</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PENTM</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Uranium</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PURAN</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All Metals EX GOLD Index</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PEXGMETA</w:t>
            </w:r>
          </w:p>
        </w:tc>
        <w:tc>
          <w:tcPr>
            <w:tcW w:type="dxa" w:w="3000"/>
            <w:tcMar>
              <w:top w:type="dxa" w:w="24"/>
              <w:left w:type="dxa" w:w="70"/>
              <w:bottom w:type="dxa" w:w="24"/>
              <w:right w:type="dxa" w:w="70"/>
            </w:tcMar>
          </w:tcPr>
          <w:p>
            <w:pPr>
              <w:spacing w:after="0" w:line="200"/>
              <w:jc w:val="left"/>
            </w:pPr>
            <w:r>
              <w:rPr>
                <w:color w:val="000000"/>
                <w:sz w:val="14"/>
                <w:szCs w:val="14"/>
              </w:rPr>
              <w:t xml:space="preserve">Urea</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PUREA</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Precious Metals Price Index</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PPMETA</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Vanadium</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PVANPENT</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Agriculture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PAGRI</w:t>
            </w:r>
          </w:p>
        </w:tc>
        <w:tc>
          <w:tcPr>
            <w:tcW w:type="dxa" w:w="3000"/>
            <w:tcMar>
              <w:top w:type="dxa" w:w="24"/>
              <w:left w:type="dxa" w:w="70"/>
              <w:bottom w:type="dxa" w:w="24"/>
              <w:right w:type="dxa" w:w="70"/>
            </w:tcMar>
          </w:tcPr>
          <w:p>
            <w:pPr>
              <w:spacing w:after="0" w:line="200"/>
              <w:jc w:val="left"/>
            </w:pPr>
            <w:r>
              <w:rPr>
                <w:color w:val="000000"/>
                <w:sz w:val="14"/>
                <w:szCs w:val="14"/>
              </w:rPr>
              <w:t xml:space="preserve">Beef</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PBEEF</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Seafood index</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PSEAF</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Lamb</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PLAMB</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Non-Fuel index</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PNFUEL</w:t>
            </w:r>
          </w:p>
        </w:tc>
        <w:tc>
          <w:tcPr>
            <w:tcW w:type="dxa" w:w="3000"/>
            <w:tcMar>
              <w:top w:type="dxa" w:w="24"/>
              <w:left w:type="dxa" w:w="70"/>
              <w:bottom w:type="dxa" w:w="24"/>
              <w:right w:type="dxa" w:w="70"/>
            </w:tcMar>
          </w:tcPr>
          <w:p>
            <w:pPr>
              <w:spacing w:after="0" w:line="200"/>
              <w:jc w:val="left"/>
            </w:pPr>
            <w:r>
              <w:rPr>
                <w:color w:val="000000"/>
                <w:sz w:val="14"/>
                <w:szCs w:val="14"/>
              </w:rPr>
              <w:t xml:space="preserve">Swine</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PPORK</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Energy price index</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PNRG</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Poultry</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PPOULT</w:t>
            </w:r>
          </w:p>
        </w:tc>
      </w:tr>
      <w:tr>
        <w:tc>
          <w:tcPr>
            <w:tcW w:type="dxa" w:w="3000"/>
            <w:tcMar>
              <w:top w:type="dxa" w:w="24"/>
              <w:left w:type="dxa" w:w="70"/>
              <w:bottom w:type="dxa" w:w="24"/>
              <w:right w:type="dxa" w:w="70"/>
            </w:tcMar>
          </w:tcPr>
          <w:p>
            <w:pPr>
              <w:spacing w:after="0" w:line="200"/>
              <w:jc w:val="left"/>
            </w:pPr>
            <w:r>
              <w:rPr>
                <w:color w:val="000000"/>
                <w:sz w:val="14"/>
                <w:szCs w:val="14"/>
              </w:rPr>
              <w:t xml:space="preserve">Low and Middle Income Commodity Index (World Bank)</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LMICS</w:t>
            </w:r>
          </w:p>
        </w:tc>
        <w:tc>
          <w:tcPr>
            <w:tcW w:type="dxa" w:w="3000"/>
            <w:tcMar>
              <w:top w:type="dxa" w:w="24"/>
              <w:left w:type="dxa" w:w="70"/>
              <w:bottom w:type="dxa" w:w="24"/>
              <w:right w:type="dxa" w:w="70"/>
            </w:tcMar>
          </w:tcPr>
          <w:p>
            <w:pPr>
              <w:spacing w:after="0" w:line="200"/>
              <w:jc w:val="left"/>
            </w:pPr>
            <w:r>
              <w:rPr>
                <w:color w:val="000000"/>
                <w:sz w:val="14"/>
                <w:szCs w:val="14"/>
              </w:rPr>
              <w:t xml:space="preserve">Zinc</w:t>
            </w:r>
          </w:p>
        </w:tc>
        <w:tc>
          <w:tcPr>
            <w:tcW w:type="dxa" w:w="1677"/>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PZINC</w:t>
            </w:r>
          </w:p>
        </w:tc>
      </w:tr>
      <w:tr>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Meat Index</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PMEAT</w:t>
            </w:r>
          </w:p>
        </w:tc>
        <w:tc>
          <w:tcPr>
            <w:tcW w:type="dxa" w:w="3000"/>
            <w:shd w:fill="F2F2F2" w:color="auto" w:val="clear"/>
            <w:tcMar>
              <w:top w:type="dxa" w:w="24"/>
              <w:left w:type="dxa" w:w="70"/>
              <w:bottom w:type="dxa" w:w="24"/>
              <w:right w:type="dxa" w:w="70"/>
            </w:tcMar>
          </w:tcPr>
          <w:p>
            <w:pPr>
              <w:spacing w:after="0" w:line="200"/>
              <w:jc w:val="left"/>
            </w:pPr>
            <w:r>
              <w:rPr>
                <w:color w:val="000000"/>
                <w:sz w:val="14"/>
                <w:szCs w:val="14"/>
              </w:rPr>
              <w:t xml:space="preserve">Tin</w:t>
            </w:r>
          </w:p>
        </w:tc>
        <w:tc>
          <w:tcPr>
            <w:tcW w:type="dxa" w:w="1677"/>
            <w:shd w:fill="F2F2F2" w:color="auto" w:val="clear"/>
            <w:tcMar>
              <w:top w:type="dxa" w:w="24"/>
              <w:left w:type="dxa" w:w="70"/>
              <w:bottom w:type="dxa" w:w="24"/>
              <w:right w:type="dxa" w:w="70"/>
            </w:tcMar>
          </w:tcPr>
          <w:p>
            <w:pPr>
              <w:spacing w:after="0" w:line="200"/>
              <w:jc w:val="left"/>
            </w:pPr>
            <w:r>
              <w:rPr>
                <w:rFonts w:ascii="Consolas" w:cs="Consolas" w:eastAsia="Consolas" w:hAnsi="Consolas"/>
                <w:color w:val="000000"/>
                <w:sz w:val="14"/>
                <w:szCs w:val="14"/>
              </w:rPr>
              <w:t xml:space="preserve">PTIN</w:t>
            </w:r>
          </w:p>
        </w:tc>
      </w:tr>
    </w:tbl>
    <w:p>
      <w:pPr>
        <w:spacing w:after="180" w:before="70"/>
      </w:pPr>
      <w:r>
        <w:rPr>
          <w:i/>
          <w:iCs/>
          <w:color w:val="5C6672"/>
          <w:sz w:val="16"/>
          <w:szCs w:val="16"/>
        </w:rPr>
        <w:t xml:space="preserve">Source: Fichier PCPS</w:t>
      </w:r>
    </w:p>
    <w:p>
      <w:pPr>
        <w:spacing w:after="160" w:line="288"/>
        <w:jc w:val="both"/>
      </w:pPr>
      <w:r>
        <w:rPr>
          <w:b w:val="false"/>
          <w:bCs w:val="false"/>
          <w:i w:val="false"/>
          <w:iCs w:val="false"/>
          <w:sz w:val="21"/>
          <w:szCs w:val="21"/>
        </w:rPr>
        <w:t xml:space="preserve"/>
      </w:r>
    </w:p>
    <w:p>
      <w:r>
        <w:br w:type="page"/>
      </w:r>
    </w:p>
    <w:p>
      <w:pPr>
        <w:spacing w:after="120" w:before="0"/>
      </w:pPr>
      <w:r>
        <w:rPr>
          <w:color w:val="000000"/>
          <w:sz w:val="26"/>
          <w:szCs w:val="26"/>
        </w:rPr>
        <w:t xml:space="preserve">Appendix B</w:t>
      </w:r>
    </w:p>
    <w:p>
      <w:pPr>
        <w:pStyle w:val="Heading1"/>
        <w:spacing w:after="260" w:before="0"/>
      </w:pPr>
      <w:r>
        <w:t xml:space="preserve">Frequency reference</w:t>
      </w:r>
    </w:p>
    <w:p>
      <w:pPr>
        <w:spacing w:after="140" w:line="288"/>
        <w:jc w:val="both"/>
      </w:pPr>
      <w:r>
        <w:rPr>
          <w:b w:val="false"/>
          <w:bCs w:val="false"/>
          <w:i w:val="false"/>
          <w:iCs w:val="false"/>
          <w:sz w:val="21"/>
          <w:szCs w:val="21"/>
        </w:rPr>
        <w:t xml:space="preserve">The database schema recognises seven steps. Not all are fed.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54"/>
      </w:tblGrid>
      <w:tr>
        <w:trPr>
          <w:tblHeader/>
        </w:trPr>
        <w:tc>
          <w:tcPr>
            <w:tcW w:type="dxa" w:w="2500"/>
            <w:shd w:fill="3A3A3A" w:color="auto" w:val="clear"/>
            <w:tcMar>
              <w:top w:type="dxa" w:w="60"/>
              <w:left w:type="dxa" w:w="90"/>
              <w:bottom w:type="dxa" w:w="60"/>
              <w:right w:type="dxa" w:w="90"/>
            </w:tcMar>
          </w:tcPr>
          <w:p>
            <w:pPr>
              <w:spacing w:after="0" w:line="240"/>
              <w:jc w:val="left"/>
            </w:pPr>
            <w:r>
              <w:rPr>
                <w:b/>
                <w:bCs/>
                <w:color w:val="FFFFFF"/>
                <w:sz w:val="18"/>
                <w:szCs w:val="18"/>
              </w:rPr>
              <w:t xml:space="preserve">Code</w:t>
            </w:r>
          </w:p>
        </w:tc>
        <w:tc>
          <w:tcPr>
            <w:tcW w:type="dxa" w:w="3500"/>
            <w:shd w:fill="3A3A3A" w:color="auto" w:val="clear"/>
            <w:tcMar>
              <w:top w:type="dxa" w:w="60"/>
              <w:left w:type="dxa" w:w="90"/>
              <w:bottom w:type="dxa" w:w="60"/>
              <w:right w:type="dxa" w:w="90"/>
            </w:tcMar>
          </w:tcPr>
          <w:p>
            <w:pPr>
              <w:spacing w:after="0" w:line="240"/>
              <w:jc w:val="left"/>
            </w:pPr>
            <w:r>
              <w:rPr>
                <w:b/>
                <w:bCs/>
                <w:color w:val="FFFFFF"/>
                <w:sz w:val="18"/>
                <w:szCs w:val="18"/>
              </w:rPr>
              <w:t xml:space="preserve">Label</w:t>
            </w:r>
          </w:p>
        </w:tc>
        <w:tc>
          <w:tcPr>
            <w:tcW w:type="dxa" w:w="3354"/>
            <w:shd w:fill="3A3A3A" w:color="auto" w:val="clear"/>
            <w:tcMar>
              <w:top w:type="dxa" w:w="60"/>
              <w:left w:type="dxa" w:w="90"/>
              <w:bottom w:type="dxa" w:w="60"/>
              <w:right w:type="dxa" w:w="90"/>
            </w:tcMar>
          </w:tcPr>
          <w:p>
            <w:pPr>
              <w:spacing w:after="0" w:line="240"/>
              <w:jc w:val="left"/>
            </w:pPr>
            <w:r>
              <w:rPr>
                <w:b/>
                <w:bCs/>
                <w:color w:val="FFFFFF"/>
                <w:sz w:val="18"/>
                <w:szCs w:val="18"/>
              </w:rPr>
              <w:t xml:space="preserve">Fed today</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A</w:t>
            </w:r>
          </w:p>
        </w:tc>
        <w:tc>
          <w:tcPr>
            <w:tcW w:type="dxa" w:w="3500"/>
            <w:tcMar>
              <w:top w:type="dxa" w:w="60"/>
              <w:left w:type="dxa" w:w="90"/>
              <w:bottom w:type="dxa" w:w="60"/>
              <w:right w:type="dxa" w:w="90"/>
            </w:tcMar>
          </w:tcPr>
          <w:p>
            <w:pPr>
              <w:spacing w:after="0" w:line="240"/>
              <w:jc w:val="left"/>
            </w:pPr>
            <w:r>
              <w:rPr>
                <w:color w:val="000000"/>
                <w:sz w:val="18"/>
                <w:szCs w:val="18"/>
              </w:rPr>
              <w:t xml:space="preserve">Annual</w:t>
            </w:r>
          </w:p>
        </w:tc>
        <w:tc>
          <w:tcPr>
            <w:tcW w:type="dxa" w:w="3354"/>
            <w:tcMar>
              <w:top w:type="dxa" w:w="60"/>
              <w:left w:type="dxa" w:w="90"/>
              <w:bottom w:type="dxa" w:w="60"/>
              <w:right w:type="dxa" w:w="90"/>
            </w:tcMar>
          </w:tcPr>
          <w:p>
            <w:pPr>
              <w:spacing w:after="0" w:line="240"/>
              <w:jc w:val="left"/>
            </w:pPr>
            <w:r>
              <w:rPr>
                <w:color w:val="000000"/>
                <w:sz w:val="18"/>
                <w:szCs w:val="18"/>
              </w:rPr>
              <w:t xml:space="preserve">Yes, most of the catalogue</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S</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Half-yearly</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No</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T</w:t>
            </w:r>
          </w:p>
        </w:tc>
        <w:tc>
          <w:tcPr>
            <w:tcW w:type="dxa" w:w="3500"/>
            <w:tcMar>
              <w:top w:type="dxa" w:w="60"/>
              <w:left w:type="dxa" w:w="90"/>
              <w:bottom w:type="dxa" w:w="60"/>
              <w:right w:type="dxa" w:w="90"/>
            </w:tcMar>
          </w:tcPr>
          <w:p>
            <w:pPr>
              <w:spacing w:after="0" w:line="240"/>
              <w:jc w:val="left"/>
            </w:pPr>
            <w:r>
              <w:rPr>
                <w:color w:val="000000"/>
                <w:sz w:val="18"/>
                <w:szCs w:val="18"/>
              </w:rPr>
              <w:t xml:space="preserve">Quarterly</w:t>
            </w:r>
          </w:p>
        </w:tc>
        <w:tc>
          <w:tcPr>
            <w:tcW w:type="dxa" w:w="3354"/>
            <w:tcMar>
              <w:top w:type="dxa" w:w="60"/>
              <w:left w:type="dxa" w:w="90"/>
              <w:bottom w:type="dxa" w:w="60"/>
              <w:right w:type="dxa" w:w="90"/>
            </w:tcMar>
          </w:tcPr>
          <w:p>
            <w:pPr>
              <w:spacing w:after="0" w:line="240"/>
              <w:jc w:val="left"/>
            </w:pPr>
            <w:r>
              <w:rPr>
                <w:color w:val="000000"/>
                <w:sz w:val="18"/>
                <w:szCs w:val="18"/>
              </w:rPr>
              <w:t xml:space="preserve">No</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M</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Monthly</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Yes, commodity prices</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H</w:t>
            </w:r>
          </w:p>
        </w:tc>
        <w:tc>
          <w:tcPr>
            <w:tcW w:type="dxa" w:w="3500"/>
            <w:tcMar>
              <w:top w:type="dxa" w:w="60"/>
              <w:left w:type="dxa" w:w="90"/>
              <w:bottom w:type="dxa" w:w="60"/>
              <w:right w:type="dxa" w:w="90"/>
            </w:tcMar>
          </w:tcPr>
          <w:p>
            <w:pPr>
              <w:spacing w:after="0" w:line="240"/>
              <w:jc w:val="left"/>
            </w:pPr>
            <w:r>
              <w:rPr>
                <w:color w:val="000000"/>
                <w:sz w:val="18"/>
                <w:szCs w:val="18"/>
              </w:rPr>
              <w:t xml:space="preserve">Weekly</w:t>
            </w:r>
          </w:p>
        </w:tc>
        <w:tc>
          <w:tcPr>
            <w:tcW w:type="dxa" w:w="3354"/>
            <w:tcMar>
              <w:top w:type="dxa" w:w="60"/>
              <w:left w:type="dxa" w:w="90"/>
              <w:bottom w:type="dxa" w:w="60"/>
              <w:right w:type="dxa" w:w="90"/>
            </w:tcMar>
          </w:tcPr>
          <w:p>
            <w:pPr>
              <w:spacing w:after="0" w:line="240"/>
              <w:jc w:val="left"/>
            </w:pPr>
            <w:r>
              <w:rPr>
                <w:color w:val="000000"/>
                <w:sz w:val="18"/>
                <w:szCs w:val="18"/>
              </w:rPr>
              <w:t xml:space="preserve">No</w:t>
            </w:r>
          </w:p>
        </w:tc>
      </w:tr>
      <w:tr>
        <w:tc>
          <w:tcPr>
            <w:tcW w:type="dxa" w:w="2500"/>
            <w:shd w:fill="F2F2F2" w:color="auto" w:val="clear"/>
            <w:tcMar>
              <w:top w:type="dxa" w:w="60"/>
              <w:left w:type="dxa" w:w="90"/>
              <w:bottom w:type="dxa" w:w="60"/>
              <w:right w:type="dxa" w:w="90"/>
            </w:tcMar>
          </w:tcPr>
          <w:p>
            <w:pPr>
              <w:spacing w:after="0" w:line="240"/>
              <w:jc w:val="left"/>
            </w:pPr>
            <w:r>
              <w:rPr>
                <w:color w:val="000000"/>
                <w:sz w:val="18"/>
                <w:szCs w:val="18"/>
              </w:rPr>
              <w:t xml:space="preserve">J</w:t>
            </w:r>
          </w:p>
        </w:tc>
        <w:tc>
          <w:tcPr>
            <w:tcW w:type="dxa" w:w="3500"/>
            <w:shd w:fill="F2F2F2" w:color="auto" w:val="clear"/>
            <w:tcMar>
              <w:top w:type="dxa" w:w="60"/>
              <w:left w:type="dxa" w:w="90"/>
              <w:bottom w:type="dxa" w:w="60"/>
              <w:right w:type="dxa" w:w="90"/>
            </w:tcMar>
          </w:tcPr>
          <w:p>
            <w:pPr>
              <w:spacing w:after="0" w:line="240"/>
              <w:jc w:val="left"/>
            </w:pPr>
            <w:r>
              <w:rPr>
                <w:color w:val="000000"/>
                <w:sz w:val="18"/>
                <w:szCs w:val="18"/>
              </w:rPr>
              <w:t xml:space="preserve">Daily</w:t>
            </w:r>
          </w:p>
        </w:tc>
        <w:tc>
          <w:tcPr>
            <w:tcW w:type="dxa" w:w="3354"/>
            <w:shd w:fill="F2F2F2" w:color="auto" w:val="clear"/>
            <w:tcMar>
              <w:top w:type="dxa" w:w="60"/>
              <w:left w:type="dxa" w:w="90"/>
              <w:bottom w:type="dxa" w:w="60"/>
              <w:right w:type="dxa" w:w="90"/>
            </w:tcMar>
          </w:tcPr>
          <w:p>
            <w:pPr>
              <w:spacing w:after="0" w:line="240"/>
              <w:jc w:val="left"/>
            </w:pPr>
            <w:r>
              <w:rPr>
                <w:color w:val="000000"/>
                <w:sz w:val="18"/>
                <w:szCs w:val="18"/>
              </w:rPr>
              <w:t xml:space="preserve">No</w:t>
            </w:r>
          </w:p>
        </w:tc>
      </w:tr>
      <w:tr>
        <w:tc>
          <w:tcPr>
            <w:tcW w:type="dxa" w:w="2500"/>
            <w:tcMar>
              <w:top w:type="dxa" w:w="60"/>
              <w:left w:type="dxa" w:w="90"/>
              <w:bottom w:type="dxa" w:w="60"/>
              <w:right w:type="dxa" w:w="90"/>
            </w:tcMar>
          </w:tcPr>
          <w:p>
            <w:pPr>
              <w:spacing w:after="0" w:line="240"/>
              <w:jc w:val="left"/>
            </w:pPr>
            <w:r>
              <w:rPr>
                <w:color w:val="000000"/>
                <w:sz w:val="18"/>
                <w:szCs w:val="18"/>
              </w:rPr>
              <w:t xml:space="preserve">I</w:t>
            </w:r>
          </w:p>
        </w:tc>
        <w:tc>
          <w:tcPr>
            <w:tcW w:type="dxa" w:w="3500"/>
            <w:tcMar>
              <w:top w:type="dxa" w:w="60"/>
              <w:left w:type="dxa" w:w="90"/>
              <w:bottom w:type="dxa" w:w="60"/>
              <w:right w:type="dxa" w:w="90"/>
            </w:tcMar>
          </w:tcPr>
          <w:p>
            <w:pPr>
              <w:spacing w:after="0" w:line="240"/>
              <w:jc w:val="left"/>
            </w:pPr>
            <w:r>
              <w:rPr>
                <w:color w:val="000000"/>
                <w:sz w:val="18"/>
                <w:szCs w:val="18"/>
              </w:rPr>
              <w:t xml:space="preserve">Intraday</w:t>
            </w:r>
          </w:p>
        </w:tc>
        <w:tc>
          <w:tcPr>
            <w:tcW w:type="dxa" w:w="3354"/>
            <w:tcMar>
              <w:top w:type="dxa" w:w="60"/>
              <w:left w:type="dxa" w:w="90"/>
              <w:bottom w:type="dxa" w:w="60"/>
              <w:right w:type="dxa" w:w="90"/>
            </w:tcMar>
          </w:tcPr>
          <w:p>
            <w:pPr>
              <w:spacing w:after="0" w:line="240"/>
              <w:jc w:val="left"/>
            </w:pPr>
            <w:r>
              <w:rPr>
                <w:color w:val="000000"/>
                <w:sz w:val="18"/>
                <w:szCs w:val="18"/>
              </w:rPr>
              <w:t xml:space="preserve">No</w:t>
            </w:r>
          </w:p>
        </w:tc>
      </w:tr>
    </w:tbl>
    <w:p>
      <w:pPr>
        <w:spacing w:after="220" w:before="90"/>
        <w:jc w:val="center"/>
      </w:pPr>
      <w:r>
        <w:rPr>
          <w:i/>
          <w:iCs/>
          <w:color w:val="5C6672"/>
          <w:sz w:val="17"/>
          <w:szCs w:val="17"/>
        </w:rPr>
        <w:t xml:space="preserve">Table 9. Recognised frequencies</w:t>
      </w:r>
    </w:p>
    <w:p>
      <w:pPr>
        <w:spacing w:after="140" w:line="288"/>
        <w:jc w:val="both"/>
      </w:pPr>
      <w:r>
        <w:rPr>
          <w:b w:val="false"/>
          <w:bCs w:val="false"/>
          <w:i w:val="false"/>
          <w:iCs w:val="false"/>
          <w:sz w:val="21"/>
          <w:szCs w:val="21"/>
        </w:rPr>
        <w:t xml:space="preserve">Steps that are not fed are never offered in the filter. The day a source feeds them, they will appear with no interface change.</w:t>
      </w:r>
    </w:p>
    <w:p>
      <w:pPr>
        <w:spacing w:after="120" w:before="0"/>
      </w:pPr>
      <w:r>
        <w:rPr>
          <w:color w:val="000000"/>
          <w:sz w:val="26"/>
          <w:szCs w:val="26"/>
        </w:rPr>
        <w:t xml:space="preserve">Appendix C</w:t>
      </w:r>
    </w:p>
    <w:p>
      <w:pPr>
        <w:pStyle w:val="Heading1"/>
        <w:spacing w:after="260" w:before="0"/>
      </w:pPr>
      <w:r>
        <w:t xml:space="preserve">Glossary</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00"/>
        <w:gridCol w:w="6254"/>
      </w:tblGrid>
      <w:tr>
        <w:trPr>
          <w:tblHeader/>
        </w:trPr>
        <w:tc>
          <w:tcPr>
            <w:tcW w:type="dxa" w:w="3100"/>
            <w:shd w:fill="3A3A3A" w:color="auto" w:val="clear"/>
            <w:tcMar>
              <w:top w:type="dxa" w:w="60"/>
              <w:left w:type="dxa" w:w="90"/>
              <w:bottom w:type="dxa" w:w="60"/>
              <w:right w:type="dxa" w:w="90"/>
            </w:tcMar>
          </w:tcPr>
          <w:p>
            <w:pPr>
              <w:spacing w:after="0" w:line="240"/>
              <w:jc w:val="left"/>
            </w:pPr>
            <w:r>
              <w:rPr>
                <w:b/>
                <w:bCs/>
                <w:color w:val="FFFFFF"/>
                <w:sz w:val="18"/>
                <w:szCs w:val="18"/>
              </w:rPr>
              <w:t xml:space="preserve">Term</w:t>
            </w:r>
          </w:p>
        </w:tc>
        <w:tc>
          <w:tcPr>
            <w:tcW w:type="dxa" w:w="6254"/>
            <w:shd w:fill="3A3A3A" w:color="auto" w:val="clear"/>
            <w:tcMar>
              <w:top w:type="dxa" w:w="60"/>
              <w:left w:type="dxa" w:w="90"/>
              <w:bottom w:type="dxa" w:w="60"/>
              <w:right w:type="dxa" w:w="90"/>
            </w:tcMar>
          </w:tcPr>
          <w:p>
            <w:pPr>
              <w:spacing w:after="0" w:line="240"/>
              <w:jc w:val="left"/>
            </w:pPr>
            <w:r>
              <w:rPr>
                <w:b/>
                <w:bCs/>
                <w:color w:val="FFFFFF"/>
                <w:sz w:val="18"/>
                <w:szCs w:val="18"/>
              </w:rPr>
              <w:t xml:space="preserve">Definition</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Aggregate</w:t>
            </w:r>
          </w:p>
        </w:tc>
        <w:tc>
          <w:tcPr>
            <w:tcW w:type="dxa" w:w="6254"/>
            <w:tcMar>
              <w:top w:type="dxa" w:w="60"/>
              <w:left w:type="dxa" w:w="90"/>
              <w:bottom w:type="dxa" w:w="60"/>
              <w:right w:type="dxa" w:w="90"/>
            </w:tcMar>
          </w:tcPr>
          <w:p>
            <w:pPr>
              <w:spacing w:after="0" w:line="240"/>
              <w:jc w:val="left"/>
            </w:pPr>
            <w:r>
              <w:rPr>
                <w:color w:val="000000"/>
                <w:sz w:val="18"/>
                <w:szCs w:val="18"/>
              </w:rPr>
              <w:t xml:space="preserve">A grouping of countries published by the provider: the world, a region, an income group. Excluded from maps and rankings.</w:t>
            </w:r>
          </w:p>
        </w:tc>
      </w:tr>
      <w:tr>
        <w:tc>
          <w:tcPr>
            <w:tcW w:type="dxa" w:w="3100"/>
            <w:shd w:fill="F2F2F2" w:color="auto" w:val="clear"/>
            <w:tcMar>
              <w:top w:type="dxa" w:w="60"/>
              <w:left w:type="dxa" w:w="90"/>
              <w:bottom w:type="dxa" w:w="60"/>
              <w:right w:type="dxa" w:w="90"/>
            </w:tcMar>
          </w:tcPr>
          <w:p>
            <w:pPr>
              <w:spacing w:after="0" w:line="240"/>
              <w:jc w:val="left"/>
            </w:pPr>
            <w:r>
              <w:rPr>
                <w:color w:val="000000"/>
                <w:sz w:val="18"/>
                <w:szCs w:val="18"/>
              </w:rPr>
              <w:t xml:space="preserve">Base 100</w:t>
            </w:r>
          </w:p>
        </w:tc>
        <w:tc>
          <w:tcPr>
            <w:tcW w:type="dxa" w:w="6254"/>
            <w:shd w:fill="F2F2F2" w:color="auto" w:val="clear"/>
            <w:tcMar>
              <w:top w:type="dxa" w:w="60"/>
              <w:left w:type="dxa" w:w="90"/>
              <w:bottom w:type="dxa" w:w="60"/>
              <w:right w:type="dxa" w:w="90"/>
            </w:tcMar>
          </w:tcPr>
          <w:p>
            <w:pPr>
              <w:spacing w:after="0" w:line="240"/>
              <w:jc w:val="left"/>
            </w:pPr>
            <w:r>
              <w:rPr>
                <w:color w:val="000000"/>
                <w:sz w:val="18"/>
                <w:szCs w:val="18"/>
              </w:rPr>
              <w:t xml:space="preserve">Transformation rebasing each series to one hundred at its first observation, to compare relative movements.</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Category</w:t>
            </w:r>
          </w:p>
        </w:tc>
        <w:tc>
          <w:tcPr>
            <w:tcW w:type="dxa" w:w="6254"/>
            <w:tcMar>
              <w:top w:type="dxa" w:w="60"/>
              <w:left w:type="dxa" w:w="90"/>
              <w:bottom w:type="dxa" w:w="60"/>
              <w:right w:type="dxa" w:w="90"/>
            </w:tcMar>
          </w:tcPr>
          <w:p>
            <w:pPr>
              <w:spacing w:after="0" w:line="240"/>
              <w:jc w:val="left"/>
            </w:pPr>
            <w:r>
              <w:rPr>
                <w:color w:val="000000"/>
                <w:sz w:val="18"/>
                <w:szCs w:val="18"/>
              </w:rPr>
              <w:t xml:space="preserve">One of the fourteen thematic groupings of indicators.</w:t>
            </w:r>
          </w:p>
        </w:tc>
      </w:tr>
      <w:tr>
        <w:tc>
          <w:tcPr>
            <w:tcW w:type="dxa" w:w="3100"/>
            <w:shd w:fill="F2F2F2" w:color="auto" w:val="clear"/>
            <w:tcMar>
              <w:top w:type="dxa" w:w="60"/>
              <w:left w:type="dxa" w:w="90"/>
              <w:bottom w:type="dxa" w:w="60"/>
              <w:right w:type="dxa" w:w="90"/>
            </w:tcMar>
          </w:tcPr>
          <w:p>
            <w:pPr>
              <w:spacing w:after="0" w:line="240"/>
              <w:jc w:val="left"/>
            </w:pPr>
            <w:r>
              <w:rPr>
                <w:color w:val="000000"/>
                <w:sz w:val="18"/>
                <w:szCs w:val="18"/>
              </w:rPr>
              <w:t xml:space="preserve">Collection code</w:t>
            </w:r>
          </w:p>
        </w:tc>
        <w:tc>
          <w:tcPr>
            <w:tcW w:type="dxa" w:w="6254"/>
            <w:shd w:fill="F2F2F2" w:color="auto" w:val="clear"/>
            <w:tcMar>
              <w:top w:type="dxa" w:w="60"/>
              <w:left w:type="dxa" w:w="90"/>
              <w:bottom w:type="dxa" w:w="60"/>
              <w:right w:type="dxa" w:w="90"/>
            </w:tcMar>
          </w:tcPr>
          <w:p>
            <w:pPr>
              <w:spacing w:after="0" w:line="240"/>
              <w:jc w:val="left"/>
            </w:pPr>
            <w:r>
              <w:rPr>
                <w:color w:val="000000"/>
                <w:sz w:val="18"/>
                <w:szCs w:val="18"/>
              </w:rPr>
              <w:t xml:space="preserve">Identifier of the series with its provider. Must not be altered.</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Collection</w:t>
            </w:r>
          </w:p>
        </w:tc>
        <w:tc>
          <w:tcPr>
            <w:tcW w:type="dxa" w:w="6254"/>
            <w:tcMar>
              <w:top w:type="dxa" w:w="60"/>
              <w:left w:type="dxa" w:w="90"/>
              <w:bottom w:type="dxa" w:w="60"/>
              <w:right w:type="dxa" w:w="90"/>
            </w:tcMar>
          </w:tcPr>
          <w:p>
            <w:pPr>
              <w:spacing w:after="0" w:line="240"/>
              <w:jc w:val="left"/>
            </w:pPr>
            <w:r>
              <w:rPr>
                <w:color w:val="000000"/>
                <w:sz w:val="18"/>
                <w:szCs w:val="18"/>
              </w:rPr>
              <w:t xml:space="preserve">Running the connectors towards the providers, followed by writing to the database.</w:t>
            </w:r>
          </w:p>
        </w:tc>
      </w:tr>
      <w:tr>
        <w:tc>
          <w:tcPr>
            <w:tcW w:type="dxa" w:w="3100"/>
            <w:shd w:fill="F2F2F2" w:color="auto" w:val="clear"/>
            <w:tcMar>
              <w:top w:type="dxa" w:w="60"/>
              <w:left w:type="dxa" w:w="90"/>
              <w:bottom w:type="dxa" w:w="60"/>
              <w:right w:type="dxa" w:w="90"/>
            </w:tcMar>
          </w:tcPr>
          <w:p>
            <w:pPr>
              <w:spacing w:after="0" w:line="240"/>
              <w:jc w:val="left"/>
            </w:pPr>
            <w:r>
              <w:rPr>
                <w:color w:val="000000"/>
                <w:sz w:val="18"/>
                <w:szCs w:val="18"/>
              </w:rPr>
              <w:t xml:space="preserve">Connector</w:t>
            </w:r>
          </w:p>
        </w:tc>
        <w:tc>
          <w:tcPr>
            <w:tcW w:type="dxa" w:w="6254"/>
            <w:shd w:fill="F2F2F2" w:color="auto" w:val="clear"/>
            <w:tcMar>
              <w:top w:type="dxa" w:w="60"/>
              <w:left w:type="dxa" w:w="90"/>
              <w:bottom w:type="dxa" w:w="60"/>
              <w:right w:type="dxa" w:w="90"/>
            </w:tcMar>
          </w:tcPr>
          <w:p>
            <w:pPr>
              <w:spacing w:after="0" w:line="240"/>
              <w:jc w:val="left"/>
            </w:pPr>
            <w:r>
              <w:rPr>
                <w:color w:val="000000"/>
                <w:sz w:val="18"/>
                <w:szCs w:val="18"/>
              </w:rPr>
              <w:t xml:space="preserve">Component responsible for querying one provider and normalising its response.</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Frequency</w:t>
            </w:r>
          </w:p>
        </w:tc>
        <w:tc>
          <w:tcPr>
            <w:tcW w:type="dxa" w:w="6254"/>
            <w:tcMar>
              <w:top w:type="dxa" w:w="60"/>
              <w:left w:type="dxa" w:w="90"/>
              <w:bottom w:type="dxa" w:w="60"/>
              <w:right w:type="dxa" w:w="90"/>
            </w:tcMar>
          </w:tcPr>
          <w:p>
            <w:pPr>
              <w:spacing w:after="0" w:line="240"/>
              <w:jc w:val="left"/>
            </w:pPr>
            <w:r>
              <w:rPr>
                <w:color w:val="000000"/>
                <w:sz w:val="18"/>
                <w:szCs w:val="18"/>
              </w:rPr>
              <w:t xml:space="preserve">Time step of a series: annual, quarterly, monthly.</w:t>
            </w:r>
          </w:p>
        </w:tc>
      </w:tr>
      <w:tr>
        <w:tc>
          <w:tcPr>
            <w:tcW w:type="dxa" w:w="3100"/>
            <w:shd w:fill="F2F2F2" w:color="auto" w:val="clear"/>
            <w:tcMar>
              <w:top w:type="dxa" w:w="60"/>
              <w:left w:type="dxa" w:w="90"/>
              <w:bottom w:type="dxa" w:w="60"/>
              <w:right w:type="dxa" w:w="90"/>
            </w:tcMar>
          </w:tcPr>
          <w:p>
            <w:pPr>
              <w:spacing w:after="0" w:line="240"/>
              <w:jc w:val="left"/>
            </w:pPr>
            <w:r>
              <w:rPr>
                <w:color w:val="000000"/>
                <w:sz w:val="18"/>
                <w:szCs w:val="18"/>
              </w:rPr>
              <w:t xml:space="preserve">Collection log</w:t>
            </w:r>
          </w:p>
        </w:tc>
        <w:tc>
          <w:tcPr>
            <w:tcW w:type="dxa" w:w="6254"/>
            <w:shd w:fill="F2F2F2" w:color="auto" w:val="clear"/>
            <w:tcMar>
              <w:top w:type="dxa" w:w="60"/>
              <w:left w:type="dxa" w:w="90"/>
              <w:bottom w:type="dxa" w:w="60"/>
              <w:right w:type="dxa" w:w="90"/>
            </w:tcMar>
          </w:tcPr>
          <w:p>
            <w:pPr>
              <w:spacing w:after="0" w:line="240"/>
              <w:jc w:val="left"/>
            </w:pPr>
            <w:r>
              <w:rPr>
                <w:color w:val="000000"/>
                <w:sz w:val="18"/>
                <w:szCs w:val="18"/>
              </w:rPr>
              <w:t xml:space="preserve">Timestamped record of each run, with its status and errors.</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Observation</w:t>
            </w:r>
          </w:p>
        </w:tc>
        <w:tc>
          <w:tcPr>
            <w:tcW w:type="dxa" w:w="6254"/>
            <w:tcMar>
              <w:top w:type="dxa" w:w="60"/>
              <w:left w:type="dxa" w:w="90"/>
              <w:bottom w:type="dxa" w:w="60"/>
              <w:right w:type="dxa" w:w="90"/>
            </w:tcMar>
          </w:tcPr>
          <w:p>
            <w:pPr>
              <w:spacing w:after="0" w:line="240"/>
              <w:jc w:val="left"/>
            </w:pPr>
            <w:r>
              <w:rPr>
                <w:color w:val="000000"/>
                <w:sz w:val="18"/>
                <w:szCs w:val="18"/>
              </w:rPr>
              <w:t xml:space="preserve">One value, for an indicator, a country, a frequency and a period.</w:t>
            </w:r>
          </w:p>
        </w:tc>
      </w:tr>
      <w:tr>
        <w:tc>
          <w:tcPr>
            <w:tcW w:type="dxa" w:w="3100"/>
            <w:shd w:fill="F2F2F2" w:color="auto" w:val="clear"/>
            <w:tcMar>
              <w:top w:type="dxa" w:w="60"/>
              <w:left w:type="dxa" w:w="90"/>
              <w:bottom w:type="dxa" w:w="60"/>
              <w:right w:type="dxa" w:w="90"/>
            </w:tcMar>
          </w:tcPr>
          <w:p>
            <w:pPr>
              <w:spacing w:after="0" w:line="240"/>
              <w:jc w:val="left"/>
            </w:pPr>
            <w:r>
              <w:rPr>
                <w:color w:val="000000"/>
                <w:sz w:val="18"/>
                <w:szCs w:val="18"/>
              </w:rPr>
              <w:t xml:space="preserve">Projection</w:t>
            </w:r>
          </w:p>
        </w:tc>
        <w:tc>
          <w:tcPr>
            <w:tcW w:type="dxa" w:w="6254"/>
            <w:shd w:fill="F2F2F2" w:color="auto" w:val="clear"/>
            <w:tcMar>
              <w:top w:type="dxa" w:w="60"/>
              <w:left w:type="dxa" w:w="90"/>
              <w:bottom w:type="dxa" w:w="60"/>
              <w:right w:type="dxa" w:w="90"/>
            </w:tcMar>
          </w:tcPr>
          <w:p>
            <w:pPr>
              <w:spacing w:after="0" w:line="240"/>
              <w:jc w:val="left"/>
            </w:pPr>
            <w:r>
              <w:rPr>
                <w:color w:val="000000"/>
                <w:sz w:val="18"/>
                <w:szCs w:val="18"/>
              </w:rPr>
              <w:t xml:space="preserve">Statistical extension of the observed series, with no economic assumption.</w:t>
            </w:r>
          </w:p>
        </w:tc>
      </w:tr>
      <w:tr>
        <w:tc>
          <w:tcPr>
            <w:tcW w:type="dxa" w:w="3100"/>
            <w:tcMar>
              <w:top w:type="dxa" w:w="60"/>
              <w:left w:type="dxa" w:w="90"/>
              <w:bottom w:type="dxa" w:w="60"/>
              <w:right w:type="dxa" w:w="90"/>
            </w:tcMar>
          </w:tcPr>
          <w:p>
            <w:pPr>
              <w:spacing w:after="0" w:line="240"/>
              <w:jc w:val="left"/>
            </w:pPr>
            <w:r>
              <w:rPr>
                <w:color w:val="000000"/>
                <w:sz w:val="18"/>
                <w:szCs w:val="18"/>
              </w:rPr>
              <w:t xml:space="preserve">Series</w:t>
            </w:r>
          </w:p>
        </w:tc>
        <w:tc>
          <w:tcPr>
            <w:tcW w:type="dxa" w:w="6254"/>
            <w:tcMar>
              <w:top w:type="dxa" w:w="60"/>
              <w:left w:type="dxa" w:w="90"/>
              <w:bottom w:type="dxa" w:w="60"/>
              <w:right w:type="dxa" w:w="90"/>
            </w:tcMar>
          </w:tcPr>
          <w:p>
            <w:pPr>
              <w:spacing w:after="0" w:line="240"/>
              <w:jc w:val="left"/>
            </w:pPr>
            <w:r>
              <w:rPr>
                <w:color w:val="000000"/>
                <w:sz w:val="18"/>
                <w:szCs w:val="18"/>
              </w:rPr>
              <w:t xml:space="preserve">An indicator, a frequency and a set of countries, displayed together.</w:t>
            </w:r>
          </w:p>
        </w:tc>
      </w:tr>
      <w:tr>
        <w:tc>
          <w:tcPr>
            <w:tcW w:type="dxa" w:w="3100"/>
            <w:shd w:fill="F2F2F2" w:color="auto" w:val="clear"/>
            <w:tcMar>
              <w:top w:type="dxa" w:w="60"/>
              <w:left w:type="dxa" w:w="90"/>
              <w:bottom w:type="dxa" w:w="60"/>
              <w:right w:type="dxa" w:w="90"/>
            </w:tcMar>
          </w:tcPr>
          <w:p>
            <w:pPr>
              <w:spacing w:after="0" w:line="240"/>
              <w:jc w:val="left"/>
            </w:pPr>
            <w:r>
              <w:rPr>
                <w:color w:val="000000"/>
                <w:sz w:val="18"/>
                <w:szCs w:val="18"/>
              </w:rPr>
              <w:t xml:space="preserve">Series with gaps</w:t>
            </w:r>
          </w:p>
        </w:tc>
        <w:tc>
          <w:tcPr>
            <w:tcW w:type="dxa" w:w="6254"/>
            <w:shd w:fill="F2F2F2" w:color="auto" w:val="clear"/>
            <w:tcMar>
              <w:top w:type="dxa" w:w="60"/>
              <w:left w:type="dxa" w:w="90"/>
              <w:bottom w:type="dxa" w:w="60"/>
              <w:right w:type="dxa" w:w="90"/>
            </w:tcMar>
          </w:tcPr>
          <w:p>
            <w:pPr>
              <w:spacing w:after="0" w:line="240"/>
              <w:jc w:val="left"/>
            </w:pPr>
            <w:r>
              <w:rPr>
                <w:color w:val="000000"/>
                <w:sz w:val="18"/>
                <w:szCs w:val="18"/>
              </w:rPr>
              <w:t xml:space="preserve">A series with missing periods, drawn as a dashed line.</w:t>
            </w:r>
          </w:p>
        </w:tc>
      </w:tr>
    </w:tbl>
    <w:p>
      <w:pPr>
        <w:spacing w:after="220" w:before="90"/>
        <w:jc w:val="center"/>
      </w:pPr>
      <w:r>
        <w:rPr>
          <w:i/>
          <w:iCs/>
          <w:color w:val="5C6672"/>
          <w:sz w:val="17"/>
          <w:szCs w:val="17"/>
        </w:rPr>
        <w:t xml:space="preserve">Table 10. Terms used in this manual</w:t>
      </w:r>
    </w:p>
    <w:p>
      <w:pPr>
        <w:spacing w:after="120" w:before="0"/>
      </w:pPr>
      <w:r>
        <w:rPr>
          <w:color w:val="000000"/>
          <w:sz w:val="26"/>
          <w:szCs w:val="26"/>
        </w:rPr>
        <w:t xml:space="preserve">Appendix D</w:t>
      </w:r>
    </w:p>
    <w:p>
      <w:pPr>
        <w:pStyle w:val="Heading1"/>
        <w:spacing w:after="260" w:before="0"/>
      </w:pPr>
      <w:r>
        <w:t xml:space="preserve">References</w:t>
      </w:r>
    </w:p>
    <w:p>
      <w:pPr>
        <w:pStyle w:val="ListParagraph"/>
        <w:numPr>
          <w:ilvl w:val="0"/>
          <w:numId w:val="3"/>
        </w:numPr>
        <w:spacing w:after="90" w:line="288"/>
        <w:jc w:val="both"/>
      </w:pPr>
      <w:r>
        <w:rPr>
          <w:sz w:val="21"/>
          <w:szCs w:val="21"/>
        </w:rPr>
        <w:t xml:space="preserve">World Bank, World Development Indicators.</w:t>
      </w:r>
    </w:p>
    <w:p>
      <w:pPr>
        <w:pStyle w:val="ListParagraph"/>
        <w:numPr>
          <w:ilvl w:val="0"/>
          <w:numId w:val="3"/>
        </w:numPr>
        <w:spacing w:after="90" w:line="288"/>
        <w:jc w:val="both"/>
      </w:pPr>
      <w:r>
        <w:rPr>
          <w:sz w:val="21"/>
          <w:szCs w:val="21"/>
        </w:rPr>
        <w:t xml:space="preserve">World Bank, Commodity Markets Outlook and Pink Sheet, monthly commodity prices.</w:t>
      </w:r>
    </w:p>
    <w:p>
      <w:pPr>
        <w:pStyle w:val="ListParagraph"/>
        <w:numPr>
          <w:ilvl w:val="0"/>
          <w:numId w:val="3"/>
        </w:numPr>
        <w:spacing w:after="90" w:line="288"/>
        <w:jc w:val="both"/>
      </w:pPr>
      <w:r>
        <w:rPr>
          <w:sz w:val="21"/>
          <w:szCs w:val="21"/>
        </w:rPr>
        <w:t xml:space="preserve">International Monetary Fund, World Economic Outlook database.</w:t>
      </w:r>
    </w:p>
    <w:p>
      <w:pPr>
        <w:pStyle w:val="ListParagraph"/>
        <w:numPr>
          <w:ilvl w:val="0"/>
          <w:numId w:val="3"/>
        </w:numPr>
        <w:spacing w:after="90" w:line="288"/>
        <w:jc w:val="both"/>
      </w:pPr>
      <w:r>
        <w:rPr>
          <w:sz w:val="21"/>
          <w:szCs w:val="21"/>
        </w:rPr>
        <w:t xml:space="preserve">International Monetary Fund, Fiscal Monitor.</w:t>
      </w:r>
    </w:p>
    <w:p>
      <w:pPr>
        <w:pStyle w:val="ListParagraph"/>
        <w:numPr>
          <w:ilvl w:val="0"/>
          <w:numId w:val="3"/>
        </w:numPr>
        <w:spacing w:after="90" w:line="288"/>
        <w:jc w:val="both"/>
      </w:pPr>
      <w:r>
        <w:rPr>
          <w:sz w:val="21"/>
          <w:szCs w:val="21"/>
        </w:rPr>
        <w:t xml:space="preserve">Hausmann R., Hidalgo C. et al., The Atlas of Economic Complexity, Growth Lab, Harvard University.</w:t>
      </w:r>
    </w:p>
    <w:p>
      <w:pPr>
        <w:pStyle w:val="ListParagraph"/>
        <w:numPr>
          <w:ilvl w:val="0"/>
          <w:numId w:val="3"/>
        </w:numPr>
        <w:spacing w:after="90" w:line="288"/>
        <w:jc w:val="both"/>
      </w:pPr>
      <w:r>
        <w:rPr>
          <w:sz w:val="21"/>
          <w:szCs w:val="21"/>
        </w:rPr>
        <w:t xml:space="preserve">Hyndman R. J. and Athanasopoulos G., Forecasting: Principles and Practice, for the extension methods and their intervals.</w:t>
      </w:r>
    </w:p>
    <w:p>
      <w:pPr>
        <w:pStyle w:val="ListParagraph"/>
        <w:numPr>
          <w:ilvl w:val="0"/>
          <w:numId w:val="3"/>
        </w:numPr>
        <w:spacing w:after="90" w:line="288"/>
        <w:jc w:val="both"/>
      </w:pPr>
      <w:r>
        <w:rPr>
          <w:sz w:val="21"/>
          <w:szCs w:val="21"/>
        </w:rPr>
        <w:t xml:space="preserve">Internal documentation OPESc 4.2.0, DAPE / MINEPAT, for shock simulation and reference projections.</w:t>
      </w:r>
    </w:p>
    <w:sectPr>
      <w:headerReference w:type="default" r:id="rId7"/>
      <w:footerReference w:type="default" r:id="rId8"/>
      <w:pgSz w:w="11906" w:h="16838" w:orient="portrait"/>
      <w:pgMar w:top="1276" w:right="1276" w:bottom="1276" w:left="1276"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3A3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9A9A" w:sz="4"/>
      </w:pBdr>
      <w:tabs>
        <w:tab w:val="right" w:pos="9354"/>
      </w:tabs>
      <w:spacing w:after="200"/>
    </w:pPr>
    <w:r>
      <w:rPr>
        <w:color w:val="3A3A3A"/>
        <w:sz w:val="17"/>
        <w:szCs w:val="17"/>
      </w:rPr>
      <w:t xml:space="preserve">OPESc+ 2.1, user manual</w:t>
    </w:r>
    <w:r>
      <w:rPr>
        <w:color w:val="3A3A3A"/>
        <w:sz w:val="17"/>
        <w:szCs w:val="17"/>
      </w:rPr>
      <w:t xml:space="preserve">	DAPE / MINEPAT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abstractNum>
  <w:abstractNum w:abstractNumId="3" w15:restartNumberingAfterBreak="0">
    <w:multiLevelType w:val="hybridMultilevel"/>
    <w:lvl w:ilvl="0" w15:tentative="1">
      <w:start w:val="1"/>
      <w:numFmt w:val="decimal"/>
      <w:lvlText w:val="%1."/>
      <w:lvlJc w:val="left"/>
      <w:pPr>
        <w:ind w:left="518" w:hanging="345"/>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200"/>
    </w:pPr>
    <w:rPr>
      <w:rFonts w:ascii="Cambria" w:cs="Cambria" w:eastAsia="Cambria" w:hAnsi="Cambria"/>
      <w:b/>
      <w:bCs/>
      <w:color w:val="000000"/>
      <w:sz w:val="34"/>
      <w:szCs w:val="34"/>
    </w:rPr>
  </w:style>
  <w:style w:type="paragraph" w:styleId="Heading2">
    <w:name w:val="Heading 2"/>
    <w:basedOn w:val="Normal"/>
    <w:next w:val="Normal"/>
    <w:qFormat/>
    <w:pPr>
      <w:spacing w:after="120" w:before="240"/>
    </w:pPr>
    <w:rPr>
      <w:rFonts w:ascii="Cambria" w:cs="Cambria" w:eastAsia="Cambria" w:hAnsi="Cambria"/>
      <w:b/>
      <w:bCs/>
      <w:color w:val="00000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OPESc+ : OPESc+ User Manual</dc:title>
  <dc:creator>OPESc+</dc:creator>
  <cp:lastModifiedBy>Un-named</cp:lastModifiedBy>
  <cp:revision>1</cp:revision>
  <dcterms:created xsi:type="dcterms:W3CDTF">2026-09-08T03:36:25.482Z</dcterms:created>
  <dcterms:modified xsi:type="dcterms:W3CDTF">2026-09-08T03:36:25.482Z</dcterms:modified>
</cp:coreProperties>
</file>

<file path=docProps/custom.xml><?xml version="1.0" encoding="utf-8"?>
<Properties xmlns="http://schemas.openxmlformats.org/officeDocument/2006/custom-properties" xmlns:vt="http://schemas.openxmlformats.org/officeDocument/2006/docPropsVTypes"/>
</file>