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center"/>
      </w:pPr>
      <w:r>
        <w:rPr>
          <w:b/>
          <w:bCs/>
          <w:color w:val="000000"/>
          <w:sz w:val="40"/>
          <w:szCs w:val="40"/>
        </w:rPr>
        <w:t xml:space="preserve">OP</w:t>
      </w:r>
    </w:p>
    <w:p>
      <w:pPr>
        <w:spacing w:after="140"/>
        <w:jc w:val="center"/>
      </w:pPr>
      <w:r>
        <w:rPr>
          <w:b/>
          <w:bCs/>
          <w:color w:val="000000"/>
          <w:sz w:val="44"/>
          <w:szCs w:val="44"/>
        </w:rPr>
        <w:t xml:space="preserve">Manuel d'utilisation d'OPESc+</w:t>
      </w:r>
    </w:p>
    <w:p>
      <w:pPr>
        <w:spacing w:after="280"/>
        <w:jc w:val="center"/>
      </w:pPr>
      <w:r>
        <w:rPr>
          <w:color w:val="000000"/>
          <w:sz w:val="26"/>
          <w:szCs w:val="26"/>
        </w:rPr>
        <w:t xml:space="preserve">Observatoire des perspectives économiques</w:t>
      </w:r>
    </w:p>
    <w:p>
      <w:pPr>
        <w:spacing w:after="2600"/>
        <w:jc w:val="center"/>
      </w:pPr>
      <w:r>
        <w:rPr>
          <w:color w:val="000000"/>
          <w:sz w:val="24"/>
          <w:szCs w:val="24"/>
        </w:rPr>
        <w:t xml:space="preserve">Version 2.1</w:t>
      </w:r>
    </w:p>
    <w:p>
      <w:pPr>
        <w:spacing w:after="70"/>
        <w:jc w:val="center"/>
      </w:pPr>
      <w:r>
        <w:rPr>
          <w:color w:val="000000"/>
          <w:sz w:val="22"/>
          <w:szCs w:val="22"/>
        </w:rPr>
        <w:t xml:space="preserve">Division des Analyses et des Politiques Économiques</w:t>
      </w:r>
    </w:p>
    <w:p>
      <w:pPr>
        <w:spacing w:after="70"/>
        <w:jc w:val="center"/>
      </w:pPr>
      <w:r>
        <w:rPr>
          <w:color w:val="000000"/>
          <w:sz w:val="22"/>
          <w:szCs w:val="22"/>
        </w:rPr>
        <w:t xml:space="preserve">MINEPAT</w:t>
      </w:r>
    </w:p>
    <w:p>
      <w:pPr>
        <w:jc w:val="center"/>
      </w:pPr>
      <w:r>
        <w:rPr>
          <w:color w:val="000000"/>
          <w:sz w:val="22"/>
          <w:szCs w:val="22"/>
        </w:rPr>
        <w:t xml:space="preserve">Septembre 2026</w:t>
      </w:r>
    </w:p>
    <w:p>
      <w:pPr>
        <w:sectPr>
          <w:pgSz w:w="11906" w:h="16838" w:orient="portrait"/>
          <w:pgMar w:top="1276" w:right="1276" w:bottom="1276" w:left="1276" w:header="708" w:footer="708" w:gutter="0"/>
          <w:pgNumType/>
          <w:docGrid w:linePitch="360"/>
        </w:sectPr>
      </w:pPr>
    </w:p>
    <w:p>
      <w:pPr>
        <w:pStyle w:val="Heading1"/>
        <w:spacing w:after="260" w:before="0"/>
      </w:pPr>
      <w:r>
        <w:t xml:space="preserve">Table des matières</w:t>
      </w:r>
    </w:p>
    <w:p>
      <w:pPr>
        <w:tabs>
          <w:tab w:val="right" w:pos="9354" w:leader="dot"/>
        </w:tabs>
        <w:spacing w:after="60" w:line="240"/>
      </w:pPr>
      <w:r>
        <w:rPr>
          <w:b/>
          <w:bCs/>
          <w:color w:val="3A3A3A"/>
          <w:sz w:val="21"/>
          <w:szCs w:val="21"/>
        </w:rPr>
        <w:t xml:space="preserve">Résumé exécutif</w:t>
      </w:r>
      <w:r>
        <w:rPr>
          <w:color w:val="5C6672"/>
          <w:sz w:val="19"/>
          <w:szCs w:val="19"/>
        </w:rPr>
        <w:t xml:space="preserve">	5</w:t>
      </w:r>
    </w:p>
    <w:p>
      <w:pPr>
        <w:tabs>
          <w:tab w:val="right" w:pos="9354" w:leader="dot"/>
        </w:tabs>
        <w:spacing w:after="60" w:line="240"/>
      </w:pPr>
      <w:r>
        <w:rPr>
          <w:b/>
          <w:bCs/>
          <w:color w:val="3A3A3A"/>
          <w:sz w:val="21"/>
          <w:szCs w:val="21"/>
        </w:rPr>
        <w:t xml:space="preserve">1. Présentation générale d'OPESc+</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Finalité</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Architecture fonctionnelle</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Périmètre</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Sources</w:t>
      </w:r>
      <w:r>
        <w:rPr>
          <w:color w:val="5C6672"/>
          <w:sz w:val="19"/>
          <w:szCs w:val="19"/>
        </w:rPr>
        <w:t xml:space="preserve">	6</w:t>
      </w:r>
    </w:p>
    <w:p>
      <w:pPr>
        <w:tabs>
          <w:tab w:val="right" w:pos="9354" w:leader="dot"/>
        </w:tabs>
        <w:spacing w:after="60" w:line="240"/>
      </w:pPr>
      <w:r>
        <w:rPr>
          <w:b/>
          <w:bCs/>
          <w:color w:val="3A3A3A"/>
          <w:sz w:val="21"/>
          <w:szCs w:val="21"/>
        </w:rPr>
        <w:t xml:space="preserve">2. Prise en main</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Le bandeau</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Les cinq onglets</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Changer de langue</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Télécharger le manuel</w:t>
      </w:r>
      <w:r>
        <w:rPr>
          <w:color w:val="5C6672"/>
          <w:sz w:val="19"/>
          <w:szCs w:val="19"/>
        </w:rPr>
        <w:t xml:space="preserve">	8</w:t>
      </w:r>
    </w:p>
    <w:p>
      <w:pPr>
        <w:tabs>
          <w:tab w:val="right" w:pos="9354" w:leader="dot"/>
        </w:tabs>
        <w:spacing w:after="60" w:line="240"/>
      </w:pPr>
      <w:r>
        <w:rPr>
          <w:b/>
          <w:bCs/>
          <w:color w:val="3A3A3A"/>
          <w:sz w:val="21"/>
          <w:szCs w:val="21"/>
        </w:rPr>
        <w:t xml:space="preserve">3. L'accueil</w:t>
      </w:r>
      <w:r>
        <w:rPr>
          <w:color w:val="5C6672"/>
          <w:sz w:val="19"/>
          <w:szCs w:val="19"/>
        </w:rPr>
        <w:t xml:space="preserve">	8</w:t>
      </w:r>
    </w:p>
    <w:p>
      <w:pPr>
        <w:tabs>
          <w:tab w:val="right" w:pos="9354" w:leader="dot"/>
        </w:tabs>
        <w:spacing w:after="60" w:line="240"/>
      </w:pPr>
      <w:r>
        <w:rPr>
          <w:b/>
          <w:bCs/>
          <w:color w:val="3A3A3A"/>
          <w:sz w:val="21"/>
          <w:szCs w:val="21"/>
        </w:rPr>
        <w:t xml:space="preserve">4. Le tableau de bord</w:t>
      </w:r>
      <w:r>
        <w:rPr>
          <w:color w:val="5C6672"/>
          <w:sz w:val="19"/>
          <w:szCs w:val="19"/>
        </w:rPr>
        <w:t xml:space="preserve">	9</w:t>
      </w:r>
    </w:p>
    <w:p>
      <w:pPr>
        <w:tabs>
          <w:tab w:val="right" w:pos="9354" w:leader="dot"/>
        </w:tabs>
        <w:spacing w:after="30" w:line="240"/>
        <w:ind w:left="340"/>
      </w:pPr>
      <w:r>
        <w:rPr>
          <w:b w:val="false"/>
          <w:bCs w:val="false"/>
          <w:color w:val="3C4650"/>
          <w:sz w:val="19"/>
          <w:szCs w:val="19"/>
        </w:rPr>
        <w:t xml:space="preserve">Ce qui s'affiche au chargement</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Choisir une catégorie</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La barre de filtres</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Superposer plusieurs séries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Les quatre représentations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Projections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Exporter</w:t>
      </w:r>
      <w:r>
        <w:rPr>
          <w:color w:val="5C6672"/>
          <w:sz w:val="19"/>
          <w:szCs w:val="19"/>
        </w:rPr>
        <w:t xml:space="preserve">	12</w:t>
      </w:r>
    </w:p>
    <w:p>
      <w:pPr>
        <w:tabs>
          <w:tab w:val="right" w:pos="9354" w:leader="dot"/>
        </w:tabs>
        <w:spacing w:after="60" w:line="240"/>
      </w:pPr>
      <w:r>
        <w:rPr>
          <w:b/>
          <w:bCs/>
          <w:color w:val="3A3A3A"/>
          <w:sz w:val="21"/>
          <w:szCs w:val="21"/>
        </w:rPr>
        <w:t xml:space="preserve">5. L'analyse cartographique</w:t>
      </w:r>
      <w:r>
        <w:rPr>
          <w:color w:val="5C6672"/>
          <w:sz w:val="19"/>
          <w:szCs w:val="19"/>
        </w:rPr>
        <w:t xml:space="preserve">	12</w:t>
      </w:r>
    </w:p>
    <w:p>
      <w:pPr>
        <w:tabs>
          <w:tab w:val="right" w:pos="9354" w:leader="dot"/>
        </w:tabs>
        <w:spacing w:after="30" w:line="240"/>
        <w:ind w:left="340"/>
      </w:pPr>
      <w:r>
        <w:rPr>
          <w:b w:val="false"/>
          <w:bCs w:val="false"/>
          <w:color w:val="3C4650"/>
          <w:sz w:val="19"/>
          <w:szCs w:val="19"/>
        </w:rPr>
        <w:t xml:space="preserve">Lire l'échelle</w:t>
      </w:r>
      <w:r>
        <w:rPr>
          <w:color w:val="5C6672"/>
          <w:sz w:val="19"/>
          <w:szCs w:val="19"/>
        </w:rPr>
        <w:t xml:space="preserve">	12</w:t>
      </w:r>
    </w:p>
    <w:p>
      <w:pPr>
        <w:tabs>
          <w:tab w:val="right" w:pos="9354" w:leader="dot"/>
        </w:tabs>
        <w:spacing w:after="30" w:line="240"/>
        <w:ind w:left="340"/>
      </w:pPr>
      <w:r>
        <w:rPr>
          <w:b w:val="false"/>
          <w:bCs w:val="false"/>
          <w:color w:val="3C4650"/>
          <w:sz w:val="19"/>
          <w:szCs w:val="19"/>
        </w:rPr>
        <w:t xml:space="preserve">La fiche pays</w:t>
      </w:r>
      <w:r>
        <w:rPr>
          <w:color w:val="5C6672"/>
          <w:sz w:val="19"/>
          <w:szCs w:val="19"/>
        </w:rPr>
        <w:t xml:space="preserve">	13</w:t>
      </w:r>
    </w:p>
    <w:p>
      <w:pPr>
        <w:tabs>
          <w:tab w:val="right" w:pos="9354" w:leader="dot"/>
        </w:tabs>
        <w:spacing w:after="60" w:line="240"/>
      </w:pPr>
      <w:r>
        <w:rPr>
          <w:b/>
          <w:bCs/>
          <w:color w:val="3A3A3A"/>
          <w:sz w:val="21"/>
          <w:szCs w:val="21"/>
        </w:rPr>
        <w:t xml:space="preserve">6. La base de données</w:t>
      </w:r>
      <w:r>
        <w:rPr>
          <w:color w:val="5C6672"/>
          <w:sz w:val="19"/>
          <w:szCs w:val="19"/>
        </w:rPr>
        <w:t xml:space="preserve">	14</w:t>
      </w:r>
    </w:p>
    <w:p>
      <w:pPr>
        <w:tabs>
          <w:tab w:val="right" w:pos="9354" w:leader="dot"/>
        </w:tabs>
        <w:spacing w:after="60" w:line="240"/>
      </w:pPr>
      <w:r>
        <w:rPr>
          <w:b/>
          <w:bCs/>
          <w:color w:val="3A3A3A"/>
          <w:sz w:val="21"/>
          <w:szCs w:val="21"/>
        </w:rPr>
        <w:t xml:space="preserve">7. GoogleOPESc+, la recherche orientée</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Ce qui s'affiche</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Les propositions de saisie</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La définition et sa source</w:t>
      </w:r>
      <w:r>
        <w:rPr>
          <w:color w:val="5C6672"/>
          <w:sz w:val="19"/>
          <w:szCs w:val="19"/>
        </w:rPr>
        <w:t xml:space="preserve">	16</w:t>
      </w:r>
    </w:p>
    <w:p>
      <w:pPr>
        <w:tabs>
          <w:tab w:val="right" w:pos="9354" w:leader="dot"/>
        </w:tabs>
        <w:spacing w:after="30" w:line="240"/>
        <w:ind w:left="340"/>
      </w:pPr>
      <w:r>
        <w:rPr>
          <w:b w:val="false"/>
          <w:bCs w:val="false"/>
          <w:color w:val="3C4650"/>
          <w:sz w:val="19"/>
          <w:szCs w:val="19"/>
        </w:rPr>
        <w:t xml:space="preserve">Configurer la recherche sur le web</w:t>
      </w:r>
      <w:r>
        <w:rPr>
          <w:color w:val="5C6672"/>
          <w:sz w:val="19"/>
          <w:szCs w:val="19"/>
        </w:rPr>
        <w:t xml:space="preserve">	16</w:t>
      </w:r>
    </w:p>
    <w:p>
      <w:pPr>
        <w:tabs>
          <w:tab w:val="right" w:pos="9354" w:leader="dot"/>
        </w:tabs>
        <w:spacing w:after="60" w:line="240"/>
      </w:pPr>
      <w:r>
        <w:rPr>
          <w:b/>
          <w:bCs/>
          <w:color w:val="3A3A3A"/>
          <w:sz w:val="21"/>
          <w:szCs w:val="21"/>
        </w:rPr>
        <w:t xml:space="preserve">8. Les collectes</w:t>
      </w:r>
      <w:r>
        <w:rPr>
          <w:color w:val="5C6672"/>
          <w:sz w:val="19"/>
          <w:szCs w:val="19"/>
        </w:rPr>
        <w:t xml:space="preserve">	16</w:t>
      </w:r>
    </w:p>
    <w:p>
      <w:pPr>
        <w:tabs>
          <w:tab w:val="right" w:pos="9354" w:leader="dot"/>
        </w:tabs>
        <w:spacing w:after="30" w:line="240"/>
        <w:ind w:left="340"/>
      </w:pPr>
      <w:r>
        <w:rPr>
          <w:b w:val="false"/>
          <w:bCs w:val="false"/>
          <w:color w:val="3C4650"/>
          <w:sz w:val="19"/>
          <w:szCs w:val="19"/>
        </w:rPr>
        <w:t xml:space="preserve">Déclencher une actualisation</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Rythme conseillé</w:t>
      </w:r>
      <w:r>
        <w:rPr>
          <w:color w:val="5C6672"/>
          <w:sz w:val="19"/>
          <w:szCs w:val="19"/>
        </w:rPr>
        <w:t xml:space="preserve">	17</w:t>
      </w:r>
    </w:p>
    <w:p>
      <w:pPr>
        <w:tabs>
          <w:tab w:val="right" w:pos="9354" w:leader="dot"/>
        </w:tabs>
        <w:spacing w:after="60" w:line="240"/>
      </w:pPr>
      <w:r>
        <w:rPr>
          <w:b/>
          <w:bCs/>
          <w:color w:val="3A3A3A"/>
          <w:sz w:val="21"/>
          <w:szCs w:val="21"/>
        </w:rPr>
        <w:t xml:space="preserve">9. Importer une base externe</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Le fichier livré avec la plateforme</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Importer votre propre fichier</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La catégorie des matières premières</w:t>
      </w:r>
      <w:r>
        <w:rPr>
          <w:color w:val="5C6672"/>
          <w:sz w:val="19"/>
          <w:szCs w:val="19"/>
        </w:rPr>
        <w:t xml:space="preserve">	18</w:t>
      </w:r>
    </w:p>
    <w:p>
      <w:pPr>
        <w:tabs>
          <w:tab w:val="right" w:pos="9354" w:leader="dot"/>
        </w:tabs>
        <w:spacing w:after="60" w:line="240"/>
      </w:pPr>
      <w:r>
        <w:rPr>
          <w:b/>
          <w:bCs/>
          <w:color w:val="3A3A3A"/>
          <w:sz w:val="21"/>
          <w:szCs w:val="21"/>
        </w:rPr>
        <w:t xml:space="preserve">10. Méthodologie</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Normalisation des périodes</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Agrégation d'une série mensuelle</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Mise en base 100</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Projections</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Échelle de la carte</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Valeurs manquantes</w:t>
      </w:r>
      <w:r>
        <w:rPr>
          <w:color w:val="5C6672"/>
          <w:sz w:val="19"/>
          <w:szCs w:val="19"/>
        </w:rPr>
        <w:t xml:space="preserve">	19</w:t>
      </w:r>
    </w:p>
    <w:p>
      <w:pPr>
        <w:tabs>
          <w:tab w:val="right" w:pos="9354" w:leader="dot"/>
        </w:tabs>
        <w:spacing w:after="60" w:line="240"/>
      </w:pPr>
      <w:r>
        <w:rPr>
          <w:b/>
          <w:bCs/>
          <w:color w:val="3A3A3A"/>
          <w:sz w:val="21"/>
          <w:szCs w:val="21"/>
        </w:rPr>
        <w:t xml:space="preserve">11. Limites et points de vigilance</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Codification des pays</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Révisions</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Complexité économique</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Unités des cours de produits de base</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Fréquences fines</w:t>
      </w:r>
      <w:r>
        <w:rPr>
          <w:color w:val="5C6672"/>
          <w:sz w:val="19"/>
          <w:szCs w:val="19"/>
        </w:rPr>
        <w:t xml:space="preserve">	20</w:t>
      </w:r>
    </w:p>
    <w:p>
      <w:pPr>
        <w:tabs>
          <w:tab w:val="right" w:pos="9354" w:leader="dot"/>
        </w:tabs>
        <w:spacing w:after="60" w:line="240"/>
      </w:pPr>
      <w:r>
        <w:rPr>
          <w:b/>
          <w:bCs/>
          <w:color w:val="3A3A3A"/>
          <w:sz w:val="21"/>
          <w:szCs w:val="21"/>
        </w:rPr>
        <w:t xml:space="preserve">12. Mode opératoire rapide</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Consulter un indicateur</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Comparer plusieurs indicateurs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Actualiser les données</w:t>
      </w:r>
      <w:r>
        <w:rPr>
          <w:color w:val="5C6672"/>
          <w:sz w:val="19"/>
          <w:szCs w:val="19"/>
        </w:rPr>
        <w:t xml:space="preserve">	21</w:t>
      </w:r>
    </w:p>
    <w:p>
      <w:pPr>
        <w:tabs>
          <w:tab w:val="right" w:pos="9354" w:leader="dot"/>
        </w:tabs>
        <w:spacing w:after="60" w:line="240"/>
      </w:pPr>
      <w:r>
        <w:rPr>
          <w:b/>
          <w:bCs/>
          <w:color w:val="3A3A3A"/>
          <w:sz w:val="21"/>
          <w:szCs w:val="21"/>
        </w:rPr>
        <w:t xml:space="preserve">13. Questions fréquentes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Le filtre ne propose que la fréquence annuelle</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Un indicateur porte la mention « non collecté »</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Le graphique est vide alors que l'indicateur est collecté</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La carte reste grise pour beaucoup de pays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Peut-on modifier une valeur</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Les projections engagent-elles le ministère</w:t>
      </w:r>
      <w:r>
        <w:rPr>
          <w:color w:val="5C6672"/>
          <w:sz w:val="19"/>
          <w:szCs w:val="19"/>
        </w:rPr>
        <w:t xml:space="preserve">	22</w:t>
      </w:r>
    </w:p>
    <w:p>
      <w:pPr>
        <w:tabs>
          <w:tab w:val="right" w:pos="9354" w:leader="dot"/>
        </w:tabs>
        <w:spacing w:after="30" w:line="240"/>
        <w:ind w:left="340"/>
      </w:pPr>
      <w:r>
        <w:rPr>
          <w:b w:val="false"/>
          <w:bCs w:val="false"/>
          <w:color w:val="3C4650"/>
          <w:sz w:val="19"/>
          <w:szCs w:val="19"/>
        </w:rPr>
        <w:t xml:space="preserve">Un camembert affiche un avertissement</w:t>
      </w:r>
      <w:r>
        <w:rPr>
          <w:color w:val="5C6672"/>
          <w:sz w:val="19"/>
          <w:szCs w:val="19"/>
        </w:rPr>
        <w:t xml:space="preserve">	30</w:t>
      </w:r>
    </w:p>
    <w:p>
      <w:pPr>
        <w:tabs>
          <w:tab w:val="right" w:pos="9354" w:leader="dot"/>
        </w:tabs>
        <w:spacing w:after="60" w:line="240"/>
      </w:pPr>
      <w:r>
        <w:rPr>
          <w:b/>
          <w:bCs/>
          <w:color w:val="3A3A3A"/>
          <w:sz w:val="21"/>
          <w:szCs w:val="21"/>
        </w:rPr>
        <w:t xml:space="preserve">Annexe A. Catalogue des indicateurs</w:t>
      </w:r>
      <w:r>
        <w:rPr>
          <w:color w:val="5C6672"/>
          <w:sz w:val="19"/>
          <w:szCs w:val="19"/>
        </w:rPr>
        <w:t xml:space="preserve">	30</w:t>
      </w:r>
    </w:p>
    <w:p>
      <w:pPr>
        <w:tabs>
          <w:tab w:val="right" w:pos="9354" w:leader="dot"/>
        </w:tabs>
        <w:spacing w:after="60" w:line="240"/>
      </w:pPr>
      <w:r>
        <w:rPr>
          <w:b/>
          <w:bCs/>
          <w:color w:val="3A3A3A"/>
          <w:sz w:val="21"/>
          <w:szCs w:val="21"/>
        </w:rPr>
        <w:t xml:space="preserve">Annexe B. Référentiel des fréquences</w:t>
      </w:r>
      <w:r>
        <w:rPr>
          <w:color w:val="5C6672"/>
          <w:sz w:val="19"/>
          <w:szCs w:val="19"/>
        </w:rPr>
        <w:t xml:space="preserve">	30</w:t>
      </w:r>
    </w:p>
    <w:p>
      <w:pPr>
        <w:tabs>
          <w:tab w:val="right" w:pos="9354" w:leader="dot"/>
        </w:tabs>
        <w:spacing w:after="60" w:line="240"/>
      </w:pPr>
      <w:r>
        <w:rPr>
          <w:b/>
          <w:bCs/>
          <w:color w:val="3A3A3A"/>
          <w:sz w:val="21"/>
          <w:szCs w:val="21"/>
        </w:rPr>
        <w:t xml:space="preserve">Annexe C. Glossaire</w:t>
      </w:r>
      <w:r>
        <w:rPr>
          <w:color w:val="5C6672"/>
          <w:sz w:val="19"/>
          <w:szCs w:val="19"/>
        </w:rPr>
        <w:t xml:space="preserve">	</w:t>
      </w:r>
    </w:p>
    <w:p>
      <w:pPr>
        <w:tabs>
          <w:tab w:val="right" w:pos="9354" w:leader="dot"/>
        </w:tabs>
        <w:spacing w:after="60" w:line="240"/>
      </w:pPr>
      <w:r>
        <w:rPr>
          <w:b/>
          <w:bCs/>
          <w:color w:val="3A3A3A"/>
          <w:sz w:val="21"/>
          <w:szCs w:val="21"/>
        </w:rPr>
        <w:t xml:space="preserve">Annexe D. Références</w:t>
      </w:r>
      <w:r>
        <w:rPr>
          <w:color w:val="5C6672"/>
          <w:sz w:val="19"/>
          <w:szCs w:val="19"/>
        </w:rPr>
        <w:t xml:space="preserve">	</w:t>
      </w:r>
    </w:p>
    <w:p>
      <w:r>
        <w:br w:type="page"/>
      </w:r>
    </w:p>
    <w:p>
      <w:pPr>
        <w:pStyle w:val="Heading1"/>
        <w:spacing w:after="260" w:before="0"/>
      </w:pPr>
      <w:r>
        <w:t xml:space="preserve">Liste des tableaux</w:t>
      </w:r>
    </w:p>
    <w:p>
      <w:pPr>
        <w:spacing w:after="70" w:line="288"/>
        <w:jc w:val="left"/>
      </w:pPr>
      <w:r>
        <w:rPr>
          <w:b w:val="false"/>
          <w:bCs w:val="false"/>
          <w:i w:val="false"/>
          <w:iCs w:val="false"/>
          <w:sz w:val="21"/>
          <w:szCs w:val="21"/>
        </w:rPr>
        <w:t xml:space="preserve">Table 1.1. Périmètre de la base</w:t>
      </w:r>
    </w:p>
    <w:p>
      <w:pPr>
        <w:spacing w:after="70" w:line="288"/>
        <w:jc w:val="left"/>
      </w:pPr>
      <w:r>
        <w:rPr>
          <w:b w:val="false"/>
          <w:bCs w:val="false"/>
          <w:i w:val="false"/>
          <w:iCs w:val="false"/>
          <w:sz w:val="21"/>
          <w:szCs w:val="21"/>
        </w:rPr>
        <w:t xml:space="preserve">Table 1.2. Fournisseurs et bases mobilisées</w:t>
      </w:r>
    </w:p>
    <w:p>
      <w:pPr>
        <w:spacing w:after="70" w:line="288"/>
        <w:jc w:val="left"/>
      </w:pPr>
      <w:r>
        <w:rPr>
          <w:b w:val="false"/>
          <w:bCs w:val="false"/>
          <w:i w:val="false"/>
          <w:iCs w:val="false"/>
          <w:sz w:val="21"/>
          <w:szCs w:val="21"/>
        </w:rPr>
        <w:t xml:space="preserve">Table 2.1. Rôle de chaque onglet</w:t>
      </w:r>
    </w:p>
    <w:p>
      <w:pPr>
        <w:spacing w:after="70" w:line="288"/>
        <w:jc w:val="left"/>
      </w:pPr>
      <w:r>
        <w:rPr>
          <w:b w:val="false"/>
          <w:bCs w:val="false"/>
          <w:i w:val="false"/>
          <w:iCs w:val="false"/>
          <w:sz w:val="21"/>
          <w:szCs w:val="21"/>
        </w:rPr>
        <w:t xml:space="preserve">Table 4.1. Types de graphiques et usage recommandé</w:t>
      </w:r>
    </w:p>
    <w:p>
      <w:pPr>
        <w:spacing w:after="70" w:line="288"/>
        <w:jc w:val="left"/>
      </w:pPr>
      <w:r>
        <w:rPr>
          <w:b w:val="false"/>
          <w:bCs w:val="false"/>
          <w:i w:val="false"/>
          <w:iCs w:val="false"/>
          <w:sz w:val="21"/>
          <w:szCs w:val="21"/>
        </w:rPr>
        <w:t xml:space="preserve">Table 4.2. Méthodes de projection</w:t>
      </w:r>
    </w:p>
    <w:p>
      <w:pPr>
        <w:spacing w:after="70" w:line="288"/>
        <w:jc w:val="left"/>
      </w:pPr>
      <w:r>
        <w:rPr>
          <w:b w:val="false"/>
          <w:bCs w:val="false"/>
          <w:i w:val="false"/>
          <w:iCs w:val="false"/>
          <w:sz w:val="21"/>
          <w:szCs w:val="21"/>
        </w:rPr>
        <w:t xml:space="preserve">Table 6.1. Les deux formats d'export</w:t>
      </w:r>
    </w:p>
    <w:p>
      <w:pPr>
        <w:spacing w:after="70" w:line="288"/>
        <w:jc w:val="left"/>
      </w:pPr>
      <w:r>
        <w:rPr>
          <w:b w:val="false"/>
          <w:bCs w:val="false"/>
          <w:i w:val="false"/>
          <w:iCs w:val="false"/>
          <w:sz w:val="21"/>
          <w:szCs w:val="21"/>
        </w:rPr>
        <w:t xml:space="preserve">Table 7.1. Les trois états de la recherche</w:t>
      </w:r>
    </w:p>
    <w:p>
      <w:pPr>
        <w:spacing w:after="70" w:line="288"/>
        <w:jc w:val="left"/>
      </w:pPr>
      <w:r>
        <w:rPr>
          <w:b w:val="false"/>
          <w:bCs w:val="false"/>
          <w:i w:val="false"/>
          <w:iCs w:val="false"/>
          <w:sz w:val="21"/>
          <w:szCs w:val="21"/>
        </w:rPr>
        <w:t xml:space="preserve">Table 8.1. Rythme de publication des sources</w:t>
      </w:r>
    </w:p>
    <w:p>
      <w:pPr>
        <w:spacing w:after="70" w:line="288"/>
        <w:jc w:val="left"/>
      </w:pPr>
      <w:r>
        <w:rPr>
          <w:b w:val="false"/>
          <w:bCs w:val="false"/>
          <w:i w:val="false"/>
          <w:iCs w:val="false"/>
          <w:sz w:val="21"/>
          <w:szCs w:val="21"/>
        </w:rPr>
        <w:t xml:space="preserve">Table 9. Fréquences reconnues</w:t>
      </w:r>
    </w:p>
    <w:p>
      <w:pPr>
        <w:spacing w:after="70" w:line="288"/>
        <w:jc w:val="left"/>
      </w:pPr>
      <w:r>
        <w:rPr>
          <w:b w:val="false"/>
          <w:bCs w:val="false"/>
          <w:i w:val="false"/>
          <w:iCs w:val="false"/>
          <w:sz w:val="21"/>
          <w:szCs w:val="21"/>
        </w:rPr>
        <w:t xml:space="preserve">Table 10. Termes employés dans ce manuel</w:t>
      </w:r>
    </w:p>
    <w:p>
      <w:r>
        <w:br w:type="page"/>
      </w:r>
    </w:p>
    <w:p>
      <w:pPr>
        <w:pStyle w:val="Heading1"/>
        <w:spacing w:after="260" w:before="0"/>
      </w:pPr>
      <w:r>
        <w:t xml:space="preserve">Résumé exécutif</w:t>
      </w:r>
    </w:p>
    <w:p>
      <w:pPr>
        <w:spacing w:after="140" w:line="288"/>
        <w:jc w:val="both"/>
      </w:pPr>
      <w:r>
        <w:rPr>
          <w:b w:val="false"/>
          <w:bCs w:val="false"/>
          <w:i w:val="false"/>
          <w:iCs w:val="false"/>
          <w:sz w:val="21"/>
          <w:szCs w:val="21"/>
        </w:rPr>
        <w:t xml:space="preserve">OPESc+ est un observatoire des indicateurs économiques mondiaux. Il collecte, harmonise et met à disposition les séries publiées par les grandes institutions statistiques internationales, afin que les analyses conduites au ministère reposent sur une base commune, traçable et actualisée.</w:t>
      </w:r>
    </w:p>
    <w:p>
      <w:pPr>
        <w:spacing w:after="140" w:line="288"/>
        <w:jc w:val="both"/>
      </w:pPr>
      <w:r>
        <w:rPr>
          <w:b w:val="false"/>
          <w:bCs w:val="false"/>
          <w:i w:val="false"/>
          <w:iCs w:val="false"/>
          <w:sz w:val="21"/>
          <w:szCs w:val="21"/>
        </w:rPr>
        <w:t xml:space="preserve">L'outil repose sur cinq principes.</w:t>
      </w:r>
    </w:p>
    <w:p>
      <w:pPr>
        <w:pStyle w:val="ListParagraph"/>
        <w:numPr>
          <w:ilvl w:val="0"/>
          <w:numId w:val="2"/>
        </w:numPr>
        <w:spacing w:after="90" w:line="288"/>
        <w:jc w:val="both"/>
      </w:pPr>
      <w:r>
        <w:rPr>
          <w:sz w:val="21"/>
          <w:szCs w:val="21"/>
        </w:rPr>
        <w:t xml:space="preserve">Aucune donnée produite localement. La plateforme ne calcule ni n'estime aucune valeur. Elle transmet ce que publient la Banque mondiale, le Fonds monétaire international et le Growth Lab de l'Université Harvard, sans retouche.</w:t>
      </w:r>
    </w:p>
    <w:p>
      <w:pPr>
        <w:pStyle w:val="ListParagraph"/>
        <w:numPr>
          <w:ilvl w:val="0"/>
          <w:numId w:val="2"/>
        </w:numPr>
        <w:spacing w:after="90" w:line="288"/>
        <w:jc w:val="both"/>
      </w:pPr>
      <w:r>
        <w:rPr>
          <w:sz w:val="21"/>
          <w:szCs w:val="21"/>
        </w:rPr>
        <w:t xml:space="preserve">Ne jamais proposer un filtre qui ne mène à rien. Les fréquences offertes, les pays proposés et les bornes de période sont ceux qui existent réellement en base pour l'indicateur choisi.</w:t>
      </w:r>
    </w:p>
    <w:p>
      <w:pPr>
        <w:pStyle w:val="ListParagraph"/>
        <w:numPr>
          <w:ilvl w:val="0"/>
          <w:numId w:val="2"/>
        </w:numPr>
        <w:spacing w:after="90" w:line="288"/>
        <w:jc w:val="both"/>
      </w:pPr>
      <w:r>
        <w:rPr>
          <w:sz w:val="21"/>
          <w:szCs w:val="21"/>
        </w:rPr>
        <w:t xml:space="preserve">L'absence de donnée est une information. Une valeur manquante n'est jamais enregistrée comme zéro, jamais interpolée, et une série lacunaire est tracée en pointillés.</w:t>
      </w:r>
    </w:p>
    <w:p>
      <w:pPr>
        <w:pStyle w:val="ListParagraph"/>
        <w:numPr>
          <w:ilvl w:val="0"/>
          <w:numId w:val="2"/>
        </w:numPr>
        <w:spacing w:after="90" w:line="288"/>
        <w:jc w:val="both"/>
      </w:pPr>
      <w:r>
        <w:rPr>
          <w:sz w:val="21"/>
          <w:szCs w:val="21"/>
        </w:rPr>
        <w:t xml:space="preserve">Traçabilité de la collecte. Chaque exécution est journalisée, chaque export porte ses sources et sa date d'extraction.</w:t>
      </w:r>
    </w:p>
    <w:p>
      <w:pPr>
        <w:pStyle w:val="ListParagraph"/>
        <w:numPr>
          <w:ilvl w:val="0"/>
          <w:numId w:val="2"/>
        </w:numPr>
        <w:spacing w:after="90" w:line="288"/>
        <w:jc w:val="both"/>
      </w:pPr>
      <w:r>
        <w:rPr>
          <w:sz w:val="21"/>
          <w:szCs w:val="21"/>
        </w:rPr>
        <w:t xml:space="preserve">Séparation de la donnée et de son interprétation. Les projections proposées sont des prolongements mécaniques, explicitement présentés comme tels.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Ce qu'OPESc+ est, et ce qu'il n'est pas</w:t>
            </w:r>
          </w:p>
          <w:p>
            <w:pPr>
              <w:spacing w:after="0" w:line="276"/>
              <w:jc w:val="both"/>
            </w:pPr>
            <w:r>
              <w:rPr>
                <w:b w:val="false"/>
                <w:bCs w:val="false"/>
                <w:color w:val="000000"/>
                <w:sz w:val="19"/>
                <w:szCs w:val="19"/>
              </w:rPr>
              <w:t xml:space="preserve">OPESc+ est un outil de consultation, de comparaison et de restitution. Ce n'est pas un modèle macroéconomique : il ne simule aucun choc, ne calcule aucun scénario et ne produit aucune prévision institutionnelle. Les trois méthodes de projection qu'il propose sont des prolongements statistiques de la série observée, sans hypothèse de politique économique. Pour la simulation de chocs et les projections de référence, l'outil est OPESc, dont OPESc+ est le complément documentaire.</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1</w:t>
      </w:r>
    </w:p>
    <w:p>
      <w:pPr>
        <w:pStyle w:val="Heading1"/>
        <w:spacing w:after="260" w:before="0"/>
      </w:pPr>
      <w:r>
        <w:t xml:space="preserve">Présentation générale d'OPESc+</w:t>
      </w:r>
    </w:p>
    <w:p>
      <w:pPr>
        <w:pStyle w:val="Heading2"/>
      </w:pPr>
      <w:r>
        <w:t xml:space="preserve">1.1 Finalité</w:t>
      </w:r>
    </w:p>
    <w:p>
      <w:pPr>
        <w:spacing w:after="140" w:line="288"/>
        <w:jc w:val="both"/>
      </w:pPr>
      <w:r>
        <w:rPr>
          <w:b w:val="false"/>
          <w:bCs w:val="false"/>
          <w:i w:val="false"/>
          <w:iCs w:val="false"/>
          <w:sz w:val="21"/>
          <w:szCs w:val="21"/>
        </w:rPr>
        <w:t xml:space="preserve">OPESc+ sert à :</w:t>
      </w:r>
    </w:p>
    <w:p>
      <w:pPr>
        <w:pStyle w:val="ListParagraph"/>
        <w:numPr>
          <w:ilvl w:val="0"/>
          <w:numId w:val="3"/>
        </w:numPr>
        <w:spacing w:after="90" w:line="288"/>
        <w:jc w:val="both"/>
      </w:pPr>
      <w:r>
        <w:rPr>
          <w:sz w:val="21"/>
          <w:szCs w:val="21"/>
        </w:rPr>
        <w:t xml:space="preserve">consulter les séries économiques de l'ensemble des économies du monde ;</w:t>
      </w:r>
    </w:p>
    <w:p>
      <w:pPr>
        <w:pStyle w:val="ListParagraph"/>
        <w:numPr>
          <w:ilvl w:val="0"/>
          <w:numId w:val="3"/>
        </w:numPr>
        <w:spacing w:after="90" w:line="288"/>
        <w:jc w:val="both"/>
      </w:pPr>
      <w:r>
        <w:rPr>
          <w:sz w:val="21"/>
          <w:szCs w:val="21"/>
        </w:rPr>
        <w:t xml:space="preserve">comparer plusieurs pays ou plusieurs indicateurs sur un même graphique ;</w:t>
      </w:r>
    </w:p>
    <w:p>
      <w:pPr>
        <w:pStyle w:val="ListParagraph"/>
        <w:numPr>
          <w:ilvl w:val="0"/>
          <w:numId w:val="3"/>
        </w:numPr>
        <w:spacing w:after="90" w:line="288"/>
        <w:jc w:val="both"/>
      </w:pPr>
      <w:r>
        <w:rPr>
          <w:sz w:val="21"/>
          <w:szCs w:val="21"/>
        </w:rPr>
        <w:t xml:space="preserve">lire une répartition géographique au moyen d'une carte du monde ;</w:t>
      </w:r>
    </w:p>
    <w:p>
      <w:pPr>
        <w:pStyle w:val="ListParagraph"/>
        <w:numPr>
          <w:ilvl w:val="0"/>
          <w:numId w:val="3"/>
        </w:numPr>
        <w:spacing w:after="90" w:line="288"/>
        <w:jc w:val="both"/>
      </w:pPr>
      <w:r>
        <w:rPr>
          <w:sz w:val="21"/>
          <w:szCs w:val="21"/>
        </w:rPr>
        <w:t xml:space="preserve">prolonger une série par trois méthodes statistiques documentées ;</w:t>
      </w:r>
    </w:p>
    <w:p>
      <w:pPr>
        <w:pStyle w:val="ListParagraph"/>
        <w:numPr>
          <w:ilvl w:val="0"/>
          <w:numId w:val="3"/>
        </w:numPr>
        <w:spacing w:after="90" w:line="288"/>
        <w:jc w:val="both"/>
      </w:pPr>
      <w:r>
        <w:rPr>
          <w:sz w:val="21"/>
          <w:szCs w:val="21"/>
        </w:rPr>
        <w:t xml:space="preserve">exporter graphiques, cartes et données pour les intégrer à une note ;</w:t>
      </w:r>
    </w:p>
    <w:p>
      <w:pPr>
        <w:pStyle w:val="ListParagraph"/>
        <w:numPr>
          <w:ilvl w:val="0"/>
          <w:numId w:val="3"/>
        </w:numPr>
        <w:spacing w:after="90" w:line="288"/>
        <w:jc w:val="both"/>
      </w:pPr>
      <w:r>
        <w:rPr>
          <w:sz w:val="21"/>
          <w:szCs w:val="21"/>
        </w:rPr>
        <w:t xml:space="preserve">maintenir une base actualisée automatiquement auprès des fournisseurs.</w:t>
      </w:r>
    </w:p>
    <w:p>
      <w:pPr>
        <w:pStyle w:val="Heading2"/>
      </w:pPr>
      <w:r>
        <w:t xml:space="preserve">1.2 Architecture fonctionnelle</w:t>
      </w:r>
    </w:p>
    <w:p>
      <w:pPr>
        <w:spacing w:after="140" w:line="288"/>
        <w:jc w:val="both"/>
      </w:pPr>
      <w:r>
        <w:rPr>
          <w:b w:val="false"/>
          <w:bCs w:val="false"/>
          <w:i w:val="false"/>
          <w:iCs w:val="false"/>
          <w:sz w:val="21"/>
          <w:szCs w:val="21"/>
        </w:rPr>
        <w:t xml:space="preserve">La chaîne se lit en quatre étapes. Les connecteurs interrogent les interfaces publiques des fournisseurs. Le moteur de collecte harmonise les codes pays, les périodes et les unités, puis écrit dans une base unique. L'interface lit cette base et n'y écrit jamais. Les exports produisent des fichiers autonomes portant leurs sources.</w:t>
      </w:r>
    </w:p>
    <w:p>
      <w:pPr>
        <w:spacing w:after="140" w:line="288"/>
        <w:jc w:val="both"/>
      </w:pPr>
      <w:r>
        <w:rPr>
          <w:b w:val="false"/>
          <w:bCs w:val="false"/>
          <w:i w:val="false"/>
          <w:iCs w:val="false"/>
          <w:sz w:val="21"/>
          <w:szCs w:val="21"/>
        </w:rPr>
        <w:t xml:space="preserve">Cette séparation a une conséquence pratique : consulter la plateforme ne peut en aucun cas altérer les données, et une collecte en cours n'empêche pas la consultation.</w:t>
      </w:r>
    </w:p>
    <w:p>
      <w:pPr>
        <w:pStyle w:val="Heading2"/>
      </w:pPr>
      <w:r>
        <w:t xml:space="preserve">1.3 Périmètre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Dimension</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Valeur</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Indicateurs actifs</w:t>
            </w:r>
          </w:p>
        </w:tc>
        <w:tc>
          <w:tcPr>
            <w:tcW w:type="dxa" w:w="6254"/>
            <w:tcMar>
              <w:top w:type="dxa" w:w="60"/>
              <w:left w:type="dxa" w:w="90"/>
              <w:bottom w:type="dxa" w:w="60"/>
              <w:right w:type="dxa" w:w="90"/>
            </w:tcMar>
          </w:tcPr>
          <w:p>
            <w:pPr>
              <w:spacing w:after="0" w:line="240"/>
              <w:jc w:val="left"/>
            </w:pPr>
            <w:r>
              <w:rPr>
                <w:color w:val="000000"/>
                <w:sz w:val="18"/>
                <w:szCs w:val="18"/>
              </w:rPr>
              <w:t xml:space="preserve">313</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Catégories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14</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Économies couvertes</w:t>
            </w:r>
          </w:p>
        </w:tc>
        <w:tc>
          <w:tcPr>
            <w:tcW w:type="dxa" w:w="6254"/>
            <w:tcMar>
              <w:top w:type="dxa" w:w="60"/>
              <w:left w:type="dxa" w:w="90"/>
              <w:bottom w:type="dxa" w:w="60"/>
              <w:right w:type="dxa" w:w="90"/>
            </w:tcMar>
          </w:tcPr>
          <w:p>
            <w:pPr>
              <w:spacing w:after="0" w:line="240"/>
              <w:jc w:val="left"/>
            </w:pPr>
            <w:r>
              <w:rPr>
                <w:color w:val="000000"/>
                <w:sz w:val="18"/>
                <w:szCs w:val="18"/>
              </w:rPr>
              <w:t xml:space="preserve">environ 217</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Agrégats régionaux et groupes de revenu</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environ 40</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Couverture temporelle</w:t>
            </w:r>
          </w:p>
        </w:tc>
        <w:tc>
          <w:tcPr>
            <w:tcW w:type="dxa" w:w="6254"/>
            <w:tcMar>
              <w:top w:type="dxa" w:w="60"/>
              <w:left w:type="dxa" w:w="90"/>
              <w:bottom w:type="dxa" w:w="60"/>
              <w:right w:type="dxa" w:w="90"/>
            </w:tcMar>
          </w:tcPr>
          <w:p>
            <w:pPr>
              <w:spacing w:after="0" w:line="240"/>
              <w:jc w:val="left"/>
            </w:pPr>
            <w:r>
              <w:rPr>
                <w:color w:val="000000"/>
                <w:sz w:val="18"/>
                <w:szCs w:val="18"/>
              </w:rPr>
              <w:t xml:space="preserve">1960 à l'année en cours</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Fournisseurs branchés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3, plus un fichier importé</w:t>
            </w:r>
          </w:p>
        </w:tc>
      </w:tr>
    </w:tbl>
    <w:p>
      <w:pPr>
        <w:spacing w:after="220" w:before="90"/>
        <w:jc w:val="center"/>
      </w:pPr>
      <w:r>
        <w:rPr>
          <w:i/>
          <w:iCs/>
          <w:color w:val="5C6672"/>
          <w:sz w:val="17"/>
          <w:szCs w:val="17"/>
        </w:rPr>
        <w:t xml:space="preserve">Table 1.1. Périmètre de la base</w:t>
      </w:r>
    </w:p>
    <w:p>
      <w:pPr>
        <w:spacing w:after="140" w:line="288"/>
        <w:jc w:val="both"/>
      </w:pPr>
      <w:r>
        <w:rPr>
          <w:b w:val="false"/>
          <w:bCs w:val="false"/>
          <w:i w:val="false"/>
          <w:iCs w:val="false"/>
          <w:sz w:val="21"/>
          <w:szCs w:val="21"/>
        </w:rPr>
        <w:t xml:space="preserve">Des indicateurs supplémentaires figurent au catalogue sans être actifs : leur fournisseur n'a pas encore de connecteur. Ils sont désactivés au chargement plutôt que laissés visibles et muets dans l'interface.</w:t>
      </w:r>
    </w:p>
    <w:p>
      <w:pPr>
        <w:pStyle w:val="Heading2"/>
      </w:pPr>
      <w:r>
        <w:t xml:space="preserve">1.4 Sources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Fournisseur</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Bases</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Accès</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Banque mondiale</w:t>
            </w:r>
          </w:p>
        </w:tc>
        <w:tc>
          <w:tcPr>
            <w:tcW w:type="dxa" w:w="3500"/>
            <w:tcMar>
              <w:top w:type="dxa" w:w="60"/>
              <w:left w:type="dxa" w:w="90"/>
              <w:bottom w:type="dxa" w:w="60"/>
              <w:right w:type="dxa" w:w="90"/>
            </w:tcMar>
          </w:tcPr>
          <w:p>
            <w:pPr>
              <w:spacing w:after="0" w:line="240"/>
              <w:jc w:val="left"/>
            </w:pPr>
            <w:r>
              <w:rPr>
                <w:color w:val="000000"/>
                <w:sz w:val="18"/>
                <w:szCs w:val="18"/>
              </w:rPr>
              <w:t xml:space="preserve">Indicateurs du développement dans le monde, dette internationale, gouvernance, pauvreté, Findex, performance logistique</w:t>
            </w:r>
          </w:p>
        </w:tc>
        <w:tc>
          <w:tcPr>
            <w:tcW w:type="dxa" w:w="3354"/>
            <w:tcMar>
              <w:top w:type="dxa" w:w="60"/>
              <w:left w:type="dxa" w:w="90"/>
              <w:bottom w:type="dxa" w:w="60"/>
              <w:right w:type="dxa" w:w="90"/>
            </w:tcMar>
          </w:tcPr>
          <w:p>
            <w:pPr>
              <w:spacing w:after="0" w:line="240"/>
              <w:jc w:val="left"/>
            </w:pPr>
            <w:r>
              <w:rPr>
                <w:color w:val="000000"/>
                <w:sz w:val="18"/>
                <w:szCs w:val="18"/>
              </w:rPr>
              <w:t xml:space="preserve">Interface publique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Fonds monétaire international</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Perspectives de l'économie mondiale, Moniteur des finances publiques</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Portail SDMX</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Fonds monétaire international</w:t>
            </w:r>
          </w:p>
        </w:tc>
        <w:tc>
          <w:tcPr>
            <w:tcW w:type="dxa" w:w="3500"/>
            <w:tcMar>
              <w:top w:type="dxa" w:w="60"/>
              <w:left w:type="dxa" w:w="90"/>
              <w:bottom w:type="dxa" w:w="60"/>
              <w:right w:type="dxa" w:w="90"/>
            </w:tcMar>
          </w:tcPr>
          <w:p>
            <w:pPr>
              <w:spacing w:after="0" w:line="240"/>
              <w:jc w:val="left"/>
            </w:pPr>
            <w:r>
              <w:rPr>
                <w:color w:val="000000"/>
                <w:sz w:val="18"/>
                <w:szCs w:val="18"/>
              </w:rPr>
              <w:t xml:space="preserve">Système des prix des produits de base</w:t>
            </w:r>
          </w:p>
        </w:tc>
        <w:tc>
          <w:tcPr>
            <w:tcW w:type="dxa" w:w="3354"/>
            <w:tcMar>
              <w:top w:type="dxa" w:w="60"/>
              <w:left w:type="dxa" w:w="90"/>
              <w:bottom w:type="dxa" w:w="60"/>
              <w:right w:type="dxa" w:w="90"/>
            </w:tcMar>
          </w:tcPr>
          <w:p>
            <w:pPr>
              <w:spacing w:after="0" w:line="240"/>
              <w:jc w:val="left"/>
            </w:pPr>
            <w:r>
              <w:rPr>
                <w:color w:val="000000"/>
                <w:sz w:val="18"/>
                <w:szCs w:val="18"/>
              </w:rPr>
              <w:t xml:space="preserve">Fichier livré avec la plateforme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Growth Lab, Harvard</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Atlas de la complexité économique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Interface GraphQL</w:t>
            </w:r>
          </w:p>
        </w:tc>
      </w:tr>
    </w:tbl>
    <w:p>
      <w:pPr>
        <w:spacing w:after="220" w:before="90"/>
        <w:jc w:val="center"/>
      </w:pPr>
      <w:r>
        <w:rPr>
          <w:i/>
          <w:iCs/>
          <w:color w:val="5C6672"/>
          <w:sz w:val="17"/>
          <w:szCs w:val="17"/>
        </w:rPr>
        <w:t xml:space="preserve">Table 1.2. Fournisseurs et bases mobilisées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Propriété et citation</w:t>
            </w:r>
          </w:p>
          <w:p>
            <w:pPr>
              <w:spacing w:after="0" w:line="276"/>
              <w:jc w:val="both"/>
            </w:pPr>
            <w:r>
              <w:rPr>
                <w:b w:val="false"/>
                <w:bCs w:val="false"/>
                <w:color w:val="000000"/>
                <w:sz w:val="19"/>
                <w:szCs w:val="19"/>
              </w:rPr>
              <w:t xml:space="preserve">Les données restent la propriété de leurs producteurs. Le Growth Lab de l'Université Harvard, l'OCDE et le Fonds monétaire international exigent explicitement l'attribution. Chaque classeur exporté comporte une feuille « Sources » indiquant, pour chaque indicateur, sa provenance et la date d'extraction. Ne diffusez jamais un extrait sans cette feuille.</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2</w:t>
      </w:r>
    </w:p>
    <w:p>
      <w:pPr>
        <w:pStyle w:val="Heading1"/>
        <w:spacing w:after="260" w:before="0"/>
      </w:pPr>
      <w:r>
        <w:t xml:space="preserve">Prise en main</w:t>
      </w:r>
    </w:p>
    <w:p>
      <w:pPr>
        <w:pStyle w:val="Heading2"/>
      </w:pPr>
      <w:r>
        <w:t xml:space="preserve">2.1 Le bandeau</w:t>
      </w:r>
    </w:p>
    <w:p>
      <w:pPr>
        <w:spacing w:after="140" w:line="288"/>
        <w:jc w:val="both"/>
      </w:pPr>
      <w:r>
        <w:rPr>
          <w:b w:val="false"/>
          <w:bCs w:val="false"/>
          <w:i w:val="false"/>
          <w:iCs w:val="false"/>
          <w:sz w:val="21"/>
          <w:szCs w:val="21"/>
        </w:rPr>
        <w:t xml:space="preserve">Le bandeau reste visible en permanence, y compris lorsque l'on fait défiler une page longue. Il porte les armoiries de la République, le nom de la plateforme, le sélecteur de langue et le logo du ministère. Une bande discrète rappelle les dix principaux partenaires commerciaux du Cameroun.</w:t>
      </w:r>
    </w:p>
    <w:p>
      <w:pPr>
        <w:pStyle w:val="Heading2"/>
      </w:pPr>
      <w:r>
        <w:t xml:space="preserve">2.2 Les cinq onglets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Onglet</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Usage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Accueil</w:t>
            </w:r>
          </w:p>
        </w:tc>
        <w:tc>
          <w:tcPr>
            <w:tcW w:type="dxa" w:w="6254"/>
            <w:tcMar>
              <w:top w:type="dxa" w:w="60"/>
              <w:left w:type="dxa" w:w="90"/>
              <w:bottom w:type="dxa" w:w="60"/>
              <w:right w:type="dxa" w:w="90"/>
            </w:tcMar>
          </w:tcPr>
          <w:p>
            <w:pPr>
              <w:spacing w:after="0" w:line="240"/>
              <w:jc w:val="left"/>
            </w:pPr>
            <w:r>
              <w:rPr>
                <w:color w:val="000000"/>
                <w:sz w:val="18"/>
                <w:szCs w:val="18"/>
              </w:rPr>
              <w:t xml:space="preserve">Présentation, chiffres de la base, accès aux sites de référence, téléchargement du manuel</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Tableau de bord</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Consultation graphique et cartographique, projections, exports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Base de données</w:t>
            </w:r>
          </w:p>
        </w:tc>
        <w:tc>
          <w:tcPr>
            <w:tcW w:type="dxa" w:w="6254"/>
            <w:tcMar>
              <w:top w:type="dxa" w:w="60"/>
              <w:left w:type="dxa" w:w="90"/>
              <w:bottom w:type="dxa" w:w="60"/>
              <w:right w:type="dxa" w:w="90"/>
            </w:tcMar>
          </w:tcPr>
          <w:p>
            <w:pPr>
              <w:spacing w:after="0" w:line="240"/>
              <w:jc w:val="left"/>
            </w:pPr>
            <w:r>
              <w:rPr>
                <w:color w:val="000000"/>
                <w:sz w:val="18"/>
                <w:szCs w:val="18"/>
              </w:rPr>
              <w:t xml:space="preserve">Consultation tabulaire et téléchargement au format tableur</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GoogleOPESc+</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Recherche orientée vers un ensemble fermé de sources de référence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Collectes</w:t>
            </w:r>
          </w:p>
        </w:tc>
        <w:tc>
          <w:tcPr>
            <w:tcW w:type="dxa" w:w="6254"/>
            <w:tcMar>
              <w:top w:type="dxa" w:w="60"/>
              <w:left w:type="dxa" w:w="90"/>
              <w:bottom w:type="dxa" w:w="60"/>
              <w:right w:type="dxa" w:w="90"/>
            </w:tcMar>
          </w:tcPr>
          <w:p>
            <w:pPr>
              <w:spacing w:after="0" w:line="240"/>
              <w:jc w:val="left"/>
            </w:pPr>
            <w:r>
              <w:rPr>
                <w:color w:val="000000"/>
                <w:sz w:val="18"/>
                <w:szCs w:val="18"/>
              </w:rPr>
              <w:t xml:space="preserve">Journal des actualisations, déclenchement manuel, import de fichiers</w:t>
            </w:r>
          </w:p>
        </w:tc>
      </w:tr>
    </w:tbl>
    <w:p>
      <w:pPr>
        <w:spacing w:after="220" w:before="90"/>
        <w:jc w:val="center"/>
      </w:pPr>
      <w:r>
        <w:rPr>
          <w:i/>
          <w:iCs/>
          <w:color w:val="5C6672"/>
          <w:sz w:val="17"/>
          <w:szCs w:val="17"/>
        </w:rPr>
        <w:t xml:space="preserve">Table 2.1. Rôle de chaque onglet</w:t>
      </w:r>
    </w:p>
    <w:p>
      <w:pPr>
        <w:pStyle w:val="Heading2"/>
      </w:pPr>
      <w:r>
        <w:t xml:space="preserve">2.3 Changer de langue</w:t>
      </w:r>
    </w:p>
    <w:p>
      <w:pPr>
        <w:spacing w:after="140" w:line="288"/>
        <w:jc w:val="both"/>
      </w:pPr>
      <w:r>
        <w:rPr>
          <w:b w:val="false"/>
          <w:bCs w:val="false"/>
          <w:i w:val="false"/>
          <w:iCs w:val="false"/>
          <w:sz w:val="21"/>
          <w:szCs w:val="21"/>
        </w:rPr>
        <w:t xml:space="preserve">Le sélecteur situé à droite du bandeau bascule entre le français et l'anglais. Le changement recharge la page : c'est ce qui permet de traduire l'intégralité de l'interface, y compris les libellés construits une seule fois au démarrage. Une sélection en cours n'est pas conservée par ce rechargement ; changez donc de langue avant de composer un graphique.</w:t>
      </w:r>
    </w:p>
    <w:p>
      <w:pPr>
        <w:spacing w:after="140" w:line="288"/>
        <w:jc w:val="both"/>
      </w:pPr>
      <w:r>
        <w:rPr>
          <w:b w:val="false"/>
          <w:bCs w:val="false"/>
          <w:i w:val="false"/>
          <w:iCs w:val="false"/>
          <w:sz w:val="21"/>
          <w:szCs w:val="21"/>
        </w:rPr>
        <w:t xml:space="preserve">La traduction couvre l'interface, les libellés des quatorze catégories, ceux des 313 indicateurs et leurs unités. Les noms de pays sont fournis en anglais par la Banque mondiale.</w:t>
      </w:r>
    </w:p>
    <w:p>
      <w:pPr>
        <w:pStyle w:val="Heading2"/>
      </w:pPr>
      <w:r>
        <w:t xml:space="preserve">2.4 Télécharger le manuel</w:t>
      </w:r>
    </w:p>
    <w:p>
      <w:pPr>
        <w:spacing w:after="140" w:line="288"/>
        <w:jc w:val="both"/>
      </w:pPr>
      <w:r>
        <w:rPr>
          <w:b w:val="false"/>
          <w:bCs w:val="false"/>
          <w:i w:val="false"/>
          <w:iCs w:val="false"/>
          <w:sz w:val="21"/>
          <w:szCs w:val="21"/>
        </w:rPr>
        <w:t xml:space="preserve">Le bouton se trouve sur l'accueil, à la suite de « Consulter la base ». Un formulaire demande la langue et le format, puis le téléchargement démarre à la validation. Quatre versions sont livrées avec la plateforme : française et anglaise, en PDF et en Word.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la langue du manuel est demandée</w:t>
            </w:r>
          </w:p>
          <w:p>
            <w:pPr>
              <w:spacing w:after="0" w:line="276"/>
              <w:jc w:val="both"/>
            </w:pPr>
            <w:r>
              <w:rPr>
                <w:b w:val="false"/>
                <w:bCs w:val="false"/>
                <w:color w:val="000000"/>
                <w:sz w:val="19"/>
                <w:szCs w:val="19"/>
              </w:rPr>
              <w:t xml:space="preserve">Elle n'est pas déduite de celle de l'interface. Un agent consultant la plateforme en français peut avoir besoin de la version anglaise pour un partenaire technique ou financier, et inversement. Le formulaire propose par défaut la langue courante, sans l'imposer.</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3</w:t>
      </w:r>
    </w:p>
    <w:p>
      <w:pPr>
        <w:pStyle w:val="Heading1"/>
        <w:spacing w:after="260" w:before="0"/>
      </w:pPr>
      <w:r>
        <w:t xml:space="preserve">L'accueil</w:t>
      </w:r>
    </w:p>
    <w:p>
      <w:pPr>
        <w:spacing w:after="140" w:line="288"/>
        <w:jc w:val="both"/>
      </w:pPr>
      <w:r>
        <w:rPr>
          <w:b w:val="false"/>
          <w:bCs w:val="false"/>
          <w:i w:val="false"/>
          <w:iCs w:val="false"/>
          <w:sz w:val="21"/>
          <w:szCs w:val="21"/>
        </w:rPr>
        <w:t xml:space="preserve">L'accueil sert de point d'entrée et de rappel du périmètre. Il comporte quatre blocs.</w:t>
      </w:r>
    </w:p>
    <w:p>
      <w:pPr>
        <w:pStyle w:val="ListParagraph"/>
        <w:numPr>
          <w:ilvl w:val="0"/>
          <w:numId w:val="3"/>
        </w:numPr>
        <w:spacing w:after="90" w:line="288"/>
        <w:jc w:val="both"/>
      </w:pPr>
      <w:r>
        <w:rPr>
          <w:sz w:val="21"/>
          <w:szCs w:val="21"/>
        </w:rPr>
        <w:t xml:space="preserve">Une bannière avec les deux accès principaux, le tableau de bord et la base de données.</w:t>
      </w:r>
    </w:p>
    <w:p>
      <w:pPr>
        <w:pStyle w:val="ListParagraph"/>
        <w:numPr>
          <w:ilvl w:val="0"/>
          <w:numId w:val="3"/>
        </w:numPr>
        <w:spacing w:after="90" w:line="288"/>
        <w:jc w:val="both"/>
      </w:pPr>
      <w:r>
        <w:rPr>
          <w:sz w:val="21"/>
          <w:szCs w:val="21"/>
        </w:rPr>
        <w:t xml:space="preserve">Les chiffres réels de la base : nombre d'indicateurs actifs, de catégories, d'économies, d'observations, et date de la dernière collecte réussie.</w:t>
      </w:r>
    </w:p>
    <w:p>
      <w:pPr>
        <w:pStyle w:val="ListParagraph"/>
        <w:numPr>
          <w:ilvl w:val="0"/>
          <w:numId w:val="3"/>
        </w:numPr>
        <w:spacing w:after="90" w:line="288"/>
        <w:jc w:val="both"/>
      </w:pPr>
      <w:r>
        <w:rPr>
          <w:sz w:val="21"/>
          <w:szCs w:val="21"/>
        </w:rPr>
        <w:t xml:space="preserve">Six cartes détaillant les fonctionnalités et l'onglet où les trouver.</w:t>
      </w:r>
    </w:p>
    <w:p>
      <w:pPr>
        <w:pStyle w:val="ListParagraph"/>
        <w:numPr>
          <w:ilvl w:val="0"/>
          <w:numId w:val="3"/>
        </w:numPr>
        <w:spacing w:after="90" w:line="288"/>
        <w:jc w:val="both"/>
      </w:pPr>
      <w:r>
        <w:rPr>
          <w:sz w:val="21"/>
          <w:szCs w:val="21"/>
        </w:rPr>
        <w:t xml:space="preserve">Les liens vers les institutions et vers les sites officiels des fournisseurs de données.</w:t>
      </w:r>
    </w:p>
    <w:p>
      <w:pPr>
        <w:spacing w:after="140" w:line="288"/>
        <w:jc w:val="both"/>
      </w:pPr>
      <w:r>
        <w:rPr>
          <w:b w:val="false"/>
          <w:bCs w:val="false"/>
          <w:i w:val="false"/>
          <w:iCs w:val="false"/>
          <w:sz w:val="21"/>
          <w:szCs w:val="21"/>
        </w:rPr>
        <w:t xml:space="preserve">Les chiffres affichés sont interrogés en base à chaque ouverture. S'ils vous semblent faibles, c'est que la collecte est incomplète : vérifiez le journal dans l'onglet Collectes.</w:t>
      </w:r>
    </w:p>
    <w:p>
      <w:r>
        <w:br w:type="page"/>
      </w:r>
    </w:p>
    <w:p>
      <w:pPr>
        <w:spacing w:after="120" w:before="0"/>
      </w:pPr>
      <w:r>
        <w:rPr>
          <w:color w:val="000000"/>
          <w:sz w:val="26"/>
          <w:szCs w:val="26"/>
        </w:rPr>
        <w:t xml:space="preserve">Chapitre 4</w:t>
      </w:r>
    </w:p>
    <w:p>
      <w:pPr>
        <w:pStyle w:val="Heading1"/>
        <w:spacing w:after="260" w:before="0"/>
      </w:pPr>
      <w:r>
        <w:t xml:space="preserve">Le tableau de bord</w:t>
      </w:r>
    </w:p>
    <w:p>
      <w:pPr>
        <w:spacing w:after="140" w:line="288"/>
        <w:jc w:val="both"/>
      </w:pPr>
      <w:r>
        <w:rPr>
          <w:b w:val="false"/>
          <w:bCs w:val="false"/>
          <w:i w:val="false"/>
          <w:iCs w:val="false"/>
          <w:sz w:val="21"/>
          <w:szCs w:val="21"/>
        </w:rPr>
        <w:t xml:space="preserve">Le tableau de bord se lit de haut en bas : on choisit une catégorie, on affine dans la barre de filtres, on lit le graphique puis la carte.</w:t>
      </w:r>
    </w:p>
    <w:p>
      <w:pPr>
        <w:pStyle w:val="Heading2"/>
      </w:pPr>
      <w:r>
        <w:t xml:space="preserve">4.1 Ce qui s'affiche au chargement</w:t>
      </w:r>
    </w:p>
    <w:p>
      <w:pPr>
        <w:spacing w:after="140" w:line="288"/>
        <w:jc w:val="both"/>
      </w:pPr>
      <w:r>
        <w:rPr>
          <w:b w:val="false"/>
          <w:bCs w:val="false"/>
          <w:i w:val="false"/>
          <w:iCs w:val="false"/>
          <w:sz w:val="21"/>
          <w:szCs w:val="21"/>
        </w:rPr>
        <w:t xml:space="preserve">Le tableau de bord trace d'emblée la croissance du produit intérieur brut par habitant pour le Cameroun, en annuel, et la base de données ouvre sur une catégorie alimentée. Cette sélection se remplace au premier filtre appliqué.</w:t>
      </w:r>
    </w:p>
    <w:p>
      <w:pPr>
        <w:spacing w:after="140" w:line="288"/>
        <w:jc w:val="both"/>
      </w:pPr>
      <w:r>
        <w:rPr>
          <w:b w:val="false"/>
          <w:bCs w:val="false"/>
          <w:i w:val="false"/>
          <w:iCs w:val="false"/>
          <w:sz w:val="21"/>
          <w:szCs w:val="21"/>
        </w:rPr>
        <w:t xml:space="preserve">Un écran vide au premier abord n'apprend rien, et un tableau vide laisse même croire que la base l'est aussi.</w:t>
      </w:r>
    </w:p>
    <w:p>
      <w:pPr>
        <w:pStyle w:val="Heading2"/>
      </w:pPr>
      <w:r>
        <w:t xml:space="preserve">4.2 Choisir une catégorie</w:t>
      </w:r>
    </w:p>
    <w:p>
      <w:pPr>
        <w:spacing w:after="140" w:line="288"/>
        <w:jc w:val="both"/>
      </w:pPr>
      <w:r>
        <w:rPr>
          <w:b w:val="false"/>
          <w:bCs w:val="false"/>
          <w:i w:val="false"/>
          <w:iCs w:val="false"/>
          <w:sz w:val="21"/>
          <w:szCs w:val="21"/>
        </w:rPr>
        <w:t xml:space="preserve">Le premier cadre présente les quatorze catégories, dans un ordre qui suit la logique d'une note de conjoncture : les matières premières, puis le secteur réel, les finances publiques, le secteur monétaire, le secteur extérieur, les changes et les taux.</w:t>
      </w:r>
    </w:p>
    <w:p>
      <w:pPr>
        <w:spacing w:after="140" w:line="288"/>
        <w:jc w:val="both"/>
      </w:pPr>
      <w:r>
        <w:rPr>
          <w:b w:val="false"/>
          <w:bCs w:val="false"/>
          <w:i w:val="false"/>
          <w:iCs w:val="false"/>
          <w:sz w:val="21"/>
          <w:szCs w:val="21"/>
        </w:rPr>
        <w:t xml:space="preserve">Chaque tuile indique le nombre d'indicateurs qu'elle contient et combien ont été collectés. Une catégorie entièrement vide est signalée en orange.</w:t>
      </w:r>
    </w:p>
    <w:p>
      <w:pPr>
        <w:pStyle w:val="Heading2"/>
      </w:pPr>
      <w:r>
        <w:t xml:space="preserve">4.3 La barre de filtres</w:t>
      </w:r>
    </w:p>
    <w:p>
      <w:pPr>
        <w:spacing w:after="140" w:line="288"/>
        <w:jc w:val="both"/>
      </w:pPr>
      <w:r>
        <w:rPr>
          <w:b w:val="false"/>
          <w:bCs w:val="false"/>
          <w:i w:val="false"/>
          <w:iCs w:val="false"/>
          <w:sz w:val="21"/>
          <w:szCs w:val="21"/>
        </w:rPr>
        <w:t xml:space="preserve">Cinq réglages, dans cet ordre, chacun restreignant le suivant.</w:t>
      </w:r>
    </w:p>
    <w:p>
      <w:pPr>
        <w:pStyle w:val="ListParagraph"/>
        <w:numPr>
          <w:ilvl w:val="0"/>
          <w:numId w:val="2"/>
        </w:numPr>
        <w:spacing w:after="90" w:line="288"/>
        <w:jc w:val="both"/>
      </w:pPr>
      <w:r>
        <w:rPr>
          <w:sz w:val="21"/>
          <w:szCs w:val="21"/>
        </w:rPr>
        <w:t xml:space="preserve">Indicateur. La liste ne contient que les indicateurs de la catégorie. Ceux déjà collectés viennent en tête ; les autres portent la mention « non collecté ». La sélection accepte jusqu'à six indicateurs.</w:t>
      </w:r>
    </w:p>
    <w:p>
      <w:pPr>
        <w:pStyle w:val="ListParagraph"/>
        <w:numPr>
          <w:ilvl w:val="0"/>
          <w:numId w:val="2"/>
        </w:numPr>
        <w:spacing w:after="90" w:line="288"/>
        <w:jc w:val="both"/>
      </w:pPr>
      <w:r>
        <w:rPr>
          <w:sz w:val="21"/>
          <w:szCs w:val="21"/>
        </w:rPr>
        <w:t xml:space="preserve">Fréquence. Seules les fréquences réellement présentes en base sont proposées. Elle s'ajuste au premier indicateur choisi.</w:t>
      </w:r>
    </w:p>
    <w:p>
      <w:pPr>
        <w:pStyle w:val="ListParagraph"/>
        <w:numPr>
          <w:ilvl w:val="0"/>
          <w:numId w:val="2"/>
        </w:numPr>
        <w:spacing w:after="90" w:line="288"/>
        <w:jc w:val="both"/>
      </w:pPr>
      <w:r>
        <w:rPr>
          <w:sz w:val="21"/>
          <w:szCs w:val="21"/>
        </w:rPr>
        <w:t xml:space="preserve">Période. Les bornes correspondent à la couverture effective de l'indicateur au pas retenu.</w:t>
      </w:r>
    </w:p>
    <w:p>
      <w:pPr>
        <w:pStyle w:val="ListParagraph"/>
        <w:numPr>
          <w:ilvl w:val="0"/>
          <w:numId w:val="2"/>
        </w:numPr>
        <w:spacing w:after="90" w:line="288"/>
        <w:jc w:val="both"/>
      </w:pPr>
      <w:r>
        <w:rPr>
          <w:sz w:val="21"/>
          <w:szCs w:val="21"/>
        </w:rPr>
        <w:t xml:space="preserve">Pays. Seuls les pays pour lesquels l'indicateur est renseigné apparaissent, huit au maximum sur un même graphique.</w:t>
      </w:r>
    </w:p>
    <w:p>
      <w:pPr>
        <w:pStyle w:val="ListParagraph"/>
        <w:numPr>
          <w:ilvl w:val="0"/>
          <w:numId w:val="2"/>
        </w:numPr>
        <w:spacing w:after="90" w:line="288"/>
        <w:jc w:val="both"/>
      </w:pPr>
      <w:r>
        <w:rPr>
          <w:sz w:val="21"/>
          <w:szCs w:val="21"/>
        </w:rPr>
        <w:t xml:space="preserve">Appliquer le filtre. Rien ne se redessine avant ce clic.</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les cascades suivent le premier indicateur</w:t>
            </w:r>
          </w:p>
          <w:p>
            <w:pPr>
              <w:spacing w:after="0" w:line="276"/>
              <w:jc w:val="both"/>
            </w:pPr>
            <w:r>
              <w:rPr>
                <w:b w:val="false"/>
                <w:bCs w:val="false"/>
                <w:color w:val="000000"/>
                <w:sz w:val="19"/>
                <w:szCs w:val="19"/>
              </w:rPr>
              <w:t xml:space="preserve">Lorsque plusieurs indicateurs sont sélectionnés, la fréquence, la période et la liste des pays se calent sur le premier. Les combiner sur l'ensemble produirait des intersections souvent vides, et un filtre vide est plus déroutant qu'une série secondaire tronquée. Vérifiez donc que votre indicateur principal figure en tête de la sélection.</w:t>
            </w:r>
          </w:p>
        </w:tc>
      </w:tr>
    </w:tbl>
    <w:p>
      <w:pPr>
        <w:spacing w:after="200" w:line="288"/>
        <w:jc w:val="both"/>
      </w:pPr>
      <w:r>
        <w:rPr>
          <w:b w:val="false"/>
          <w:bCs w:val="false"/>
          <w:i w:val="false"/>
          <w:iCs w:val="false"/>
          <w:sz w:val="21"/>
          <w:szCs w:val="21"/>
        </w:rPr>
        <w:t xml:space="preserve"/>
      </w:r>
    </w:p>
    <w:p>
      <w:pPr>
        <w:pStyle w:val="Heading2"/>
      </w:pPr>
      <w:r>
        <w:t xml:space="preserve">4.4 Superposer plusieurs séries</w:t>
      </w:r>
    </w:p>
    <w:p>
      <w:pPr>
        <w:spacing w:after="140" w:line="288"/>
        <w:jc w:val="both"/>
      </w:pPr>
      <w:r>
        <w:rPr>
          <w:b w:val="false"/>
          <w:bCs w:val="false"/>
          <w:i w:val="false"/>
          <w:iCs w:val="false"/>
          <w:sz w:val="21"/>
          <w:szCs w:val="21"/>
        </w:rPr>
        <w:t xml:space="preserve">Deux voies mènent au même résultat. Sélectionner plusieurs indicateurs d'un coup dans la liste, puis appliquer. Ou construire une sélection, l'ajouter au graphique, en composer une autre et l'ajouter à son tour : c'est la voie à suivre pour croiser des indicateurs de catégories différentes.</w:t>
      </w:r>
    </w:p>
    <w:p>
      <w:pPr>
        <w:spacing w:after="140" w:line="288"/>
        <w:jc w:val="both"/>
      </w:pPr>
      <w:r>
        <w:rPr>
          <w:b w:val="false"/>
          <w:bCs w:val="false"/>
          <w:i w:val="false"/>
          <w:iCs w:val="false"/>
          <w:sz w:val="21"/>
          <w:szCs w:val="21"/>
        </w:rPr>
        <w:t xml:space="preserve">Chaque série affichée apparaît sous forme de jeton, que l'on retire d'un clic sur la croix. Le plafond est de six séries.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La mise en base 100 est parfois imposée</w:t>
            </w:r>
          </w:p>
          <w:p>
            <w:pPr>
              <w:spacing w:after="0" w:line="276"/>
              <w:jc w:val="both"/>
            </w:pPr>
            <w:r>
              <w:rPr>
                <w:b w:val="false"/>
                <w:bCs w:val="false"/>
                <w:color w:val="000000"/>
                <w:sz w:val="19"/>
                <w:szCs w:val="19"/>
              </w:rPr>
              <w:t xml:space="preserve">Quand les séries affichées n'ont pas la même unité, elles sont automatiquement ramenées en base 100 à leur première observation. Superposer un pourcentage du produit intérieur brut et un cours en dollars par tonne sur un même axe écraserait l'un des deux jusqu'à le rendre plat. La case « Base 100 » permet d'imposer ce traitement même lorsque les unités concordent, pour comparer des évolutions relatives plutôt que des niveaux.</w:t>
            </w:r>
          </w:p>
        </w:tc>
      </w:tr>
    </w:tbl>
    <w:p>
      <w:pPr>
        <w:spacing w:after="200" w:line="288"/>
        <w:jc w:val="both"/>
      </w:pPr>
      <w:r>
        <w:rPr>
          <w:b w:val="false"/>
          <w:bCs w:val="false"/>
          <w:i w:val="false"/>
          <w:iCs w:val="false"/>
          <w:sz w:val="21"/>
          <w:szCs w:val="21"/>
        </w:rPr>
        <w:t xml:space="preserve"/>
      </w:r>
    </w:p>
    <w:p>
      <w:pPr>
        <w:pStyle w:val="Heading2"/>
      </w:pPr>
      <w:r>
        <w:t xml:space="preserve">4.5 Les quatre représentations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Type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Usage recommandé</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À éviter</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Courbes</w:t>
            </w:r>
          </w:p>
        </w:tc>
        <w:tc>
          <w:tcPr>
            <w:tcW w:type="dxa" w:w="3500"/>
            <w:tcMar>
              <w:top w:type="dxa" w:w="60"/>
              <w:left w:type="dxa" w:w="90"/>
              <w:bottom w:type="dxa" w:w="60"/>
              <w:right w:type="dxa" w:w="90"/>
            </w:tcMar>
          </w:tcPr>
          <w:p>
            <w:pPr>
              <w:spacing w:after="0" w:line="240"/>
              <w:jc w:val="left"/>
            </w:pPr>
            <w:r>
              <w:rPr>
                <w:color w:val="000000"/>
                <w:sz w:val="18"/>
                <w:szCs w:val="18"/>
              </w:rPr>
              <w:t xml:space="preserve">Évolution d'une ou plusieurs séries dans le temps</w:t>
            </w:r>
          </w:p>
        </w:tc>
        <w:tc>
          <w:tcPr>
            <w:tcW w:type="dxa" w:w="3354"/>
            <w:tcMar>
              <w:top w:type="dxa" w:w="60"/>
              <w:left w:type="dxa" w:w="90"/>
              <w:bottom w:type="dxa" w:w="60"/>
              <w:right w:type="dxa" w:w="90"/>
            </w:tcMar>
          </w:tcPr>
          <w:p>
            <w:pPr>
              <w:spacing w:after="0" w:line="240"/>
              <w:jc w:val="left"/>
            </w:pPr>
            <w:r>
              <w:rPr>
                <w:color w:val="000000"/>
                <w:sz w:val="18"/>
                <w:szCs w:val="18"/>
              </w:rPr>
              <w:t xml:space="preserve">Séries très lacunaires</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Barres</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Comparaison de niveaux sur peu de périodes</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Séries longues, illisibles</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Aires</w:t>
            </w:r>
          </w:p>
        </w:tc>
        <w:tc>
          <w:tcPr>
            <w:tcW w:type="dxa" w:w="3500"/>
            <w:tcMar>
              <w:top w:type="dxa" w:w="60"/>
              <w:left w:type="dxa" w:w="90"/>
              <w:bottom w:type="dxa" w:w="60"/>
              <w:right w:type="dxa" w:w="90"/>
            </w:tcMar>
          </w:tcPr>
          <w:p>
            <w:pPr>
              <w:spacing w:after="0" w:line="240"/>
              <w:jc w:val="left"/>
            </w:pPr>
            <w:r>
              <w:rPr>
                <w:color w:val="000000"/>
                <w:sz w:val="18"/>
                <w:szCs w:val="18"/>
              </w:rPr>
              <w:t xml:space="preserve">Évolution avec mise en valeur du niveau</w:t>
            </w:r>
          </w:p>
        </w:tc>
        <w:tc>
          <w:tcPr>
            <w:tcW w:type="dxa" w:w="3354"/>
            <w:tcMar>
              <w:top w:type="dxa" w:w="60"/>
              <w:left w:type="dxa" w:w="90"/>
              <w:bottom w:type="dxa" w:w="60"/>
              <w:right w:type="dxa" w:w="90"/>
            </w:tcMar>
          </w:tcPr>
          <w:p>
            <w:pPr>
              <w:spacing w:after="0" w:line="240"/>
              <w:jc w:val="left"/>
            </w:pPr>
            <w:r>
              <w:rPr>
                <w:color w:val="000000"/>
                <w:sz w:val="18"/>
                <w:szCs w:val="18"/>
              </w:rPr>
              <w:t xml:space="preserve">Plus de trois séries superposées</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Camembert</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Répartition entre pays sur une grandeur additive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Pourcentages, indices, rangs</w:t>
            </w:r>
          </w:p>
        </w:tc>
      </w:tr>
    </w:tbl>
    <w:p>
      <w:pPr>
        <w:spacing w:after="220" w:before="90"/>
        <w:jc w:val="center"/>
      </w:pPr>
      <w:r>
        <w:rPr>
          <w:i/>
          <w:iCs/>
          <w:color w:val="5C6672"/>
          <w:sz w:val="17"/>
          <w:szCs w:val="17"/>
        </w:rPr>
        <w:t xml:space="preserve">Table 4.1. Types de graphiques et usage recommandé</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Le camembert additionne les valeurs</w:t>
            </w:r>
          </w:p>
          <w:p>
            <w:pPr>
              <w:spacing w:after="0" w:line="276"/>
              <w:jc w:val="both"/>
            </w:pPr>
            <w:r>
              <w:rPr>
                <w:b w:val="false"/>
                <w:bCs w:val="false"/>
                <w:color w:val="000000"/>
                <w:sz w:val="19"/>
                <w:szCs w:val="19"/>
              </w:rPr>
              <w:t xml:space="preserve">Il ne retient que la dernière période affichée, dont l'année figure en titre, et écarte les valeurs nulles ou négatives. Surtout, il additionne ce qu'il représente. Sur des exportations en dollars, ce total a un sens. Sur des pourcentages du produit intérieur brut, des indices ou des rangs, il n'en a aucun : la plateforme trace quand même le graphique mais affiche un avertissement. Ne le diffusez pas dans ce cas.</w:t>
            </w:r>
          </w:p>
        </w:tc>
      </w:tr>
    </w:tbl>
    <w:p>
      <w:pPr>
        <w:spacing w:after="200" w:line="288"/>
        <w:jc w:val="both"/>
      </w:pPr>
      <w:r>
        <w:rPr>
          <w:b w:val="false"/>
          <w:bCs w:val="false"/>
          <w:i w:val="false"/>
          <w:iCs w:val="false"/>
          <w:sz w:val="21"/>
          <w:szCs w:val="21"/>
        </w:rPr>
        <w:t xml:space="preserve"/>
      </w:r>
    </w:p>
    <w:p>
      <w:pPr>
        <w:spacing w:after="140" w:line="288"/>
        <w:jc w:val="both"/>
      </w:pPr>
      <w:r>
        <w:rPr>
          <w:b w:val="false"/>
          <w:bCs w:val="false"/>
          <w:i w:val="false"/>
          <w:iCs w:val="false"/>
          <w:sz w:val="21"/>
          <w:szCs w:val="21"/>
        </w:rPr>
        <w:t xml:space="preserve">Une série lacunaire est tracée en pointillés et n'est jamais interpolée : relier deux points distants de plusieurs années par un trait plein suggérerait une évolution qui n'a pas été observée.</w:t>
      </w:r>
    </w:p>
    <w:p>
      <w:pPr>
        <w:pStyle w:val="Heading2"/>
      </w:pPr>
      <w:r>
        <w:t xml:space="preserve">4.6 Projections</w:t>
      </w:r>
    </w:p>
    <w:p>
      <w:pPr>
        <w:spacing w:after="140" w:line="288"/>
        <w:jc w:val="both"/>
      </w:pPr>
      <w:r>
        <w:rPr>
          <w:b w:val="false"/>
          <w:bCs w:val="false"/>
          <w:i w:val="false"/>
          <w:iCs w:val="false"/>
          <w:sz w:val="21"/>
          <w:szCs w:val="21"/>
        </w:rPr>
        <w:t xml:space="preserve">Trois méthodes de prolongement sont proposées, chacune avec son intervalle. Elles portent sur le premier pays sélectionné et demandent au moins cinq observations annuelles.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Méthode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Principe</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Comportement</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Tendance linéaire</w:t>
            </w:r>
          </w:p>
        </w:tc>
        <w:tc>
          <w:tcPr>
            <w:tcW w:type="dxa" w:w="3500"/>
            <w:tcMar>
              <w:top w:type="dxa" w:w="60"/>
              <w:left w:type="dxa" w:w="90"/>
              <w:bottom w:type="dxa" w:w="60"/>
              <w:right w:type="dxa" w:w="90"/>
            </w:tcMar>
          </w:tcPr>
          <w:p>
            <w:pPr>
              <w:spacing w:after="0" w:line="240"/>
              <w:jc w:val="left"/>
            </w:pPr>
            <w:r>
              <w:rPr>
                <w:color w:val="000000"/>
                <w:sz w:val="18"/>
                <w:szCs w:val="18"/>
              </w:rPr>
              <w:t xml:space="preserve">Moindres carrés ordinaires sur le temps</w:t>
            </w:r>
          </w:p>
        </w:tc>
        <w:tc>
          <w:tcPr>
            <w:tcW w:type="dxa" w:w="3354"/>
            <w:tcMar>
              <w:top w:type="dxa" w:w="60"/>
              <w:left w:type="dxa" w:w="90"/>
              <w:bottom w:type="dxa" w:w="60"/>
              <w:right w:type="dxa" w:w="90"/>
            </w:tcMar>
          </w:tcPr>
          <w:p>
            <w:pPr>
              <w:spacing w:after="0" w:line="240"/>
              <w:jc w:val="left"/>
            </w:pPr>
            <w:r>
              <w:rPr>
                <w:color w:val="000000"/>
                <w:sz w:val="18"/>
                <w:szCs w:val="18"/>
              </w:rPr>
              <w:t xml:space="preserve">Robuste, insensible aux ruptures de régime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Marche aléatoire avec dérive</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Prolonge la moyenne des dernières variations</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Référence de comparaison la plus neutre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Lissage de Holt</w:t>
            </w:r>
          </w:p>
        </w:tc>
        <w:tc>
          <w:tcPr>
            <w:tcW w:type="dxa" w:w="3500"/>
            <w:tcMar>
              <w:top w:type="dxa" w:w="60"/>
              <w:left w:type="dxa" w:w="90"/>
              <w:bottom w:type="dxa" w:w="60"/>
              <w:right w:type="dxa" w:w="90"/>
            </w:tcMar>
          </w:tcPr>
          <w:p>
            <w:pPr>
              <w:spacing w:after="0" w:line="240"/>
              <w:jc w:val="left"/>
            </w:pPr>
            <w:r>
              <w:rPr>
                <w:color w:val="000000"/>
                <w:sz w:val="18"/>
                <w:szCs w:val="18"/>
              </w:rPr>
              <w:t xml:space="preserve">Lissage exponentiel avec tendance</w:t>
            </w:r>
          </w:p>
        </w:tc>
        <w:tc>
          <w:tcPr>
            <w:tcW w:type="dxa" w:w="3354"/>
            <w:tcMar>
              <w:top w:type="dxa" w:w="60"/>
              <w:left w:type="dxa" w:w="90"/>
              <w:bottom w:type="dxa" w:w="60"/>
              <w:right w:type="dxa" w:w="90"/>
            </w:tcMar>
          </w:tcPr>
          <w:p>
            <w:pPr>
              <w:spacing w:after="0" w:line="240"/>
              <w:jc w:val="left"/>
            </w:pPr>
            <w:r>
              <w:rPr>
                <w:color w:val="000000"/>
                <w:sz w:val="18"/>
                <w:szCs w:val="18"/>
              </w:rPr>
              <w:t xml:space="preserve">Réagit mieux aux inflexions récentes</w:t>
            </w:r>
          </w:p>
        </w:tc>
      </w:tr>
    </w:tbl>
    <w:p>
      <w:pPr>
        <w:spacing w:after="220" w:before="90"/>
        <w:jc w:val="center"/>
      </w:pPr>
      <w:r>
        <w:rPr>
          <w:i/>
          <w:iCs/>
          <w:color w:val="5C6672"/>
          <w:sz w:val="17"/>
          <w:szCs w:val="17"/>
        </w:rPr>
        <w:t xml:space="preserve">Table 4.2. Méthodes de projection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Ce que ces projections ne sont pas</w:t>
            </w:r>
          </w:p>
          <w:p>
            <w:pPr>
              <w:spacing w:after="0" w:line="276"/>
              <w:jc w:val="both"/>
            </w:pPr>
            <w:r>
              <w:rPr>
                <w:b w:val="false"/>
                <w:bCs w:val="false"/>
                <w:color w:val="000000"/>
                <w:sz w:val="19"/>
                <w:szCs w:val="19"/>
              </w:rPr>
              <w:t xml:space="preserve">Ce sont des prolongements mécaniques de la série observée. Elles n'incorporent aucune hypothèse de politique économique, aucun choc, aucune information extérieure à la série elle-même. Elles ne doivent jamais être présentées comme une prévision du ministère. Pour un cadrage macroéconomique, l'outil est OPESc.</w:t>
            </w:r>
          </w:p>
        </w:tc>
      </w:tr>
    </w:tbl>
    <w:p>
      <w:pPr>
        <w:spacing w:after="200" w:line="288"/>
        <w:jc w:val="both"/>
      </w:pPr>
      <w:r>
        <w:rPr>
          <w:b w:val="false"/>
          <w:bCs w:val="false"/>
          <w:i w:val="false"/>
          <w:iCs w:val="false"/>
          <w:sz w:val="21"/>
          <w:szCs w:val="21"/>
        </w:rPr>
        <w:t xml:space="preserve"/>
      </w:r>
    </w:p>
    <w:p>
      <w:pPr>
        <w:pStyle w:val="Heading2"/>
      </w:pPr>
      <w:r>
        <w:t xml:space="preserve">4.7 Exporter</w:t>
      </w:r>
    </w:p>
    <w:p>
      <w:pPr>
        <w:spacing w:after="140" w:line="288"/>
        <w:jc w:val="both"/>
      </w:pPr>
      <w:r>
        <w:rPr>
          <w:b w:val="false"/>
          <w:bCs w:val="false"/>
          <w:i w:val="false"/>
          <w:iCs w:val="false"/>
          <w:sz w:val="21"/>
          <w:szCs w:val="21"/>
        </w:rPr>
        <w:t xml:space="preserve">Le bouton « Image » produit un fichier PNG à fond blanc, à la résolution d'impression, prêt à être inséré dans une note. Le bouton « Données » produit un classeur contenant exactement la sélection affichée, avec sa feuille de sources.</w:t>
      </w:r>
    </w:p>
    <w:p>
      <w:r>
        <w:br w:type="page"/>
      </w:r>
    </w:p>
    <w:p>
      <w:pPr>
        <w:spacing w:after="120" w:before="0"/>
      </w:pPr>
      <w:r>
        <w:rPr>
          <w:color w:val="000000"/>
          <w:sz w:val="26"/>
          <w:szCs w:val="26"/>
        </w:rPr>
        <w:t xml:space="preserve">Chapitre 5</w:t>
      </w:r>
    </w:p>
    <w:p>
      <w:pPr>
        <w:pStyle w:val="Heading1"/>
        <w:spacing w:after="260" w:before="0"/>
      </w:pPr>
      <w:r>
        <w:t xml:space="preserve">L'analyse cartographique</w:t>
      </w:r>
    </w:p>
    <w:p>
      <w:pPr>
        <w:spacing w:after="140" w:line="288"/>
        <w:jc w:val="both"/>
      </w:pPr>
      <w:r>
        <w:rPr>
          <w:b w:val="false"/>
          <w:bCs w:val="false"/>
          <w:i w:val="false"/>
          <w:iCs w:val="false"/>
          <w:sz w:val="21"/>
          <w:szCs w:val="21"/>
        </w:rPr>
        <w:t xml:space="preserve">Sous le graphique, une carte du monde colore les pays selon la valeur de l'indicateur pour une année choisie au curseur. Un bouton de lecture parcourt les années automatiquement, ce qui donne à voir une dynamique que le graphique ne montre pas quand les pays sont nombreux.</w:t>
      </w:r>
    </w:p>
    <w:p>
      <w:pPr>
        <w:spacing w:after="140" w:line="288"/>
        <w:jc w:val="both"/>
      </w:pPr>
      <w:r>
        <w:rPr>
          <w:b w:val="false"/>
          <w:bCs w:val="false"/>
          <w:i w:val="false"/>
          <w:iCs w:val="false"/>
          <w:sz w:val="21"/>
          <w:szCs w:val="21"/>
        </w:rPr>
        <w:t xml:space="preserve">La carte suit le premier indicateur affiché. Superposer plusieurs indicateurs sur un même aplat de couleur n'aurait pas de sens, les unités n'étant pas comparables.</w:t>
      </w:r>
    </w:p>
    <w:p>
      <w:pPr>
        <w:pStyle w:val="Heading2"/>
      </w:pPr>
      <w:r>
        <w:t xml:space="preserve">5.1 Lire l'échelle</w:t>
      </w:r>
    </w:p>
    <w:p>
      <w:pPr>
        <w:spacing w:after="140" w:line="288"/>
        <w:jc w:val="both"/>
      </w:pPr>
      <w:r>
        <w:rPr>
          <w:b w:val="false"/>
          <w:bCs w:val="false"/>
          <w:i w:val="false"/>
          <w:iCs w:val="false"/>
          <w:sz w:val="21"/>
          <w:szCs w:val="21"/>
        </w:rPr>
        <w:t xml:space="preserve">L'échelle est bornée aux centiles 2 et 98 de la distribution. Sans cette précaution, quelques valeurs extrêmes donneraient à tous les autres pays la même teinte : sur la dette publique, une poignée de pays au-delà de 200 % du produit intérieur brut suffirait à aplatir toute la lecture. L'infobulle affiche toujours la valeur réelle, non bornée.</w:t>
      </w:r>
    </w:p>
    <w:p>
      <w:pPr>
        <w:spacing w:after="140" w:line="288"/>
        <w:jc w:val="both"/>
      </w:pPr>
      <w:r>
        <w:rPr>
          <w:b w:val="false"/>
          <w:bCs w:val="false"/>
          <w:i w:val="false"/>
          <w:iCs w:val="false"/>
          <w:sz w:val="21"/>
          <w:szCs w:val="21"/>
        </w:rPr>
        <w:t xml:space="preserve">Les agrégats régionaux sont exclus de la carte comme des classements. Les pays de votre sélection sont soulignés d'un trait plus épais.</w:t>
      </w:r>
    </w:p>
    <w:p>
      <w:pPr>
        <w:pStyle w:val="Heading2"/>
      </w:pPr>
      <w:r>
        <w:t xml:space="preserve">5.2 La fiche pays</w:t>
      </w:r>
    </w:p>
    <w:p>
      <w:pPr>
        <w:spacing w:after="140" w:line="288"/>
        <w:jc w:val="both"/>
      </w:pPr>
      <w:r>
        <w:rPr>
          <w:b w:val="false"/>
          <w:bCs w:val="false"/>
          <w:i w:val="false"/>
          <w:iCs w:val="false"/>
          <w:sz w:val="21"/>
          <w:szCs w:val="21"/>
        </w:rPr>
        <w:t xml:space="preserve">Un clic sur un pays ouvre son panneau à droite : drapeau, langue officielle, région, groupe de revenu, valeur de l'indicateur et rang mondial pour l'année affichée. Le bouton « Classement » exporte le classement complet de l'année.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Origine des compléments pays</w:t>
            </w:r>
          </w:p>
          <w:p>
            <w:pPr>
              <w:spacing w:after="0" w:line="276"/>
              <w:jc w:val="both"/>
            </w:pPr>
            <w:r>
              <w:rPr>
                <w:b w:val="false"/>
                <w:bCs w:val="false"/>
                <w:color w:val="000000"/>
                <w:sz w:val="19"/>
                <w:szCs w:val="19"/>
              </w:rPr>
              <w:t xml:space="preserve">Les codes à deux lettres et les langues officielles de 216 pays ne viennent d'aucune source statistique : ils sont maintenus à la main dans un fichier du projet, corrigeable sans toucher au code. Un pays absent de cette table affiche des champs vides plutôt que de faire échouer la carte.</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6</w:t>
      </w:r>
    </w:p>
    <w:p>
      <w:pPr>
        <w:pStyle w:val="Heading1"/>
        <w:spacing w:after="260" w:before="0"/>
      </w:pPr>
      <w:r>
        <w:t xml:space="preserve">La base de données</w:t>
      </w:r>
    </w:p>
    <w:p>
      <w:pPr>
        <w:spacing w:after="140" w:line="288"/>
        <w:jc w:val="both"/>
      </w:pPr>
      <w:r>
        <w:rPr>
          <w:b w:val="false"/>
          <w:bCs w:val="false"/>
          <w:i w:val="false"/>
          <w:iCs w:val="false"/>
          <w:sz w:val="21"/>
          <w:szCs w:val="21"/>
        </w:rPr>
        <w:t xml:space="preserve">Cet onglet donne accès à la base sans passer par un graphique. Les filtres portent sur la catégorie, les indicateurs, les pays, la fréquence et les années.</w:t>
      </w:r>
    </w:p>
    <w:p>
      <w:pPr>
        <w:spacing w:after="140" w:line="288"/>
        <w:jc w:val="both"/>
      </w:pPr>
      <w:r>
        <w:rPr>
          <w:b w:val="false"/>
          <w:bCs w:val="false"/>
          <w:i w:val="false"/>
          <w:iCs w:val="false"/>
          <w:sz w:val="21"/>
          <w:szCs w:val="21"/>
        </w:rPr>
        <w:t xml:space="preserve">Le tableau affiche les mille premières lignes, le téléchargement porte sur la sélection complète. Le format tableur est le seul format de téléchargement proposé, en deux présentations.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Format</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Structure</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Usage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Format long</w:t>
            </w:r>
          </w:p>
        </w:tc>
        <w:tc>
          <w:tcPr>
            <w:tcW w:type="dxa" w:w="3500"/>
            <w:tcMar>
              <w:top w:type="dxa" w:w="60"/>
              <w:left w:type="dxa" w:w="90"/>
              <w:bottom w:type="dxa" w:w="60"/>
              <w:right w:type="dxa" w:w="90"/>
            </w:tcMar>
          </w:tcPr>
          <w:p>
            <w:pPr>
              <w:spacing w:after="0" w:line="240"/>
              <w:jc w:val="left"/>
            </w:pPr>
            <w:r>
              <w:rPr>
                <w:color w:val="000000"/>
                <w:sz w:val="18"/>
                <w:szCs w:val="18"/>
              </w:rPr>
              <w:t xml:space="preserve">Une ligne par observation</w:t>
            </w:r>
          </w:p>
        </w:tc>
        <w:tc>
          <w:tcPr>
            <w:tcW w:type="dxa" w:w="3354"/>
            <w:tcMar>
              <w:top w:type="dxa" w:w="60"/>
              <w:left w:type="dxa" w:w="90"/>
              <w:bottom w:type="dxa" w:w="60"/>
              <w:right w:type="dxa" w:w="90"/>
            </w:tcMar>
          </w:tcPr>
          <w:p>
            <w:pPr>
              <w:spacing w:after="0" w:line="240"/>
              <w:jc w:val="left"/>
            </w:pPr>
            <w:r>
              <w:rPr>
                <w:color w:val="000000"/>
                <w:sz w:val="18"/>
                <w:szCs w:val="18"/>
              </w:rPr>
              <w:t xml:space="preserve">Traitement statistique, import dans un logiciel d'analyse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Tableau croisé</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Une ligne par pays et période, une colonne par indicateur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Régression, tableau de note</w:t>
            </w:r>
          </w:p>
        </w:tc>
      </w:tr>
    </w:tbl>
    <w:p>
      <w:pPr>
        <w:spacing w:after="220" w:before="90"/>
        <w:jc w:val="center"/>
      </w:pPr>
      <w:r>
        <w:rPr>
          <w:i/>
          <w:iCs/>
          <w:color w:val="5C6672"/>
          <w:sz w:val="17"/>
          <w:szCs w:val="17"/>
        </w:rPr>
        <w:t xml:space="preserve">Table 6.1. Les deux formats d'export</w:t>
      </w:r>
    </w:p>
    <w:p>
      <w:pPr>
        <w:spacing w:after="140" w:line="288"/>
        <w:jc w:val="both"/>
      </w:pPr>
      <w:r>
        <w:rPr>
          <w:b w:val="false"/>
          <w:bCs w:val="false"/>
          <w:i w:val="false"/>
          <w:iCs w:val="false"/>
          <w:sz w:val="21"/>
          <w:szCs w:val="21"/>
        </w:rPr>
        <w:t xml:space="preserve">Les deux classeurs comportent une feuille « Sources » listant chaque indicateur retenu, sa provenance, son unité et la date d'extraction.</w:t>
      </w:r>
    </w:p>
    <w:p>
      <w:r>
        <w:br w:type="page"/>
      </w:r>
    </w:p>
    <w:p>
      <w:pPr>
        <w:spacing w:after="120" w:before="0"/>
      </w:pPr>
      <w:r>
        <w:rPr>
          <w:color w:val="000000"/>
          <w:sz w:val="26"/>
          <w:szCs w:val="26"/>
        </w:rPr>
        <w:t xml:space="preserve">Chapitre 7</w:t>
      </w:r>
    </w:p>
    <w:p>
      <w:pPr>
        <w:pStyle w:val="Heading1"/>
        <w:spacing w:after="260" w:before="0"/>
      </w:pPr>
      <w:r>
        <w:t xml:space="preserve">GoogleOPESc+, la recherche orientée</w:t>
      </w:r>
    </w:p>
    <w:p>
      <w:pPr>
        <w:spacing w:after="140" w:line="288"/>
        <w:jc w:val="both"/>
      </w:pPr>
      <w:r>
        <w:rPr>
          <w:b w:val="false"/>
          <w:bCs w:val="false"/>
          <w:i w:val="false"/>
          <w:iCs w:val="false"/>
          <w:sz w:val="21"/>
          <w:szCs w:val="21"/>
        </w:rPr>
        <w:t xml:space="preserve">Cet onglet répond à une difficulté quotidienne : trouver une donnée ou une publication sans se perdre dans des résultats dont on ne sait ni d'où ils viennent ni ce qu'ils valent.</w:t>
      </w:r>
    </w:p>
    <w:p>
      <w:pPr>
        <w:spacing w:after="140" w:line="288"/>
        <w:jc w:val="both"/>
      </w:pPr>
      <w:r>
        <w:rPr>
          <w:b w:val="false"/>
          <w:bCs w:val="false"/>
          <w:i w:val="false"/>
          <w:iCs w:val="false"/>
          <w:sz w:val="21"/>
          <w:szCs w:val="21"/>
        </w:rPr>
        <w:t xml:space="preserve">Le principe est l'inverse d'un moteur généraliste. La liste des sources est fermée et choisie, et la recherche ne porte que sur elles. Trente-cinq sources, réparties en trois natures : dix-sept fournisseurs de données, neuf éditeurs de publications, neuf sources d'actualité. Quatre sont camerounaises : l'Institut national de la statistique, le MINEPAT, le ministère des Finances et la Caisse autonome d'amortissement.</w:t>
      </w:r>
    </w:p>
    <w:p>
      <w:pPr>
        <w:pStyle w:val="Heading2"/>
      </w:pPr>
      <w:r>
        <w:t xml:space="preserve">7.1 Ce qui s'affiche</w:t>
      </w:r>
    </w:p>
    <w:p>
      <w:pPr>
        <w:pStyle w:val="ListParagraph"/>
        <w:numPr>
          <w:ilvl w:val="0"/>
          <w:numId w:val="2"/>
        </w:numPr>
        <w:spacing w:after="90" w:line="288"/>
        <w:jc w:val="both"/>
      </w:pPr>
      <w:r>
        <w:rPr>
          <w:sz w:val="21"/>
          <w:szCs w:val="21"/>
        </w:rPr>
        <w:t xml:space="preserve">La définition de la notion, quand elle figure au glossaire de la plateforme. Quarante-quatre notions économiques y sont définies, du produit intérieur brut au solde structurel.</w:t>
      </w:r>
    </w:p>
    <w:p>
      <w:pPr>
        <w:pStyle w:val="ListParagraph"/>
        <w:numPr>
          <w:ilvl w:val="0"/>
          <w:numId w:val="2"/>
        </w:numPr>
        <w:spacing w:after="90" w:line="288"/>
        <w:jc w:val="both"/>
      </w:pPr>
      <w:r>
        <w:rPr>
          <w:sz w:val="21"/>
          <w:szCs w:val="21"/>
        </w:rPr>
        <w:t xml:space="preserve">Les indicateurs de la plateforme qui correspondent à la recherche. Si la donnée est déjà en base, c'est la meilleure réponse possible.</w:t>
      </w:r>
    </w:p>
    <w:p>
      <w:pPr>
        <w:pStyle w:val="ListParagraph"/>
        <w:numPr>
          <w:ilvl w:val="0"/>
          <w:numId w:val="2"/>
        </w:numPr>
        <w:spacing w:after="90" w:line="288"/>
        <w:jc w:val="both"/>
      </w:pPr>
      <w:r>
        <w:rPr>
          <w:sz w:val="21"/>
          <w:szCs w:val="21"/>
        </w:rPr>
        <w:t xml:space="preserve">Les résultats du web, lorsque la recherche est configurée.</w:t>
      </w:r>
    </w:p>
    <w:p>
      <w:pPr>
        <w:pStyle w:val="ListParagraph"/>
        <w:numPr>
          <w:ilvl w:val="0"/>
          <w:numId w:val="2"/>
        </w:numPr>
        <w:spacing w:after="90" w:line="288"/>
        <w:jc w:val="both"/>
      </w:pPr>
      <w:r>
        <w:rPr>
          <w:sz w:val="21"/>
          <w:szCs w:val="21"/>
        </w:rPr>
        <w:t xml:space="preserve">Les sources à interroger directement, au plus six, choisies pour leur pertinence sur le sujet.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six sources et non trente-cinq</w:t>
            </w:r>
          </w:p>
          <w:p>
            <w:pPr>
              <w:spacing w:after="0" w:line="276"/>
              <w:jc w:val="both"/>
            </w:pPr>
            <w:r>
              <w:rPr>
                <w:b w:val="false"/>
                <w:bCs w:val="false"/>
                <w:color w:val="000000"/>
                <w:sz w:val="19"/>
                <w:szCs w:val="19"/>
              </w:rPr>
              <w:t xml:space="preserve">Afficher toutes les sources à chaque recherche reviendrait à ne pas filtrer. Seules celles qui traitent réellement du sujet sont retenues. Le classement croise trois critères : le rang de la catégorie dans la requête, le rang de cette catégorie chez le site, et sa spécialisation. À rang égal, un site qui traite trois domaines est plus pertinent qu'un portail qui en couvre huit.</w:t>
            </w:r>
          </w:p>
        </w:tc>
      </w:tr>
    </w:tbl>
    <w:p>
      <w:pPr>
        <w:spacing w:after="200" w:line="288"/>
        <w:jc w:val="both"/>
      </w:pPr>
      <w:r>
        <w:rPr>
          <w:b w:val="false"/>
          <w:bCs w:val="false"/>
          <w:i w:val="false"/>
          <w:iCs w:val="false"/>
          <w:sz w:val="21"/>
          <w:szCs w:val="21"/>
        </w:rPr>
        <w:t xml:space="preserve"/>
      </w:r>
    </w:p>
    <w:p>
      <w:pPr>
        <w:pStyle w:val="Heading2"/>
      </w:pPr>
      <w:r>
        <w:t xml:space="preserve">7.2 Les propositions de saisie</w:t>
      </w:r>
    </w:p>
    <w:p>
      <w:pPr>
        <w:spacing w:after="140" w:line="288"/>
        <w:jc w:val="both"/>
      </w:pPr>
      <w:r>
        <w:rPr>
          <w:b w:val="false"/>
          <w:bCs w:val="false"/>
          <w:i w:val="false"/>
          <w:iCs w:val="false"/>
          <w:sz w:val="21"/>
          <w:szCs w:val="21"/>
        </w:rPr>
        <w:t xml:space="preserve">Dès deux caractères saisis, une liste de complétion apparaît sous le champ. Elle puise dans le glossaire, les quatorze catégories et les libellés des indicateurs : les propositions portent donc sur ce que la plateforme sait effectivement traiter, et non sur un dictionnaire général.</w:t>
      </w:r>
    </w:p>
    <w:p>
      <w:pPr>
        <w:pStyle w:val="Heading2"/>
      </w:pPr>
      <w:r>
        <w:t xml:space="preserve">7.3 La définition et sa source</w:t>
      </w:r>
    </w:p>
    <w:p>
      <w:pPr>
        <w:spacing w:after="140" w:line="288"/>
        <w:jc w:val="both"/>
      </w:pPr>
      <w:r>
        <w:rPr>
          <w:b w:val="false"/>
          <w:bCs w:val="false"/>
          <w:i w:val="false"/>
          <w:iCs w:val="false"/>
          <w:sz w:val="21"/>
          <w:szCs w:val="21"/>
        </w:rPr>
        <w:t xml:space="preserve">Chaque indicateur affiché porte sa définition, et sous elle le nom de l'institution qui en répond. La Banque mondiale publie, pour chacune de ses séries, un texte de définition et l'organisme qui l'établit : les deux sont repris tels quels.</w:t>
      </w:r>
    </w:p>
    <w:p>
      <w:pPr>
        <w:spacing w:after="140" w:line="288"/>
        <w:jc w:val="both"/>
      </w:pPr>
      <w:r>
        <w:rPr>
          <w:b w:val="false"/>
          <w:bCs w:val="false"/>
          <w:i w:val="false"/>
          <w:iCs w:val="false"/>
          <w:sz w:val="21"/>
          <w:szCs w:val="21"/>
        </w:rPr>
        <w:t xml:space="preserve">Pour les notions générales, les définitions du glossaire renvoient au manuel dont elles sont tirées : le Système de comptabilité nationale pour le produit intérieur brut, le Manuel de la balance des paiements pour le compte courant, les résolutions de la Conférence internationale des statisticiens du travail pour le chômage.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la source est toujours nommée</w:t>
            </w:r>
          </w:p>
          <w:p>
            <w:pPr>
              <w:spacing w:after="0" w:line="276"/>
              <w:jc w:val="both"/>
            </w:pPr>
            <w:r>
              <w:rPr>
                <w:b w:val="false"/>
                <w:bCs w:val="false"/>
                <w:color w:val="000000"/>
                <w:sz w:val="19"/>
                <w:szCs w:val="19"/>
              </w:rPr>
              <w:t xml:space="preserve">Une définition sans source ne vaut rien dans un document administratif : celle de la Banque mondiale engage la Banque mondiale, une définition anonyme n'engage personne. C'est aussi ce qui permet de citer la référence dans une note sans avoir à la rechercher.</w:t>
            </w:r>
          </w:p>
        </w:tc>
      </w:tr>
    </w:tbl>
    <w:p>
      <w:pPr>
        <w:spacing w:after="200" w:line="288"/>
        <w:jc w:val="both"/>
      </w:pPr>
      <w:r>
        <w:rPr>
          <w:b w:val="false"/>
          <w:bCs w:val="false"/>
          <w:i w:val="false"/>
          <w:iCs w:val="false"/>
          <w:sz w:val="21"/>
          <w:szCs w:val="21"/>
        </w:rPr>
        <w:t xml:space="preserve"/>
      </w:r>
    </w:p>
    <w:p>
      <w:pPr>
        <w:pStyle w:val="Heading2"/>
      </w:pPr>
      <w:r>
        <w:t xml:space="preserve">7.4 Configurer la recherche sur le web</w:t>
      </w:r>
    </w:p>
    <w:p>
      <w:pPr>
        <w:spacing w:after="140" w:line="288"/>
        <w:jc w:val="both"/>
      </w:pPr>
      <w:r>
        <w:rPr>
          <w:b w:val="false"/>
          <w:bCs w:val="false"/>
          <w:i w:val="false"/>
          <w:iCs w:val="false"/>
          <w:sz w:val="21"/>
          <w:szCs w:val="21"/>
        </w:rPr>
        <w:t xml:space="preserve">Sans configuration, l'onglet propose les sources à interroger, chaque lien lançant la recherche du terme sur le site visé. Pour obtenir directement des résultats, il faut un moteur de recherche programmable, gratuit, restreint aux domaines de la plateforme.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État</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Ce qui est configuré</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Ce que l'on obtient</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Aucun</w:t>
            </w:r>
          </w:p>
        </w:tc>
        <w:tc>
          <w:tcPr>
            <w:tcW w:type="dxa" w:w="3500"/>
            <w:tcMar>
              <w:top w:type="dxa" w:w="60"/>
              <w:left w:type="dxa" w:w="90"/>
              <w:bottom w:type="dxa" w:w="60"/>
              <w:right w:type="dxa" w:w="90"/>
            </w:tcMar>
          </w:tcPr>
          <w:p>
            <w:pPr>
              <w:spacing w:after="0" w:line="240"/>
              <w:jc w:val="left"/>
            </w:pPr>
            <w:r>
              <w:rPr>
                <w:color w:val="000000"/>
                <w:sz w:val="18"/>
                <w:szCs w:val="18"/>
              </w:rPr>
              <w:t xml:space="preserve">rien</w:t>
            </w:r>
          </w:p>
        </w:tc>
        <w:tc>
          <w:tcPr>
            <w:tcW w:type="dxa" w:w="3354"/>
            <w:tcMar>
              <w:top w:type="dxa" w:w="60"/>
              <w:left w:type="dxa" w:w="90"/>
              <w:bottom w:type="dxa" w:w="60"/>
              <w:right w:type="dxa" w:w="90"/>
            </w:tcMar>
          </w:tcPr>
          <w:p>
            <w:pPr>
              <w:spacing w:after="0" w:line="240"/>
              <w:jc w:val="left"/>
            </w:pPr>
            <w:r>
              <w:rPr>
                <w:color w:val="000000"/>
                <w:sz w:val="18"/>
                <w:szCs w:val="18"/>
              </w:rPr>
              <w:t xml:space="preserve">les accès aux sources, chaque lien lançant la recherche sur le site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Moteur intégré</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l'identifiant du moteur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le moteur de Google dans la page, avec ses onglets, sans clé ni quota</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Affichage intégré</w:t>
            </w:r>
          </w:p>
        </w:tc>
        <w:tc>
          <w:tcPr>
            <w:tcW w:type="dxa" w:w="3500"/>
            <w:tcMar>
              <w:top w:type="dxa" w:w="60"/>
              <w:left w:type="dxa" w:w="90"/>
              <w:bottom w:type="dxa" w:w="60"/>
              <w:right w:type="dxa" w:w="90"/>
            </w:tcMar>
          </w:tcPr>
          <w:p>
            <w:pPr>
              <w:spacing w:after="0" w:line="240"/>
              <w:jc w:val="left"/>
            </w:pPr>
            <w:r>
              <w:rPr>
                <w:color w:val="000000"/>
                <w:sz w:val="18"/>
                <w:szCs w:val="18"/>
              </w:rPr>
              <w:t xml:space="preserve">l'identifiant et une clé d'API</w:t>
            </w:r>
          </w:p>
        </w:tc>
        <w:tc>
          <w:tcPr>
            <w:tcW w:type="dxa" w:w="3354"/>
            <w:tcMar>
              <w:top w:type="dxa" w:w="60"/>
              <w:left w:type="dxa" w:w="90"/>
              <w:bottom w:type="dxa" w:w="60"/>
              <w:right w:type="dxa" w:w="90"/>
            </w:tcMar>
          </w:tcPr>
          <w:p>
            <w:pPr>
              <w:spacing w:after="0" w:line="240"/>
              <w:jc w:val="left"/>
            </w:pPr>
            <w:r>
              <w:rPr>
                <w:color w:val="000000"/>
                <w:sz w:val="18"/>
                <w:szCs w:val="18"/>
              </w:rPr>
              <w:t xml:space="preserve">les résultats mis en forme par la plateforme, avec ses onglets, sa définition et ses indicateurs</w:t>
            </w:r>
          </w:p>
        </w:tc>
      </w:tr>
    </w:tbl>
    <w:p>
      <w:pPr>
        <w:spacing w:after="220" w:before="90"/>
        <w:jc w:val="center"/>
      </w:pPr>
      <w:r>
        <w:rPr>
          <w:i/>
          <w:iCs/>
          <w:color w:val="5C6672"/>
          <w:sz w:val="17"/>
          <w:szCs w:val="17"/>
        </w:rPr>
        <w:t xml:space="preserve">Table 7.1. Les trois états de la recherche</w:t>
      </w:r>
    </w:p>
    <w:p>
      <w:pPr>
        <w:spacing w:after="140" w:line="288"/>
        <w:jc w:val="both"/>
      </w:pPr>
      <w:r>
        <w:rPr>
          <w:b w:val="false"/>
          <w:bCs w:val="false"/>
          <w:i w:val="false"/>
          <w:iCs w:val="false"/>
          <w:sz w:val="21"/>
          <w:szCs w:val="21"/>
        </w:rPr>
        <w:t xml:space="preserve">La commande `domaines_pour_moteur()` imprime les trente domaines à déclarer, et `configurer_recherche()` enregistre les identifiants. La marche à suivre complète figure au chapitre 9 du fichier README du projet.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Une précaution conservée</w:t>
            </w:r>
          </w:p>
          <w:p>
            <w:pPr>
              <w:spacing w:after="0" w:line="276"/>
              <w:jc w:val="both"/>
            </w:pPr>
            <w:r>
              <w:rPr>
                <w:b w:val="false"/>
                <w:bCs w:val="false"/>
                <w:color w:val="000000"/>
                <w:sz w:val="19"/>
                <w:szCs w:val="19"/>
              </w:rPr>
              <w:t xml:space="preserve">Même lorsque le moteur est restreint aux sites inclus, la plateforme filtre les résultats sur la liste des domaines avant de les afficher. Une erreur de configuration ne doit pas suffire à faire entrer une source quelconque. Les sous-domaines sont acceptés, les imitations rejetées.</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8</w:t>
      </w:r>
    </w:p>
    <w:p>
      <w:pPr>
        <w:pStyle w:val="Heading1"/>
        <w:spacing w:after="260" w:before="0"/>
      </w:pPr>
      <w:r>
        <w:t xml:space="preserve">Les collectes</w:t>
      </w:r>
    </w:p>
    <w:p>
      <w:pPr>
        <w:spacing w:after="140" w:line="288"/>
        <w:jc w:val="both"/>
      </w:pPr>
      <w:r>
        <w:rPr>
          <w:b w:val="false"/>
          <w:bCs w:val="false"/>
          <w:i w:val="false"/>
          <w:iCs w:val="false"/>
          <w:sz w:val="21"/>
          <w:szCs w:val="21"/>
        </w:rPr>
        <w:t xml:space="preserve">La plateforme se met à jour en interrogeant les interfaces publiques de ses fournisseurs. Chaque exécution est tracée dans un journal indiquant la portée, le déclenchement, le statut, le nombre de valeurs ajoutées et révisées, et le détail des erreurs.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un journal</w:t>
            </w:r>
          </w:p>
          <w:p>
            <w:pPr>
              <w:spacing w:after="0" w:line="276"/>
              <w:jc w:val="both"/>
            </w:pPr>
            <w:r>
              <w:rPr>
                <w:b w:val="false"/>
                <w:bCs w:val="false"/>
                <w:color w:val="000000"/>
                <w:sz w:val="19"/>
                <w:szCs w:val="19"/>
              </w:rPr>
              <w:t xml:space="preserve">Une collecte peut se terminer sans erreur et sans rien ramener, par exemple si un fournisseur a renommé un code. Sans journal, cette panne silencieuse passerait inaperçue pendant des mois et les analyses reposeraient sur des séries figées. Consultez le journal après chaque actualisation.</w:t>
            </w:r>
          </w:p>
        </w:tc>
      </w:tr>
    </w:tbl>
    <w:p>
      <w:pPr>
        <w:spacing w:after="200" w:line="288"/>
        <w:jc w:val="both"/>
      </w:pPr>
      <w:r>
        <w:rPr>
          <w:b w:val="false"/>
          <w:bCs w:val="false"/>
          <w:i w:val="false"/>
          <w:iCs w:val="false"/>
          <w:sz w:val="21"/>
          <w:szCs w:val="21"/>
        </w:rPr>
        <w:t xml:space="preserve"/>
      </w:r>
    </w:p>
    <w:p>
      <w:pPr>
        <w:pStyle w:val="Heading2"/>
      </w:pPr>
      <w:r>
        <w:t xml:space="preserve">8.1 Déclencher une actualisation</w:t>
      </w:r>
    </w:p>
    <w:p>
      <w:pPr>
        <w:spacing w:after="140" w:line="288"/>
        <w:jc w:val="both"/>
      </w:pPr>
      <w:r>
        <w:rPr>
          <w:b w:val="false"/>
          <w:bCs w:val="false"/>
          <w:i w:val="false"/>
          <w:iCs w:val="false"/>
          <w:sz w:val="21"/>
          <w:szCs w:val="21"/>
        </w:rPr>
        <w:t xml:space="preserve">Depuis l'onglet Collectes, pour une catégorie ou pour la totalité du catalogue. Une collecte complète représente plusieurs centaines d'appels et dure entre trente et quarante-cinq minutes : procédez par catégorie.</w:t>
      </w:r>
    </w:p>
    <w:p>
      <w:pPr>
        <w:spacing w:after="140" w:line="288"/>
        <w:jc w:val="both"/>
      </w:pPr>
      <w:r>
        <w:rPr>
          <w:b w:val="false"/>
          <w:bCs w:val="false"/>
          <w:i w:val="false"/>
          <w:iCs w:val="false"/>
          <w:sz w:val="21"/>
          <w:szCs w:val="21"/>
        </w:rPr>
        <w:t xml:space="preserve">Le bouton « Actualiser les données » du tableau de bord ne rafraîchit que les indicateurs affichés, ce qui prend quelques secondes.</w:t>
      </w:r>
    </w:p>
    <w:p>
      <w:pPr>
        <w:pStyle w:val="Heading2"/>
      </w:pPr>
      <w:r>
        <w:t xml:space="preserve">8.2 Rythme conseillé</w:t>
      </w:r>
    </w:p>
    <w:p>
      <w:pPr>
        <w:spacing w:after="140" w:line="288"/>
        <w:jc w:val="both"/>
      </w:pPr>
      <w:r>
        <w:rPr>
          <w:b w:val="false"/>
          <w:bCs w:val="false"/>
          <w:i w:val="false"/>
          <w:iCs w:val="false"/>
          <w:sz w:val="21"/>
          <w:szCs w:val="21"/>
        </w:rPr>
        <w:t xml:space="preserve">Les données macroéconomiques ne changent pas d'une heure à l'autre.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Source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Rythme de publication</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Actualisation conseillée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Pink Sheet, produits de base</w:t>
            </w:r>
          </w:p>
        </w:tc>
        <w:tc>
          <w:tcPr>
            <w:tcW w:type="dxa" w:w="3500"/>
            <w:tcMar>
              <w:top w:type="dxa" w:w="60"/>
              <w:left w:type="dxa" w:w="90"/>
              <w:bottom w:type="dxa" w:w="60"/>
              <w:right w:type="dxa" w:w="90"/>
            </w:tcMar>
          </w:tcPr>
          <w:p>
            <w:pPr>
              <w:spacing w:after="0" w:line="240"/>
              <w:jc w:val="left"/>
            </w:pPr>
            <w:r>
              <w:rPr>
                <w:color w:val="000000"/>
                <w:sz w:val="18"/>
                <w:szCs w:val="18"/>
              </w:rPr>
              <w:t xml:space="preserve">Mensuelle, début de mois</w:t>
            </w:r>
          </w:p>
        </w:tc>
        <w:tc>
          <w:tcPr>
            <w:tcW w:type="dxa" w:w="3354"/>
            <w:tcMar>
              <w:top w:type="dxa" w:w="60"/>
              <w:left w:type="dxa" w:w="90"/>
              <w:bottom w:type="dxa" w:w="60"/>
              <w:right w:type="dxa" w:w="90"/>
            </w:tcMar>
          </w:tcPr>
          <w:p>
            <w:pPr>
              <w:spacing w:after="0" w:line="240"/>
              <w:jc w:val="left"/>
            </w:pPr>
            <w:r>
              <w:rPr>
                <w:color w:val="000000"/>
                <w:sz w:val="18"/>
                <w:szCs w:val="18"/>
              </w:rPr>
              <w:t xml:space="preserve">Hebdomadaire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Indicateurs du développement dans le monde</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Deux à quatre révisions par an</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Mensuelle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Perspectives de l'économie mondiale</w:t>
            </w:r>
          </w:p>
        </w:tc>
        <w:tc>
          <w:tcPr>
            <w:tcW w:type="dxa" w:w="3500"/>
            <w:tcMar>
              <w:top w:type="dxa" w:w="60"/>
              <w:left w:type="dxa" w:w="90"/>
              <w:bottom w:type="dxa" w:w="60"/>
              <w:right w:type="dxa" w:w="90"/>
            </w:tcMar>
          </w:tcPr>
          <w:p>
            <w:pPr>
              <w:spacing w:after="0" w:line="240"/>
              <w:jc w:val="left"/>
            </w:pPr>
            <w:r>
              <w:rPr>
                <w:color w:val="000000"/>
                <w:sz w:val="18"/>
                <w:szCs w:val="18"/>
              </w:rPr>
              <w:t xml:space="preserve">Avril et octobre</w:t>
            </w:r>
          </w:p>
        </w:tc>
        <w:tc>
          <w:tcPr>
            <w:tcW w:type="dxa" w:w="3354"/>
            <w:tcMar>
              <w:top w:type="dxa" w:w="60"/>
              <w:left w:type="dxa" w:w="90"/>
              <w:bottom w:type="dxa" w:w="60"/>
              <w:right w:type="dxa" w:w="90"/>
            </w:tcMar>
          </w:tcPr>
          <w:p>
            <w:pPr>
              <w:spacing w:after="0" w:line="240"/>
              <w:jc w:val="left"/>
            </w:pPr>
            <w:r>
              <w:rPr>
                <w:color w:val="000000"/>
                <w:sz w:val="18"/>
                <w:szCs w:val="18"/>
              </w:rPr>
              <w:t xml:space="preserve">Mensuelle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Atlas de la complexité économique</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Annuelle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Trimestrielle</w:t>
            </w:r>
          </w:p>
        </w:tc>
      </w:tr>
    </w:tbl>
    <w:p>
      <w:pPr>
        <w:spacing w:after="220" w:before="90"/>
        <w:jc w:val="center"/>
      </w:pPr>
      <w:r>
        <w:rPr>
          <w:i/>
          <w:iCs/>
          <w:color w:val="5C6672"/>
          <w:sz w:val="17"/>
          <w:szCs w:val="17"/>
        </w:rPr>
        <w:t xml:space="preserve">Table 8.1. Rythme de publication des sources</w:t>
      </w:r>
    </w:p>
    <w:p>
      <w:r>
        <w:br w:type="page"/>
      </w:r>
    </w:p>
    <w:p>
      <w:pPr>
        <w:spacing w:after="120" w:before="0"/>
      </w:pPr>
      <w:r>
        <w:rPr>
          <w:color w:val="000000"/>
          <w:sz w:val="26"/>
          <w:szCs w:val="26"/>
        </w:rPr>
        <w:t xml:space="preserve">Chapitre 9</w:t>
      </w:r>
    </w:p>
    <w:p>
      <w:pPr>
        <w:pStyle w:val="Heading1"/>
        <w:spacing w:after="260" w:before="0"/>
      </w:pPr>
      <w:r>
        <w:t xml:space="preserve">Importer une base externe</w:t>
      </w:r>
    </w:p>
    <w:p>
      <w:pPr>
        <w:spacing w:after="140" w:line="288"/>
        <w:jc w:val="both"/>
      </w:pPr>
      <w:r>
        <w:rPr>
          <w:b w:val="false"/>
          <w:bCs w:val="false"/>
          <w:i w:val="false"/>
          <w:iCs w:val="false"/>
          <w:sz w:val="21"/>
          <w:szCs w:val="21"/>
        </w:rPr>
        <w:t xml:space="preserve">Toutes les sources ne se laissent pas interroger par programme. La page du système des prix des produits de base du Fonds monétaire international construit son lien de téléchargement en JavaScript : aucune adresse ne figure dans le code de la page, et elle ne peut donc pas être trouvée automatiquement.</w:t>
      </w:r>
    </w:p>
    <w:p>
      <w:pPr>
        <w:spacing w:after="140" w:line="288"/>
        <w:jc w:val="both"/>
      </w:pPr>
      <w:r>
        <w:rPr>
          <w:b w:val="false"/>
          <w:bCs w:val="false"/>
          <w:i w:val="false"/>
          <w:iCs w:val="false"/>
          <w:sz w:val="21"/>
          <w:szCs w:val="21"/>
        </w:rPr>
        <w:t xml:space="preserve">La plateforme prend deux dispositions pour ce cas, qui n'est pas rare.</w:t>
      </w:r>
    </w:p>
    <w:p>
      <w:pPr>
        <w:pStyle w:val="Heading2"/>
      </w:pPr>
      <w:r>
        <w:t xml:space="preserve">9.1 Le fichier livré avec la plateforme</w:t>
      </w:r>
    </w:p>
    <w:p>
      <w:pPr>
        <w:spacing w:after="140" w:line="288"/>
        <w:jc w:val="both"/>
      </w:pPr>
      <w:r>
        <w:rPr>
          <w:b w:val="false"/>
          <w:bCs w:val="false"/>
          <w:i w:val="false"/>
          <w:iCs w:val="false"/>
          <w:sz w:val="21"/>
          <w:szCs w:val="21"/>
        </w:rPr>
        <w:t xml:space="preserve">Les cours de produits de base sont distribués dans le paquet et chargés à l'initialisation, au même titre que le catalogue. Aucune commande à lancer : après `preparer_base()`, les 108 produits de la catégorie C15 sont en place, en fréquences mensuelle, trimestrielle et annuelle.</w:t>
      </w:r>
    </w:p>
    <w:p>
      <w:pPr>
        <w:spacing w:after="140" w:line="288"/>
        <w:jc w:val="both"/>
      </w:pPr>
      <w:r>
        <w:rPr>
          <w:b w:val="false"/>
          <w:bCs w:val="false"/>
          <w:i w:val="false"/>
          <w:iCs w:val="false"/>
          <w:sz w:val="21"/>
          <w:szCs w:val="21"/>
        </w:rPr>
        <w:t xml:space="preserve">Le chargement n'écrase rien s'il trouve déjà des données : un fichier plus récent que vous auriez importé reste en place.</w:t>
      </w:r>
    </w:p>
    <w:p>
      <w:pPr>
        <w:pStyle w:val="Heading2"/>
      </w:pPr>
      <w:r>
        <w:t xml:space="preserve">9.2 Importer votre propre fichier</w:t>
      </w:r>
    </w:p>
    <w:p>
      <w:pPr>
        <w:spacing w:after="140" w:line="288"/>
        <w:jc w:val="both"/>
      </w:pPr>
      <w:r>
        <w:rPr>
          <w:b w:val="false"/>
          <w:bCs w:val="false"/>
          <w:i w:val="false"/>
          <w:iCs w:val="false"/>
          <w:sz w:val="21"/>
          <w:szCs w:val="21"/>
        </w:rPr>
        <w:t xml:space="preserve">L'onglet Collectes comporte un cadre de dépôt. Choisissez un fichier, une catégorie, et les séries qu'il contient rejoignent cette catégorie. Celles que le catalogue ne connaît pas y sont créées automatiquement, avec le libellé de la source.</w:t>
      </w:r>
    </w:p>
    <w:p>
      <w:pPr>
        <w:spacing w:after="140" w:line="288"/>
        <w:jc w:val="both"/>
      </w:pPr>
      <w:r>
        <w:rPr>
          <w:b w:val="false"/>
          <w:bCs w:val="false"/>
          <w:i w:val="false"/>
          <w:iCs w:val="false"/>
          <w:sz w:val="21"/>
          <w:szCs w:val="21"/>
        </w:rPr>
        <w:t xml:space="preserve">La lecture est tolérante : les colonnes sont repérées par leur contenu autant que par leur intitulé. Le format large, une ligne par série et une colonne par période, est reconnu, la fréquence étant lue dans le nom de la colonne.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Une donnée importée vaut une donnée collectée</w:t>
            </w:r>
          </w:p>
          <w:p>
            <w:pPr>
              <w:spacing w:after="0" w:line="276"/>
              <w:jc w:val="both"/>
            </w:pPr>
            <w:r>
              <w:rPr>
                <w:b w:val="false"/>
                <w:bCs w:val="false"/>
                <w:color w:val="000000"/>
                <w:sz w:val="19"/>
                <w:szCs w:val="19"/>
              </w:rPr>
              <w:t xml:space="preserve">Elle emprunte la même fonction d'écriture, porte les mêmes fréquences et alimente les mêmes compteurs. Un indicateur est actif s'il peut être alimenté ou s'il l'est déjà : une série importée reste donc visible et exploitable, bien qu'elle n'ait aucun connecteur. Une donnée présente est utilisable, quelle que soit la façon dont elle est arrivée.</w:t>
            </w:r>
          </w:p>
        </w:tc>
      </w:tr>
    </w:tbl>
    <w:p>
      <w:pPr>
        <w:spacing w:after="200" w:line="288"/>
        <w:jc w:val="both"/>
      </w:pPr>
      <w:r>
        <w:rPr>
          <w:b w:val="false"/>
          <w:bCs w:val="false"/>
          <w:i w:val="false"/>
          <w:iCs w:val="false"/>
          <w:sz w:val="21"/>
          <w:szCs w:val="21"/>
        </w:rPr>
        <w:t xml:space="preserve"/>
      </w:r>
    </w:p>
    <w:p>
      <w:pPr>
        <w:pStyle w:val="Heading2"/>
      </w:pPr>
      <w:r>
        <w:t xml:space="preserve">9.3 La catégorie des matières premières</w:t>
      </w:r>
    </w:p>
    <w:p>
      <w:pPr>
        <w:spacing w:after="140" w:line="288"/>
        <w:jc w:val="both"/>
      </w:pPr>
      <w:r>
        <w:rPr>
          <w:b w:val="false"/>
          <w:bCs w:val="false"/>
          <w:i w:val="false"/>
          <w:iCs w:val="false"/>
          <w:sz w:val="21"/>
          <w:szCs w:val="21"/>
        </w:rPr>
        <w:t xml:space="preserve">La catégorie C15 rassemble les 108 produits du fichier téléchargé : indices agrégés, métaux précieux et métaux de la transition énergétique, terres rares, céréales, oléagineux, viandes, produits de la mer, bois, engrais, thés par origine.</w:t>
      </w:r>
    </w:p>
    <w:p>
      <w:pPr>
        <w:spacing w:after="140" w:line="288"/>
        <w:jc w:val="both"/>
      </w:pPr>
      <w:r>
        <w:rPr>
          <w:b w:val="false"/>
          <w:bCs w:val="false"/>
          <w:i w:val="false"/>
          <w:iCs w:val="false"/>
          <w:sz w:val="21"/>
          <w:szCs w:val="21"/>
        </w:rPr>
        <w:t xml:space="preserve">Une catégorie plus restreinte, limitée à vingt-huit cours principaux, avait d'abord existé. Elle a été supprimée : elle faisait double emploi, et sa voie d'alimentation automatique n'a jamais abouti. Mieux vaut une catégorie complète qu'un doublon partiel.</w:t>
      </w:r>
    </w:p>
    <w:p>
      <w:pPr>
        <w:spacing w:after="140" w:line="288"/>
        <w:jc w:val="both"/>
      </w:pPr>
      <w:r>
        <w:rPr>
          <w:b w:val="false"/>
          <w:bCs w:val="false"/>
          <w:i w:val="false"/>
          <w:iCs w:val="false"/>
          <w:sz w:val="21"/>
          <w:szCs w:val="21"/>
        </w:rPr>
        <w:t xml:space="preserve">Quatorze séries du fichier sont écartées à l'import. Ce sont des taux de change, que leur code fait reconnaître, et qui n'ont pas leur place dans une catégorie de produits. Elles restent disponibles dans la catégorie des taux de change.</w:t>
      </w:r>
    </w:p>
    <w:p>
      <w:r>
        <w:br w:type="page"/>
      </w:r>
    </w:p>
    <w:p>
      <w:pPr>
        <w:spacing w:after="120" w:before="0"/>
      </w:pPr>
      <w:r>
        <w:rPr>
          <w:color w:val="000000"/>
          <w:sz w:val="26"/>
          <w:szCs w:val="26"/>
        </w:rPr>
        <w:t xml:space="preserve">Chapitre 10</w:t>
      </w:r>
    </w:p>
    <w:p>
      <w:pPr>
        <w:pStyle w:val="Heading1"/>
        <w:spacing w:after="260" w:before="0"/>
      </w:pPr>
      <w:r>
        <w:t xml:space="preserve">Méthodologie</w:t>
      </w:r>
    </w:p>
    <w:p>
      <w:pPr>
        <w:pStyle w:val="Heading2"/>
      </w:pPr>
      <w:r>
        <w:t xml:space="preserve">10.1 Normalisation des périodes</w:t>
      </w:r>
    </w:p>
    <w:p>
      <w:pPr>
        <w:spacing w:after="140" w:line="288"/>
        <w:jc w:val="both"/>
      </w:pPr>
      <w:r>
        <w:rPr>
          <w:b w:val="false"/>
          <w:bCs w:val="false"/>
          <w:i w:val="false"/>
          <w:iCs w:val="false"/>
          <w:sz w:val="21"/>
          <w:szCs w:val="21"/>
        </w:rPr>
        <w:t xml:space="preserve">Toute observation est ramenée au premier jour de la période qu'elle couvre : le 1er janvier pour une année, le premier jour du trimestre, le premier jour du mois. Cette convention est ce qui permet de superposer sur un même graphique des séries de pas différents.</w:t>
      </w:r>
    </w:p>
    <w:p>
      <w:pPr>
        <w:pStyle w:val="Heading2"/>
      </w:pPr>
      <w:r>
        <w:t xml:space="preserve">10.2 Agrégation d'une série mensuelle</w:t>
      </w:r>
    </w:p>
    <w:p>
      <w:pPr>
        <w:spacing w:after="140" w:line="288"/>
        <w:jc w:val="both"/>
      </w:pPr>
      <w:r>
        <w:rPr>
          <w:b w:val="false"/>
          <w:bCs w:val="false"/>
          <w:i w:val="false"/>
          <w:iCs w:val="false"/>
          <w:sz w:val="21"/>
          <w:szCs w:val="21"/>
        </w:rPr>
        <w:t xml:space="preserve">Les cours de produits de base sont collectés en mensuel puis doublés d'une moyenne annuelle, faute de quoi ils n'auraient aucune fréquence commune avec les indicateurs annuels et ne pourraient pas être comparés.</w:t>
      </w:r>
    </w:p>
    <w:p>
      <w:pPr>
        <w:spacing w:after="140" w:line="288"/>
        <w:jc w:val="both"/>
      </w:pPr>
      <w:r>
        <w:rPr>
          <w:b w:val="false"/>
          <w:bCs w:val="false"/>
          <w:i w:val="false"/>
          <w:iCs w:val="false"/>
          <w:sz w:val="21"/>
          <w:szCs w:val="21"/>
        </w:rPr>
        <w:t xml:space="preserve">L'agrégation retenue est la moyenne arithmétique des mois de l'année. Un prix est une moyenne de période : additionner douze cours mensuels ne produirait aucune grandeur interprétable. Pour un flux, comme des exportations mensuelles, la somme serait la règle ; le catalogue actuel n'en comporte pas.</w:t>
      </w:r>
    </w:p>
    <w:p>
      <w:pPr>
        <w:pStyle w:val="Heading2"/>
      </w:pPr>
      <w:r>
        <w:t xml:space="preserve">10.3 Mise en base 100</w:t>
      </w:r>
    </w:p>
    <w:p>
      <w:pPr>
        <w:spacing w:after="140" w:line="288"/>
        <w:jc w:val="both"/>
      </w:pPr>
      <w:r>
        <w:rPr>
          <w:b w:val="false"/>
          <w:bCs w:val="false"/>
          <w:i w:val="false"/>
          <w:iCs w:val="false"/>
          <w:sz w:val="21"/>
          <w:szCs w:val="21"/>
        </w:rPr>
        <w:t xml:space="preserve">Chaque série est divisée par sa première observation non manquante de la période affichée, puis multipliée par cent. Une série dont la première valeur est nulle ou manquante est écartée du graphique plutôt que de produire des valeurs infinies qui écraseraient les autres courbes.</w:t>
      </w:r>
    </w:p>
    <w:p>
      <w:pPr>
        <w:pStyle w:val="Heading2"/>
      </w:pPr>
      <w:r>
        <w:t xml:space="preserve">10.4 Projections</w:t>
      </w:r>
    </w:p>
    <w:p>
      <w:pPr>
        <w:spacing w:after="140" w:line="288"/>
        <w:jc w:val="both"/>
      </w:pPr>
      <w:r>
        <w:rPr>
          <w:b w:val="false"/>
          <w:bCs w:val="false"/>
          <w:i w:val="false"/>
          <w:iCs w:val="false"/>
          <w:sz w:val="21"/>
          <w:szCs w:val="21"/>
        </w:rPr>
        <w:t xml:space="preserve">Les trois méthodes s'appuient sur les seules observations annuelles disponibles pour le pays retenu.</w:t>
      </w:r>
    </w:p>
    <w:p>
      <w:pPr>
        <w:spacing w:after="140" w:line="288"/>
        <w:jc w:val="both"/>
      </w:pPr>
      <w:r>
        <w:rPr>
          <w:b w:val="false"/>
          <w:bCs w:val="false"/>
          <w:i w:val="false"/>
          <w:iCs w:val="false"/>
          <w:sz w:val="21"/>
          <w:szCs w:val="21"/>
        </w:rPr>
        <w:t xml:space="preserve">La tendance linéaire ajuste une droite par moindres carrés ordinaires et prolonge cette droite. L'intervalle est construit à partir de l'écart type des résidus.</w:t>
      </w:r>
    </w:p>
    <w:p>
      <w:pPr>
        <w:spacing w:after="140" w:line="288"/>
        <w:jc w:val="both"/>
      </w:pPr>
      <w:r>
        <w:rPr>
          <w:b w:val="false"/>
          <w:bCs w:val="false"/>
          <w:i w:val="false"/>
          <w:iCs w:val="false"/>
          <w:sz w:val="21"/>
          <w:szCs w:val="21"/>
        </w:rPr>
        <w:t xml:space="preserve">La marche aléatoire avec dérive calcule la moyenne des variations des cinq dernières périodes et l'ajoute à la dernière valeur observée, autant de fois que l'horizon. L'incertitude croît avec la racine carrée de l'horizon, ce qui traduit l'accumulation des erreurs successives.</w:t>
      </w:r>
    </w:p>
    <w:p>
      <w:pPr>
        <w:spacing w:after="140" w:line="288"/>
        <w:jc w:val="both"/>
      </w:pPr>
      <w:r>
        <w:rPr>
          <w:b w:val="false"/>
          <w:bCs w:val="false"/>
          <w:i w:val="false"/>
          <w:iCs w:val="false"/>
          <w:sz w:val="21"/>
          <w:szCs w:val="21"/>
        </w:rPr>
        <w:t xml:space="preserve">Le lissage de Holt met à jour à chaque période un niveau et une tendance, chacun pondéré entre l'observation nouvelle et l'extrapolation précédente. Il réagit donc plus vite aux inflexions récentes que la tendance linéaire.</w:t>
      </w:r>
    </w:p>
    <w:p>
      <w:pPr>
        <w:pStyle w:val="Heading2"/>
      </w:pPr>
      <w:r>
        <w:t xml:space="preserve">10.5 Échelle de la carte</w:t>
      </w:r>
    </w:p>
    <w:p>
      <w:pPr>
        <w:spacing w:after="140" w:line="288"/>
        <w:jc w:val="both"/>
      </w:pPr>
      <w:r>
        <w:rPr>
          <w:b w:val="false"/>
          <w:bCs w:val="false"/>
          <w:i w:val="false"/>
          <w:iCs w:val="false"/>
          <w:sz w:val="21"/>
          <w:szCs w:val="21"/>
        </w:rPr>
        <w:t xml:space="preserve">Les bornes de couleur sont les centiles 2 et 98 de la distribution des valeurs de l'année affichée, agrégats exclus. Les valeurs situées au-delà prennent la teinte extrême sans que l'échelle ne s'étire.</w:t>
      </w:r>
    </w:p>
    <w:p>
      <w:pPr>
        <w:pStyle w:val="Heading2"/>
      </w:pPr>
      <w:r>
        <w:t xml:space="preserve">10.6 Valeurs manquantes</w:t>
      </w:r>
    </w:p>
    <w:p>
      <w:pPr>
        <w:spacing w:after="140" w:line="288"/>
        <w:jc w:val="both"/>
      </w:pPr>
      <w:r>
        <w:rPr>
          <w:b w:val="false"/>
          <w:bCs w:val="false"/>
          <w:i w:val="false"/>
          <w:iCs w:val="false"/>
          <w:sz w:val="21"/>
          <w:szCs w:val="21"/>
        </w:rPr>
        <w:t xml:space="preserve">Une valeur absente n'est jamais enregistrée. L'absence de ligne en base vaut absence de donnée, jamais zéro. Les fournisseurs renvoient pourtant une ligne pour chaque couple pays-période, y compris sans donnée : sur un indicateur à faible couverture, plus de neuf dixièmes du volume seraient des lignes vides.</w:t>
      </w:r>
    </w:p>
    <w:p>
      <w:pPr>
        <w:spacing w:after="140" w:line="288"/>
        <w:jc w:val="both"/>
      </w:pPr>
      <w:r>
        <w:rPr>
          <w:b w:val="false"/>
          <w:bCs w:val="false"/>
          <w:i w:val="false"/>
          <w:iCs w:val="false"/>
          <w:sz w:val="21"/>
          <w:szCs w:val="21"/>
        </w:rPr>
        <w:t xml:space="preserve">En conséquence, une série lacunaire est tracée en pointillés avec ses points visibles, et jamais interpolée.</w:t>
      </w:r>
    </w:p>
    <w:p>
      <w:r>
        <w:br w:type="page"/>
      </w:r>
    </w:p>
    <w:p>
      <w:pPr>
        <w:spacing w:after="120" w:before="0"/>
      </w:pPr>
      <w:r>
        <w:rPr>
          <w:color w:val="000000"/>
          <w:sz w:val="26"/>
          <w:szCs w:val="26"/>
        </w:rPr>
        <w:t xml:space="preserve">Chapitre 11</w:t>
      </w:r>
    </w:p>
    <w:p>
      <w:pPr>
        <w:pStyle w:val="Heading1"/>
        <w:spacing w:after="260" w:before="0"/>
      </w:pPr>
      <w:r>
        <w:t xml:space="preserve">Limites et points de vigilance</w:t>
      </w:r>
    </w:p>
    <w:p>
      <w:pPr>
        <w:pStyle w:val="Heading2"/>
      </w:pPr>
      <w:r>
        <w:t xml:space="preserve">11.1 Codification des pays</w:t>
      </w:r>
    </w:p>
    <w:p>
      <w:pPr>
        <w:spacing w:after="140" w:line="288"/>
        <w:jc w:val="both"/>
      </w:pPr>
      <w:r>
        <w:rPr>
          <w:b w:val="false"/>
          <w:bCs w:val="false"/>
          <w:i w:val="false"/>
          <w:iCs w:val="false"/>
          <w:sz w:val="21"/>
          <w:szCs w:val="21"/>
        </w:rPr>
        <w:t xml:space="preserve">Les fournisseurs n'utilisent pas la même codification. La table des pays conserve, pour chaque économie, l'identifiant de référence et ceux propres à chaque source. Sans cette correspondance, les jointures produiraient des séries incomplètes sans qu'aucune erreur ne soit signalée.</w:t>
      </w:r>
    </w:p>
    <w:p>
      <w:pPr>
        <w:pStyle w:val="Heading2"/>
      </w:pPr>
      <w:r>
        <w:t xml:space="preserve">11.2 Révisions</w:t>
      </w:r>
    </w:p>
    <w:p>
      <w:pPr>
        <w:spacing w:after="140" w:line="288"/>
        <w:jc w:val="both"/>
      </w:pPr>
      <w:r>
        <w:rPr>
          <w:b w:val="false"/>
          <w:bCs w:val="false"/>
          <w:i w:val="false"/>
          <w:iCs w:val="false"/>
          <w:sz w:val="21"/>
          <w:szCs w:val="21"/>
        </w:rPr>
        <w:t xml:space="preserve">Les données macroéconomiques sont révisées. Une valeur du produit intérieur brut de 2023 collectée en janvier peut différer de la même valeur collectée en juin. La plateforme conserve la dernière valeur connue et la date de collecte, sans historique des millésimes. Une note publiée doit donc porter sa date d'extraction.</w:t>
      </w:r>
    </w:p>
    <w:p>
      <w:pPr>
        <w:pStyle w:val="Heading2"/>
      </w:pPr>
      <w:r>
        <w:t xml:space="preserve">11.3 Complexité économique</w:t>
      </w:r>
    </w:p>
    <w:p>
      <w:pPr>
        <w:spacing w:after="140" w:line="288"/>
        <w:jc w:val="both"/>
      </w:pPr>
      <w:r>
        <w:rPr>
          <w:b w:val="false"/>
          <w:bCs w:val="false"/>
          <w:i w:val="false"/>
          <w:iCs w:val="false"/>
          <w:sz w:val="21"/>
          <w:szCs w:val="21"/>
        </w:rPr>
        <w:t xml:space="preserve">L'indice de complexité économique n'est pas mesuré mais calculé sur l'ensemble des pays et des produits simultanément. Une révision des données commerciales d'un grand exportateur décale mécaniquement l'indice de tous les autres. Les valeurs ne sont donc pas comparables d'un millésime de l'Atlas à l'autre.</w:t>
      </w:r>
    </w:p>
    <w:p>
      <w:pPr>
        <w:spacing w:after="140" w:line="288"/>
        <w:jc w:val="both"/>
      </w:pPr>
      <w:r>
        <w:rPr>
          <w:b w:val="false"/>
          <w:bCs w:val="false"/>
          <w:i w:val="false"/>
          <w:iCs w:val="false"/>
          <w:sz w:val="21"/>
          <w:szCs w:val="21"/>
        </w:rPr>
        <w:t xml:space="preserve">Par ailleurs, les données commerciales d'une année n'arrivent dans l'Atlas qu'environ deux ans plus tard : la dernière année disponible accusera toujours ce retard sur le reste du tableau de bord.</w:t>
      </w:r>
    </w:p>
    <w:p>
      <w:pPr>
        <w:pStyle w:val="Heading2"/>
      </w:pPr>
      <w:r>
        <w:t xml:space="preserve">11.4 Unités des cours de produits de base</w:t>
      </w:r>
    </w:p>
    <w:p>
      <w:pPr>
        <w:spacing w:after="140" w:line="288"/>
        <w:jc w:val="both"/>
      </w:pPr>
      <w:r>
        <w:rPr>
          <w:b w:val="false"/>
          <w:bCs w:val="false"/>
          <w:i w:val="false"/>
          <w:iCs w:val="false"/>
          <w:sz w:val="21"/>
          <w:szCs w:val="21"/>
        </w:rPr>
        <w:t xml:space="preserve">Elles sont lues directement dans le classeur du fournisseur et non recopiées. Elles peuvent donc différer de celles d'autres publications : le cacao est coté au kilogramme dans le Pink Sheet et à la tonne dans certaines sources. Vérifiez toujours l'unité portée sur l'axe avant de citer un niveau.</w:t>
      </w:r>
    </w:p>
    <w:p>
      <w:pPr>
        <w:pStyle w:val="Heading2"/>
      </w:pPr>
      <w:r>
        <w:t xml:space="preserve">11.5 Fréquences fines</w:t>
      </w:r>
    </w:p>
    <w:p>
      <w:pPr>
        <w:spacing w:after="140" w:line="288"/>
        <w:jc w:val="both"/>
      </w:pPr>
      <w:r>
        <w:rPr>
          <w:b w:val="false"/>
          <w:bCs w:val="false"/>
          <w:i w:val="false"/>
          <w:iCs w:val="false"/>
          <w:sz w:val="21"/>
          <w:szCs w:val="21"/>
        </w:rPr>
        <w:t xml:space="preserve">Le schéma prévoit des pas hebdomadaire, journalier et intrajournalier, mais aucune source du catalogue ne les alimente. Ce n'est pas une limite de l'outil : un produit intérieur brut trimestriel n'a pas de valeur quotidienne. Ces pas n'ont de sens que pour les données de marché, qui relèvent d'autres fournisseurs, souvent payants.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Pourquoi presque tout est annuel</w:t>
            </w:r>
          </w:p>
          <w:p>
            <w:pPr>
              <w:spacing w:after="0" w:line="276"/>
              <w:jc w:val="both"/>
            </w:pPr>
            <w:r>
              <w:rPr>
                <w:b w:val="false"/>
                <w:bCs w:val="false"/>
                <w:color w:val="000000"/>
                <w:sz w:val="19"/>
                <w:szCs w:val="19"/>
              </w:rPr>
              <w:t xml:space="preserve">La Banque mondiale, qui fournit la majorité des indicateurs actifs, ne publie qu'en annuel. Les seules séries mensuelles du catalogue sont les cours de produits de base. Si le filtre de fréquence ne propose que « Annuelle », ce n'est pas un défaut : c'est qu'aucune série infra-annuelle n'a été collectée.</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Chapitre 12</w:t>
      </w:r>
    </w:p>
    <w:p>
      <w:pPr>
        <w:pStyle w:val="Heading1"/>
        <w:spacing w:after="260" w:before="0"/>
      </w:pPr>
      <w:r>
        <w:t xml:space="preserve">Mode opératoire rapide</w:t>
      </w:r>
    </w:p>
    <w:p>
      <w:pPr>
        <w:pStyle w:val="Heading2"/>
      </w:pPr>
      <w:r>
        <w:t xml:space="preserve">12.1 Consulter un indicateur</w:t>
      </w:r>
    </w:p>
    <w:p>
      <w:pPr>
        <w:pStyle w:val="ListParagraph"/>
        <w:numPr>
          <w:ilvl w:val="0"/>
          <w:numId w:val="2"/>
        </w:numPr>
        <w:spacing w:after="90" w:line="288"/>
        <w:jc w:val="both"/>
      </w:pPr>
      <w:r>
        <w:rPr>
          <w:sz w:val="21"/>
          <w:szCs w:val="21"/>
        </w:rPr>
        <w:t xml:space="preserve">Ouvrir l'onglet Tableau de bord.</w:t>
      </w:r>
    </w:p>
    <w:p>
      <w:pPr>
        <w:pStyle w:val="ListParagraph"/>
        <w:numPr>
          <w:ilvl w:val="0"/>
          <w:numId w:val="2"/>
        </w:numPr>
        <w:spacing w:after="90" w:line="288"/>
        <w:jc w:val="both"/>
      </w:pPr>
      <w:r>
        <w:rPr>
          <w:sz w:val="21"/>
          <w:szCs w:val="21"/>
        </w:rPr>
        <w:t xml:space="preserve">Choisir la catégorie dans le premier cadre.</w:t>
      </w:r>
    </w:p>
    <w:p>
      <w:pPr>
        <w:pStyle w:val="ListParagraph"/>
        <w:numPr>
          <w:ilvl w:val="0"/>
          <w:numId w:val="2"/>
        </w:numPr>
        <w:spacing w:after="90" w:line="288"/>
        <w:jc w:val="both"/>
      </w:pPr>
      <w:r>
        <w:rPr>
          <w:sz w:val="21"/>
          <w:szCs w:val="21"/>
        </w:rPr>
        <w:t xml:space="preserve">Sélectionner un ou plusieurs indicateurs.</w:t>
      </w:r>
    </w:p>
    <w:p>
      <w:pPr>
        <w:pStyle w:val="ListParagraph"/>
        <w:numPr>
          <w:ilvl w:val="0"/>
          <w:numId w:val="2"/>
        </w:numPr>
        <w:spacing w:after="90" w:line="288"/>
        <w:jc w:val="both"/>
      </w:pPr>
      <w:r>
        <w:rPr>
          <w:sz w:val="21"/>
          <w:szCs w:val="21"/>
        </w:rPr>
        <w:t xml:space="preserve">Vérifier la fréquence proposée et ajuster la période.</w:t>
      </w:r>
    </w:p>
    <w:p>
      <w:pPr>
        <w:pStyle w:val="ListParagraph"/>
        <w:numPr>
          <w:ilvl w:val="0"/>
          <w:numId w:val="2"/>
        </w:numPr>
        <w:spacing w:after="90" w:line="288"/>
        <w:jc w:val="both"/>
      </w:pPr>
      <w:r>
        <w:rPr>
          <w:sz w:val="21"/>
          <w:szCs w:val="21"/>
        </w:rPr>
        <w:t xml:space="preserve">Choisir les pays.</w:t>
      </w:r>
    </w:p>
    <w:p>
      <w:pPr>
        <w:pStyle w:val="ListParagraph"/>
        <w:numPr>
          <w:ilvl w:val="0"/>
          <w:numId w:val="2"/>
        </w:numPr>
        <w:spacing w:after="90" w:line="288"/>
        <w:jc w:val="both"/>
      </w:pPr>
      <w:r>
        <w:rPr>
          <w:sz w:val="21"/>
          <w:szCs w:val="21"/>
        </w:rPr>
        <w:t xml:space="preserve">Cliquer sur « Appliquer le filtre ».</w:t>
      </w:r>
    </w:p>
    <w:p>
      <w:pPr>
        <w:pStyle w:val="ListParagraph"/>
        <w:numPr>
          <w:ilvl w:val="0"/>
          <w:numId w:val="2"/>
        </w:numPr>
        <w:spacing w:after="90" w:line="288"/>
        <w:jc w:val="both"/>
      </w:pPr>
      <w:r>
        <w:rPr>
          <w:sz w:val="21"/>
          <w:szCs w:val="21"/>
        </w:rPr>
        <w:t xml:space="preserve">Lire le graphique, puis la carte en dessous.</w:t>
      </w:r>
    </w:p>
    <w:p>
      <w:pPr>
        <w:pStyle w:val="ListParagraph"/>
        <w:numPr>
          <w:ilvl w:val="0"/>
          <w:numId w:val="2"/>
        </w:numPr>
        <w:spacing w:after="90" w:line="288"/>
        <w:jc w:val="both"/>
      </w:pPr>
      <w:r>
        <w:rPr>
          <w:sz w:val="21"/>
          <w:szCs w:val="21"/>
        </w:rPr>
        <w:t xml:space="preserve">Cliquer sur un pays de la carte pour ouvrir sa fiche.</w:t>
      </w:r>
    </w:p>
    <w:p>
      <w:pPr>
        <w:pStyle w:val="ListParagraph"/>
        <w:numPr>
          <w:ilvl w:val="0"/>
          <w:numId w:val="2"/>
        </w:numPr>
        <w:spacing w:after="90" w:line="288"/>
        <w:jc w:val="both"/>
      </w:pPr>
      <w:r>
        <w:rPr>
          <w:sz w:val="21"/>
          <w:szCs w:val="21"/>
        </w:rPr>
        <w:t xml:space="preserve">Exporter en image ou en tableur.</w:t>
      </w:r>
    </w:p>
    <w:p>
      <w:pPr>
        <w:pStyle w:val="Heading2"/>
      </w:pPr>
      <w:r>
        <w:t xml:space="preserve">12.2 Comparer plusieurs indicateurs</w:t>
      </w:r>
    </w:p>
    <w:p>
      <w:pPr>
        <w:pStyle w:val="ListParagraph"/>
        <w:numPr>
          <w:ilvl w:val="0"/>
          <w:numId w:val="2"/>
        </w:numPr>
        <w:spacing w:after="90" w:line="288"/>
        <w:jc w:val="both"/>
      </w:pPr>
      <w:r>
        <w:rPr>
          <w:sz w:val="21"/>
          <w:szCs w:val="21"/>
        </w:rPr>
        <w:t xml:space="preserve">Composer une première sélection et l'appliquer.</w:t>
      </w:r>
    </w:p>
    <w:p>
      <w:pPr>
        <w:pStyle w:val="ListParagraph"/>
        <w:numPr>
          <w:ilvl w:val="0"/>
          <w:numId w:val="2"/>
        </w:numPr>
        <w:spacing w:after="90" w:line="288"/>
        <w:jc w:val="both"/>
      </w:pPr>
      <w:r>
        <w:rPr>
          <w:sz w:val="21"/>
          <w:szCs w:val="21"/>
        </w:rPr>
        <w:t xml:space="preserve">Changer de catégorie et composer une seconde sélection.</w:t>
      </w:r>
    </w:p>
    <w:p>
      <w:pPr>
        <w:pStyle w:val="ListParagraph"/>
        <w:numPr>
          <w:ilvl w:val="0"/>
          <w:numId w:val="2"/>
        </w:numPr>
        <w:spacing w:after="90" w:line="288"/>
        <w:jc w:val="both"/>
      </w:pPr>
      <w:r>
        <w:rPr>
          <w:sz w:val="21"/>
          <w:szCs w:val="21"/>
        </w:rPr>
        <w:t xml:space="preserve">Cliquer sur « Ajouter au graphique ».</w:t>
      </w:r>
    </w:p>
    <w:p>
      <w:pPr>
        <w:pStyle w:val="ListParagraph"/>
        <w:numPr>
          <w:ilvl w:val="0"/>
          <w:numId w:val="2"/>
        </w:numPr>
        <w:spacing w:after="90" w:line="288"/>
        <w:jc w:val="both"/>
      </w:pPr>
      <w:r>
        <w:rPr>
          <w:sz w:val="21"/>
          <w:szCs w:val="21"/>
        </w:rPr>
        <w:t xml:space="preserve">Vérifier l'unité affichée sur l'axe : si les unités diffèrent, la base 100 est imposée.</w:t>
      </w:r>
    </w:p>
    <w:p>
      <w:pPr>
        <w:pStyle w:val="ListParagraph"/>
        <w:numPr>
          <w:ilvl w:val="0"/>
          <w:numId w:val="2"/>
        </w:numPr>
        <w:spacing w:after="90" w:line="288"/>
        <w:jc w:val="both"/>
      </w:pPr>
      <w:r>
        <w:rPr>
          <w:sz w:val="21"/>
          <w:szCs w:val="21"/>
        </w:rPr>
        <w:t xml:space="preserve">Retirer une série d'un clic sur la croix de son jeton.</w:t>
      </w:r>
    </w:p>
    <w:p>
      <w:pPr>
        <w:pStyle w:val="Heading2"/>
      </w:pPr>
      <w:r>
        <w:t xml:space="preserve">12.3 Actualiser les données</w:t>
      </w:r>
    </w:p>
    <w:p>
      <w:pPr>
        <w:pStyle w:val="ListParagraph"/>
        <w:numPr>
          <w:ilvl w:val="0"/>
          <w:numId w:val="2"/>
        </w:numPr>
        <w:spacing w:after="90" w:line="288"/>
        <w:jc w:val="both"/>
      </w:pPr>
      <w:r>
        <w:rPr>
          <w:sz w:val="21"/>
          <w:szCs w:val="21"/>
        </w:rPr>
        <w:t xml:space="preserve">Ouvrir l'onglet Collectes.</w:t>
      </w:r>
    </w:p>
    <w:p>
      <w:pPr>
        <w:pStyle w:val="ListParagraph"/>
        <w:numPr>
          <w:ilvl w:val="0"/>
          <w:numId w:val="2"/>
        </w:numPr>
        <w:spacing w:after="90" w:line="288"/>
        <w:jc w:val="both"/>
      </w:pPr>
      <w:r>
        <w:rPr>
          <w:sz w:val="21"/>
          <w:szCs w:val="21"/>
        </w:rPr>
        <w:t xml:space="preserve">Choisir la portée, de préférence une catégorie.</w:t>
      </w:r>
    </w:p>
    <w:p>
      <w:pPr>
        <w:pStyle w:val="ListParagraph"/>
        <w:numPr>
          <w:ilvl w:val="0"/>
          <w:numId w:val="2"/>
        </w:numPr>
        <w:spacing w:after="90" w:line="288"/>
        <w:jc w:val="both"/>
      </w:pPr>
      <w:r>
        <w:rPr>
          <w:sz w:val="21"/>
          <w:szCs w:val="21"/>
        </w:rPr>
        <w:t xml:space="preserve">Cliquer sur « Actualiser » et laisser l'exécution se terminer.</w:t>
      </w:r>
    </w:p>
    <w:p>
      <w:pPr>
        <w:pStyle w:val="ListParagraph"/>
        <w:numPr>
          <w:ilvl w:val="0"/>
          <w:numId w:val="2"/>
        </w:numPr>
        <w:spacing w:after="90" w:line="288"/>
        <w:jc w:val="both"/>
      </w:pPr>
      <w:r>
        <w:rPr>
          <w:sz w:val="21"/>
          <w:szCs w:val="21"/>
        </w:rPr>
        <w:t xml:space="preserve">Lire la ligne ajoutée au journal, en particulier la colonne des erreurs.</w:t>
      </w:r>
    </w:p>
    <w:p>
      <w:pPr>
        <w:pStyle w:val="ListParagraph"/>
        <w:numPr>
          <w:ilvl w:val="0"/>
          <w:numId w:val="2"/>
        </w:numPr>
        <w:spacing w:after="90" w:line="288"/>
        <w:jc w:val="both"/>
      </w:pPr>
      <w:r>
        <w:rPr>
          <w:sz w:val="21"/>
          <w:szCs w:val="21"/>
        </w:rPr>
        <w:t xml:space="preserve">Retourner au tableau de bord pour vérifier que la période s'est étendue.</w:t>
      </w:r>
    </w:p>
    <w:p>
      <w:r>
        <w:br w:type="page"/>
      </w:r>
    </w:p>
    <w:p>
      <w:pPr>
        <w:spacing w:after="120" w:before="0"/>
      </w:pPr>
      <w:r>
        <w:rPr>
          <w:color w:val="000000"/>
          <w:sz w:val="26"/>
          <w:szCs w:val="26"/>
        </w:rPr>
        <w:t xml:space="preserve">Chapitre 13</w:t>
      </w:r>
    </w:p>
    <w:p>
      <w:pPr>
        <w:pStyle w:val="Heading1"/>
        <w:spacing w:after="260" w:before="0"/>
      </w:pPr>
      <w:r>
        <w:t xml:space="preserve">Questions fréquentes</w:t>
      </w:r>
    </w:p>
    <w:p>
      <w:pPr>
        <w:pStyle w:val="Heading2"/>
      </w:pPr>
      <w:r>
        <w:t xml:space="preserve">13.1 Le filtre ne propose que la fréquence annuelle</w:t>
      </w:r>
    </w:p>
    <w:p>
      <w:pPr>
        <w:spacing w:after="140" w:line="288"/>
        <w:jc w:val="both"/>
      </w:pPr>
      <w:r>
        <w:rPr>
          <w:b w:val="false"/>
          <w:bCs w:val="false"/>
          <w:i w:val="false"/>
          <w:iCs w:val="false"/>
          <w:sz w:val="21"/>
          <w:szCs w:val="21"/>
        </w:rPr>
        <w:t xml:space="preserve">C'est le cas normal pour la plupart des indicateurs : la Banque mondiale ne publie qu'en annuel. Seuls les cours de produits de base existent en mensuel.</w:t>
      </w:r>
    </w:p>
    <w:p>
      <w:pPr>
        <w:pStyle w:val="Heading2"/>
      </w:pPr>
      <w:r>
        <w:t xml:space="preserve">13.2 Un indicateur porte la mention « non collecté »</w:t>
      </w:r>
    </w:p>
    <w:p>
      <w:pPr>
        <w:spacing w:after="140" w:line="288"/>
        <w:jc w:val="both"/>
      </w:pPr>
      <w:r>
        <w:rPr>
          <w:b w:val="false"/>
          <w:bCs w:val="false"/>
          <w:i w:val="false"/>
          <w:iCs w:val="false"/>
          <w:sz w:val="21"/>
          <w:szCs w:val="21"/>
        </w:rPr>
        <w:t xml:space="preserve">Il figure au catalogue mais n'a jamais été récupéré. Lancez une collecte sur sa catégorie depuis l'onglet Collectes.</w:t>
      </w:r>
    </w:p>
    <w:p>
      <w:pPr>
        <w:pStyle w:val="Heading2"/>
      </w:pPr>
      <w:r>
        <w:t xml:space="preserve">13.3 Le graphique est vide alors que l'indicateur est collecté</w:t>
      </w:r>
    </w:p>
    <w:p>
      <w:pPr>
        <w:spacing w:after="140" w:line="288"/>
        <w:jc w:val="both"/>
      </w:pPr>
      <w:r>
        <w:rPr>
          <w:b w:val="false"/>
          <w:bCs w:val="false"/>
          <w:i w:val="false"/>
          <w:iCs w:val="false"/>
          <w:sz w:val="21"/>
          <w:szCs w:val="21"/>
        </w:rPr>
        <w:t xml:space="preserve">Élargissez la période, ou vérifiez que les pays sélectionnés sont renseignés pour cet indicateur. La couverture varie beaucoup : un indicateur de pauvreté peut n'exister que pour trois années sur soixante dans un pays donné.</w:t>
      </w:r>
    </w:p>
    <w:p>
      <w:pPr>
        <w:pStyle w:val="Heading2"/>
      </w:pPr>
      <w:r>
        <w:t xml:space="preserve">13.4 La carte reste grise pour beaucoup de pays</w:t>
      </w:r>
    </w:p>
    <w:p>
      <w:pPr>
        <w:spacing w:after="140" w:line="288"/>
        <w:jc w:val="both"/>
      </w:pPr>
      <w:r>
        <w:rPr>
          <w:b w:val="false"/>
          <w:bCs w:val="false"/>
          <w:i w:val="false"/>
          <w:iCs w:val="false"/>
          <w:sz w:val="21"/>
          <w:szCs w:val="21"/>
        </w:rPr>
        <w:t xml:space="preserve">Ces pays n'ont pas de valeur pour l'année affichée. Déplacez le curseur vers une année plus ancienne : la couverture est souvent meilleure quelques années en arrière que sur l'année la plus récente.</w:t>
      </w:r>
    </w:p>
    <w:p>
      <w:pPr>
        <w:pStyle w:val="Heading2"/>
      </w:pPr>
      <w:r>
        <w:t xml:space="preserve">13.5 Peut-on modifier une valeur</w:t>
      </w:r>
    </w:p>
    <w:p>
      <w:pPr>
        <w:spacing w:after="140" w:line="288"/>
        <w:jc w:val="both"/>
      </w:pPr>
      <w:r>
        <w:rPr>
          <w:b w:val="false"/>
          <w:bCs w:val="false"/>
          <w:i w:val="false"/>
          <w:iCs w:val="false"/>
          <w:sz w:val="21"/>
          <w:szCs w:val="21"/>
        </w:rPr>
        <w:t xml:space="preserve">Non. La plateforme est en lecture seule pour l'utilisateur. Une valeur erronée relève du fournisseur et doit lui être signalée.</w:t>
      </w:r>
    </w:p>
    <w:p>
      <w:pPr>
        <w:pStyle w:val="Heading2"/>
      </w:pPr>
      <w:r>
        <w:t xml:space="preserve">13.6 Les projections engagent-elles le ministère</w:t>
      </w:r>
    </w:p>
    <w:p>
      <w:pPr>
        <w:spacing w:after="140" w:line="288"/>
        <w:jc w:val="both"/>
      </w:pPr>
      <w:r>
        <w:rPr>
          <w:b w:val="false"/>
          <w:bCs w:val="false"/>
          <w:i w:val="false"/>
          <w:iCs w:val="false"/>
          <w:sz w:val="21"/>
          <w:szCs w:val="21"/>
        </w:rPr>
        <w:t xml:space="preserve">Non. Ce sont des prolongements statistiques de la série observée, sans hypothèse de politique économique. Elles ne doivent pas être diffusées comme une prévision institutionnelle.</w:t>
      </w:r>
    </w:p>
    <w:p>
      <w:pPr>
        <w:pStyle w:val="Heading2"/>
      </w:pPr>
      <w:r>
        <w:t xml:space="preserve">13.7 Un camembert affiche un avertissement</w:t>
      </w:r>
    </w:p>
    <w:p>
      <w:pPr>
        <w:spacing w:after="140" w:line="288"/>
        <w:jc w:val="both"/>
      </w:pPr>
      <w:r>
        <w:rPr>
          <w:b w:val="false"/>
          <w:bCs w:val="false"/>
          <w:i w:val="false"/>
          <w:iCs w:val="false"/>
          <w:sz w:val="21"/>
          <w:szCs w:val="21"/>
        </w:rPr>
        <w:t xml:space="preserve">C'est que les séries représentées ne sont pas additives, par exemple des pourcentages du produit intérieur brut. Le total du camembert n'a alors aucun sens. Choisissez une grandeur en niveau, ou un autre type de graphique.</w:t>
      </w:r>
    </w:p>
    <w:p>
      <w:r>
        <w:br w:type="page"/>
      </w:r>
    </w:p>
    <w:p>
      <w:pPr>
        <w:spacing w:after="120" w:before="0"/>
      </w:pPr>
      <w:r>
        <w:rPr>
          <w:color w:val="000000"/>
          <w:sz w:val="26"/>
          <w:szCs w:val="26"/>
        </w:rPr>
        <w:t xml:space="preserve">Annexe A</w:t>
      </w:r>
    </w:p>
    <w:p>
      <w:pPr>
        <w:pStyle w:val="Heading1"/>
        <w:spacing w:after="260" w:before="0"/>
      </w:pPr>
      <w:r>
        <w:t xml:space="preserve">Catalogue des indicateurs</w:t>
      </w:r>
    </w:p>
    <w:p>
      <w:pPr>
        <w:spacing w:after="140" w:line="288"/>
        <w:jc w:val="both"/>
      </w:pPr>
      <w:r>
        <w:rPr>
          <w:b w:val="false"/>
          <w:bCs w:val="false"/>
          <w:i w:val="false"/>
          <w:iCs w:val="false"/>
          <w:sz w:val="21"/>
          <w:szCs w:val="21"/>
        </w:rPr>
        <w:t xml:space="preserve">Les tableaux qui suivent recensent les 313 indicateurs actifs, par catégorie. Le code de collecte est celui utilisé auprès du fournisseur : il ne doit pas être modifié. Sauf mention contraire, la fréquence est annuelle ; les cours de produits de base sont mensuels et doublés d'une moyenne annuelle.</w:t>
      </w:r>
    </w:p>
    <w:p>
      <w:pPr>
        <w:pStyle w:val="Heading2"/>
      </w:pPr>
      <w:r>
        <w:t xml:space="preserve">C02. Indicateurs du secteur réel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Consommation finale des administrations publiques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NE.CON.GOVT.ZS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Consommation finale des ménages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NE.CON.PRVT.ZS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Croissance du PIB par habitant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NY.GDP.PCAP.KD.ZG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Déflateur du PIB, variation annuelle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NY.GDP.DEFL.KD.ZG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Exportations de biens et services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NE.EXP.GNFS.ZS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Formation brute de capital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NE.GDI.TOTL.ZS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Formation brute de capital fixe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NE.GDI.FTOT.ZS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Importations de biens et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NE.IMP.GNFS.ZS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Investissement total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NID_NGDP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PIB nominal en devise nationale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Mds LCU</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PIB nominal en dollars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NGDPD</w:t>
            </w:r>
          </w:p>
        </w:tc>
        <w:tc>
          <w:tcPr>
            <w:tcW w:type="dxa" w:w="2754"/>
            <w:tcMar>
              <w:top w:type="dxa" w:w="24"/>
              <w:left w:type="dxa" w:w="70"/>
              <w:bottom w:type="dxa" w:w="24"/>
              <w:right w:type="dxa" w:w="70"/>
            </w:tcMar>
          </w:tcPr>
          <w:p>
            <w:pPr>
              <w:spacing w:after="0" w:line="200"/>
              <w:jc w:val="left"/>
            </w:pPr>
            <w:r>
              <w:rPr>
                <w:color w:val="000000"/>
                <w:sz w:val="15"/>
                <w:szCs w:val="15"/>
              </w:rPr>
              <w:t xml:space="preserve">Mds USD</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PIB par habitant en PPA</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NY.GDP.PCAP.PP.CD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PPA</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PIB par habitant, prix constants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NY.GDP.PCAP.KD</w:t>
            </w:r>
          </w:p>
        </w:tc>
        <w:tc>
          <w:tcPr>
            <w:tcW w:type="dxa" w:w="2754"/>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PIB par habitant, prix courants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PIB total en PPA</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PPPGDP</w:t>
            </w:r>
          </w:p>
        </w:tc>
        <w:tc>
          <w:tcPr>
            <w:tcW w:type="dxa" w:w="2754"/>
            <w:tcMar>
              <w:top w:type="dxa" w:w="24"/>
              <w:left w:type="dxa" w:w="70"/>
              <w:bottom w:type="dxa" w:w="24"/>
              <w:right w:type="dxa" w:w="70"/>
            </w:tcMar>
          </w:tcPr>
          <w:p>
            <w:pPr>
              <w:spacing w:after="0" w:line="200"/>
              <w:jc w:val="left"/>
            </w:pPr>
            <w:r>
              <w:rPr>
                <w:color w:val="000000"/>
                <w:sz w:val="15"/>
                <w:szCs w:val="15"/>
              </w:rPr>
              <w:t xml:space="preserve">Mds USD PPA</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Part du pays dans le PIB mondial (PPA)</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PPPSH</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Produit intérieur brut, prix constants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NY.GDP.MKTP.KD</w:t>
            </w:r>
          </w:p>
        </w:tc>
        <w:tc>
          <w:tcPr>
            <w:tcW w:type="dxa" w:w="2754"/>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Produit intérieur brut, prix courants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Revenu national brut par habitant (méthode Atlas)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NY.GNP.PCAP.CD</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croissance du PIB réel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NY.GDP.MKTP.KD.ZG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croissance du PIB réel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NGDP_RPCH</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Valeur ajoutée de l'agriculture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NV.AGR.TOTL.ZS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Valeur ajoutée de l'industrie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NV.IND.TOTL.ZS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Valeur ajoutée de l'industrie manufacturière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NV.IND.MANF.ZS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Valeur ajoutée des services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NV.SRV.TOTL.ZS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Épargne intérieure brute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NY.GNS.ICTR.ZS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Épargne nationale brute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NGSD_NGDP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bl>
    <w:p>
      <w:pPr>
        <w:spacing w:after="180" w:before="70"/>
      </w:pPr>
      <w:r>
        <w:rPr>
          <w:i/>
          <w:iCs/>
          <w:color w:val="5C6672"/>
          <w:sz w:val="16"/>
          <w:szCs w:val="16"/>
        </w:rPr>
        <w:t xml:space="preserve">Source : BM · WDI, FMI · WEO</w:t>
      </w:r>
    </w:p>
    <w:p>
      <w:pPr>
        <w:spacing w:after="160" w:line="288"/>
        <w:jc w:val="both"/>
      </w:pPr>
      <w:r>
        <w:rPr>
          <w:b w:val="false"/>
          <w:bCs w:val="false"/>
          <w:i w:val="false"/>
          <w:iCs w:val="false"/>
          <w:sz w:val="21"/>
          <w:szCs w:val="21"/>
        </w:rPr>
        <w:t xml:space="preserve"/>
      </w:r>
    </w:p>
    <w:p>
      <w:pPr>
        <w:pStyle w:val="Heading2"/>
      </w:pPr>
      <w:r>
        <w:t xml:space="preserve">C03. Indicateurs de finance publique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Capacité ou besoin de financement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GC.NLD.TOTL.GD.ZS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Charges d'intérêt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GC.XPN.INTP.RV.ZS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Dépenses militaires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MS.MIL.XPND.GD.ZS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Dépenses totales (administration centrale)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Dépenses totales des administrations publiques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Impôts sur les revenus et bénéfices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GC.TAX.YPKG.RV.ZS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Masse salariale publique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GC.XPN.COMP.ZS</w:t>
            </w:r>
          </w:p>
        </w:tc>
        <w:tc>
          <w:tcPr>
            <w:tcW w:type="dxa" w:w="2754"/>
            <w:tcMar>
              <w:top w:type="dxa" w:w="24"/>
              <w:left w:type="dxa" w:w="70"/>
              <w:bottom w:type="dxa" w:w="24"/>
              <w:right w:type="dxa" w:w="70"/>
            </w:tcMar>
          </w:tcPr>
          <w:p>
            <w:pPr>
              <w:spacing w:after="0" w:line="200"/>
              <w:jc w:val="left"/>
            </w:pPr>
            <w:r>
              <w:rPr>
                <w:color w:val="000000"/>
                <w:sz w:val="15"/>
                <w:szCs w:val="15"/>
              </w:rPr>
              <w:t xml:space="preserve">% des dépenses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Recettes fiscales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Recettes hors dons (administration centrale)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GC.REV.XGRT.GD.ZS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Recettes totales des administrations publiques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GGR_NGDP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Solde budgétaire global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GGXCNL_NGDP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Solde budgétaire primaire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GGXONLB_NGDP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Solde structurel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GGSB_NPGDP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 pot.</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Subventions et transferts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GC.XPN.TRFT.ZS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dépenses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Taxes sur le commerce international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GC.TAX.INTT.RV.ZS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Taxes sur les biens et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GC.TAX.GSRV.RV.ZS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bl>
    <w:p>
      <w:pPr>
        <w:spacing w:after="180" w:before="70"/>
      </w:pPr>
      <w:r>
        <w:rPr>
          <w:i/>
          <w:iCs/>
          <w:color w:val="5C6672"/>
          <w:sz w:val="16"/>
          <w:szCs w:val="16"/>
        </w:rPr>
        <w:t xml:space="preserve">Source : BM · WDI, FMI · FM</w:t>
      </w:r>
    </w:p>
    <w:p>
      <w:pPr>
        <w:spacing w:after="160" w:line="288"/>
        <w:jc w:val="both"/>
      </w:pPr>
      <w:r>
        <w:rPr>
          <w:b w:val="false"/>
          <w:bCs w:val="false"/>
          <w:i w:val="false"/>
          <w:iCs w:val="false"/>
          <w:sz w:val="21"/>
          <w:szCs w:val="21"/>
        </w:rPr>
        <w:t xml:space="preserve"/>
      </w:r>
    </w:p>
    <w:p>
      <w:pPr>
        <w:pStyle w:val="Heading2"/>
      </w:pPr>
      <w:r>
        <w:t xml:space="preserve">C04. Indicateurs du secteur monétaire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Agences bancaires pour 100 000 adultes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FB.CBK.BRCH.P5</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100 000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Capitalisation boursière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CM.MKT.LCAP.GD.ZS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Comptes bancaires détenus (15 ans et plus)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FX.OWN.TOTL.ZS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Croissance de la masse monétaire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FM.LBL.BMNY.ZG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Crédit bancaire au secteur privé</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FD.AST.PRVT.GD.ZS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Crédit intérieur au secteur privé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FS.AST.PRVT.GD.ZS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Crédit intérieur net à l'État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FS.AST.DOMS.GD.ZS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Masse monétaire au sens large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FM.LBL.BMNY.GD.ZS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Prêts non performants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FB.AST.NPER.ZS</w:t>
            </w:r>
          </w:p>
        </w:tc>
        <w:tc>
          <w:tcPr>
            <w:tcW w:type="dxa" w:w="2754"/>
            <w:tcMar>
              <w:top w:type="dxa" w:w="24"/>
              <w:left w:type="dxa" w:w="70"/>
              <w:bottom w:type="dxa" w:w="24"/>
              <w:right w:type="dxa" w:w="70"/>
            </w:tcMar>
          </w:tcPr>
          <w:p>
            <w:pPr>
              <w:spacing w:after="0" w:line="200"/>
              <w:jc w:val="left"/>
            </w:pPr>
            <w:r>
              <w:rPr>
                <w:color w:val="000000"/>
                <w:sz w:val="15"/>
                <w:szCs w:val="15"/>
              </w:rPr>
              <w:t xml:space="preserve">% des prêts bruts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Ratio de fonds propres sur actifs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FB.BNK.CAPA.ZS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 BM · WDI, BM · Findex</w:t>
      </w:r>
    </w:p>
    <w:p>
      <w:pPr>
        <w:spacing w:after="160" w:line="288"/>
        <w:jc w:val="both"/>
      </w:pPr>
      <w:r>
        <w:rPr>
          <w:b w:val="false"/>
          <w:bCs w:val="false"/>
          <w:i w:val="false"/>
          <w:iCs w:val="false"/>
          <w:sz w:val="21"/>
          <w:szCs w:val="21"/>
        </w:rPr>
        <w:t xml:space="preserve"/>
      </w:r>
    </w:p>
    <w:p>
      <w:pPr>
        <w:pStyle w:val="Heading2"/>
      </w:pPr>
      <w:r>
        <w:t xml:space="preserve">C05. Indicateurs du secteur extérieur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Aide publique au développement reçue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DT.ODA.ODAT.GN.ZS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Exportations de biens et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BX.GSR.GNFS.CD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Exportations de marchandises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TX.VAL.MRCH.CD.WT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Importations de biens et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BM.GSR.GNFS.CD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Importations de marchandises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TM.VAL.MRCH.CD.WT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Investissements directs à l'étranger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BM.KLT.DINV.WD.GD.ZS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Investissements directs étrangers, entrées nettes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BX.KLT.DINV.WD.GD.ZS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Investissements directs étrangers, valeur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BX.KLT.DINV.CD.WD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Ouverture commerciale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NE.TRD.GNFS.ZS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Part des produits manufacturés dans les exportations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TX.VAL.MANF.ZS.UN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Part des produits primaires dans les exportations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TX.VAL.FOOD.ZS.UN</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Réserves de change totales (or compris)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FI.RES.TOTL.CD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Réserves en mois d'importations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FI.RES.TOTL.MO</w:t>
            </w:r>
          </w:p>
        </w:tc>
        <w:tc>
          <w:tcPr>
            <w:tcW w:type="dxa" w:w="2754"/>
            <w:tcMar>
              <w:top w:type="dxa" w:w="24"/>
              <w:left w:type="dxa" w:w="70"/>
              <w:bottom w:type="dxa" w:w="24"/>
              <w:right w:type="dxa" w:w="70"/>
            </w:tcMar>
          </w:tcPr>
          <w:p>
            <w:pPr>
              <w:spacing w:after="0" w:line="200"/>
              <w:jc w:val="left"/>
            </w:pPr>
            <w:r>
              <w:rPr>
                <w:color w:val="000000"/>
                <w:sz w:val="15"/>
                <w:szCs w:val="15"/>
              </w:rPr>
              <w:t xml:space="preserve">Mois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Solde du compte courant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BN.CAB.XOKA.GD.ZS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Solde du compte courant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BCA_NGDPD</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Solde du compte courant en valeur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BN.CAB.XOKA.CD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Tarif douanier moyen appliqué</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TM.TAX.MRCH.WM.AR.ZS</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Termes de l'échange nets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TT.PRI.MRCH.XD.WD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2015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Transferts des migrants reçus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BX.TRF.PWKR.CD.DT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Transferts des migrants reçus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BX.TRF.PWKR.DT.GD.ZS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bl>
    <w:p>
      <w:pPr>
        <w:spacing w:after="180" w:before="70"/>
      </w:pPr>
      <w:r>
        <w:rPr>
          <w:i/>
          <w:iCs/>
          <w:color w:val="5C6672"/>
          <w:sz w:val="16"/>
          <w:szCs w:val="16"/>
        </w:rPr>
        <w:t xml:space="preserve">Source : BM · WDI, FMI · WEO</w:t>
      </w:r>
    </w:p>
    <w:p>
      <w:pPr>
        <w:spacing w:after="160" w:line="288"/>
        <w:jc w:val="both"/>
      </w:pPr>
      <w:r>
        <w:rPr>
          <w:b w:val="false"/>
          <w:bCs w:val="false"/>
          <w:i w:val="false"/>
          <w:iCs w:val="false"/>
          <w:sz w:val="21"/>
          <w:szCs w:val="21"/>
        </w:rPr>
        <w:t xml:space="preserve"/>
      </w:r>
    </w:p>
    <w:p>
      <w:pPr>
        <w:pStyle w:val="Heading2"/>
      </w:pPr>
      <w:r>
        <w:t xml:space="preserve">C06. Taux de change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Facteur de conversion PPA</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PA.NUS.PPP</w:t>
            </w:r>
          </w:p>
        </w:tc>
        <w:tc>
          <w:tcPr>
            <w:tcW w:type="dxa" w:w="2754"/>
            <w:tcMar>
              <w:top w:type="dxa" w:w="24"/>
              <w:left w:type="dxa" w:w="70"/>
              <w:bottom w:type="dxa" w:w="24"/>
              <w:right w:type="dxa" w:w="70"/>
            </w:tcMar>
          </w:tcPr>
          <w:p>
            <w:pPr>
              <w:spacing w:after="0" w:line="200"/>
              <w:jc w:val="left"/>
            </w:pPr>
            <w:r>
              <w:rPr>
                <w:color w:val="000000"/>
                <w:sz w:val="15"/>
                <w:szCs w:val="15"/>
              </w:rPr>
              <w:t xml:space="preserve">LCU / USD int.</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change effectif réel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PX.REX.REER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2010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change officiel (moyenne période)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PA.NUS.FCRF</w:t>
            </w:r>
          </w:p>
        </w:tc>
        <w:tc>
          <w:tcPr>
            <w:tcW w:type="dxa" w:w="2754"/>
            <w:tcMar>
              <w:top w:type="dxa" w:w="24"/>
              <w:left w:type="dxa" w:w="70"/>
              <w:bottom w:type="dxa" w:w="24"/>
              <w:right w:type="dxa" w:w="70"/>
            </w:tcMar>
          </w:tcPr>
          <w:p>
            <w:pPr>
              <w:spacing w:after="0" w:line="200"/>
              <w:jc w:val="left"/>
            </w:pPr>
            <w:r>
              <w:rPr>
                <w:color w:val="000000"/>
                <w:sz w:val="15"/>
                <w:szCs w:val="15"/>
              </w:rPr>
              <w:t xml:space="preserve">LCU / USD</w:t>
            </w:r>
          </w:p>
        </w:tc>
      </w:tr>
    </w:tbl>
    <w:p>
      <w:pPr>
        <w:spacing w:after="180" w:before="70"/>
      </w:pPr>
      <w:r>
        <w:rPr>
          <w:i/>
          <w:iCs/>
          <w:color w:val="5C6672"/>
          <w:sz w:val="16"/>
          <w:szCs w:val="16"/>
        </w:rPr>
        <w:t xml:space="preserve">Source : BM · WDI</w:t>
      </w:r>
    </w:p>
    <w:p>
      <w:pPr>
        <w:spacing w:after="160" w:line="288"/>
        <w:jc w:val="both"/>
      </w:pPr>
      <w:r>
        <w:rPr>
          <w:b w:val="false"/>
          <w:bCs w:val="false"/>
          <w:i w:val="false"/>
          <w:iCs w:val="false"/>
          <w:sz w:val="21"/>
          <w:szCs w:val="21"/>
        </w:rPr>
        <w:t xml:space="preserve"/>
      </w:r>
    </w:p>
    <w:p>
      <w:pPr>
        <w:pStyle w:val="Heading2"/>
      </w:pPr>
      <w:r>
        <w:t xml:space="preserve">C07. Taux d'intérêt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Marge d'intermédiation bancaire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FR.INR.LNDP</w:t>
            </w:r>
          </w:p>
        </w:tc>
        <w:tc>
          <w:tcPr>
            <w:tcW w:type="dxa" w:w="2754"/>
            <w:tcMar>
              <w:top w:type="dxa" w:w="24"/>
              <w:left w:type="dxa" w:w="70"/>
              <w:bottom w:type="dxa" w:w="24"/>
              <w:right w:type="dxa" w:w="70"/>
            </w:tcMar>
          </w:tcPr>
          <w:p>
            <w:pPr>
              <w:spacing w:after="0" w:line="200"/>
              <w:jc w:val="left"/>
            </w:pPr>
            <w:r>
              <w:rPr>
                <w:color w:val="000000"/>
                <w:sz w:val="15"/>
                <w:szCs w:val="15"/>
              </w:rPr>
              <w:t xml:space="preserve">Points de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d'intérêt créditeur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FR.INR.DPST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d'intérêt débiteur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FR.INR.LEND</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d'intérêt réel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FR.INR.RINR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 BM · WDI</w:t>
      </w:r>
    </w:p>
    <w:p>
      <w:pPr>
        <w:spacing w:after="160" w:line="288"/>
        <w:jc w:val="both"/>
      </w:pPr>
      <w:r>
        <w:rPr>
          <w:b w:val="false"/>
          <w:bCs w:val="false"/>
          <w:i w:val="false"/>
          <w:iCs w:val="false"/>
          <w:sz w:val="21"/>
          <w:szCs w:val="21"/>
        </w:rPr>
        <w:t xml:space="preserve"/>
      </w:r>
    </w:p>
    <w:p>
      <w:pPr>
        <w:pStyle w:val="Heading2"/>
      </w:pPr>
      <w:r>
        <w:t xml:space="preserve">C08. Prix et inflation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Déflateur du PIB</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NY.GDP.DEFL.ZS</w:t>
            </w:r>
          </w:p>
        </w:tc>
        <w:tc>
          <w:tcPr>
            <w:tcW w:type="dxa" w:w="2754"/>
            <w:tcMar>
              <w:top w:type="dxa" w:w="24"/>
              <w:left w:type="dxa" w:w="70"/>
              <w:bottom w:type="dxa" w:w="24"/>
              <w:right w:type="dxa" w:w="70"/>
            </w:tcMar>
          </w:tcPr>
          <w:p>
            <w:pPr>
              <w:spacing w:after="0" w:line="200"/>
              <w:jc w:val="left"/>
            </w:pPr>
            <w:r>
              <w:rPr>
                <w:color w:val="000000"/>
                <w:sz w:val="15"/>
                <w:szCs w:val="15"/>
              </w:rPr>
              <w:t xml:space="preserve">Indice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Indice des prix à la consommation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FP.CPI.TOTL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2010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Inflation en fin de période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PCPIEPCH</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Inflation moyenne annuelle (projections)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PCPIPCH</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Inflation, prix à la consommation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FP.CPI.TOTL.ZG</w:t>
            </w:r>
          </w:p>
        </w:tc>
        <w:tc>
          <w:tcPr>
            <w:tcW w:type="dxa" w:w="2754"/>
            <w:tcMar>
              <w:top w:type="dxa" w:w="24"/>
              <w:left w:type="dxa" w:w="70"/>
              <w:bottom w:type="dxa" w:w="24"/>
              <w:right w:type="dxa" w:w="70"/>
            </w:tcMar>
          </w:tcPr>
          <w:p>
            <w:pPr>
              <w:spacing w:after="0" w:line="200"/>
              <w:jc w:val="left"/>
            </w:pPr>
            <w:r>
              <w:rPr>
                <w:color w:val="000000"/>
                <w:sz w:val="15"/>
                <w:szCs w:val="15"/>
              </w:rPr>
              <w:t xml:space="preserve">% annuel</w:t>
            </w:r>
          </w:p>
        </w:tc>
      </w:tr>
    </w:tbl>
    <w:p>
      <w:pPr>
        <w:spacing w:after="180" w:before="70"/>
      </w:pPr>
      <w:r>
        <w:rPr>
          <w:i/>
          <w:iCs/>
          <w:color w:val="5C6672"/>
          <w:sz w:val="16"/>
          <w:szCs w:val="16"/>
        </w:rPr>
        <w:t xml:space="preserve">Source : BM · WDI, FMI · WEO</w:t>
      </w:r>
    </w:p>
    <w:p>
      <w:pPr>
        <w:spacing w:after="160" w:line="288"/>
        <w:jc w:val="both"/>
      </w:pPr>
      <w:r>
        <w:rPr>
          <w:b w:val="false"/>
          <w:bCs w:val="false"/>
          <w:i w:val="false"/>
          <w:iCs w:val="false"/>
          <w:sz w:val="21"/>
          <w:szCs w:val="21"/>
        </w:rPr>
        <w:t xml:space="preserve"/>
      </w:r>
    </w:p>
    <w:p>
      <w:pPr>
        <w:pStyle w:val="Heading2"/>
      </w:pPr>
      <w:r>
        <w:t xml:space="preserve">C09. Dette publique et extérieure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Dette brute des administrations publiques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GGXWDG_NGDP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Dette de l'administration centrale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GC.DOD.TOTL.GD.ZS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Dette extérieure totale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DT.DOD.DECT.GN.ZS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Dette extérieure à court terme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DT.DOD.DSTC.CD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Dette nette des administrations publiques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GGXWDN_NGDP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Dette publique et publiquement garantie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DT.DOD.DPPG.CD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Dette à court terme rapportée aux réserves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DT.DOD.DSTC.IR.ZS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réserves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Décaissements de nouveaux prêts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DT.DIS.DPPG.CD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Maturité moyenne des nouveaux engagements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DT.MAT.DPPG</w:t>
            </w:r>
          </w:p>
        </w:tc>
        <w:tc>
          <w:tcPr>
            <w:tcW w:type="dxa" w:w="2754"/>
            <w:tcMar>
              <w:top w:type="dxa" w:w="24"/>
              <w:left w:type="dxa" w:w="70"/>
              <w:bottom w:type="dxa" w:w="24"/>
              <w:right w:type="dxa" w:w="70"/>
            </w:tcMar>
          </w:tcPr>
          <w:p>
            <w:pPr>
              <w:spacing w:after="0" w:line="200"/>
              <w:jc w:val="left"/>
            </w:pPr>
            <w:r>
              <w:rPr>
                <w:color w:val="000000"/>
                <w:sz w:val="15"/>
                <w:szCs w:val="15"/>
              </w:rPr>
              <w:t xml:space="preserve">Années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Service de la dette extérieure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DT.TDS.DECT.EX.ZS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exportations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Service de la dette publique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DT.TDS.DPPG.GN.ZS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Stock de dette extérieure totale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DT.DOD.DECT.CD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d'intérêt moyen des nouveaux engagements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DT.INR.DPPG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Transferts nets sur dette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DT.NTR.DECT.CD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Élément don moyen des nouveaux engagements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DT.GRE.DPPG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 FMI · FM, BM · WDI, BM · IDS</w:t>
      </w:r>
    </w:p>
    <w:p>
      <w:pPr>
        <w:spacing w:after="160" w:line="288"/>
        <w:jc w:val="both"/>
      </w:pPr>
      <w:r>
        <w:rPr>
          <w:b w:val="false"/>
          <w:bCs w:val="false"/>
          <w:i w:val="false"/>
          <w:iCs w:val="false"/>
          <w:sz w:val="21"/>
          <w:szCs w:val="21"/>
        </w:rPr>
        <w:t xml:space="preserve"/>
      </w:r>
    </w:p>
    <w:p>
      <w:pPr>
        <w:pStyle w:val="Heading2"/>
      </w:pPr>
      <w:r>
        <w:t xml:space="preserve">C10. Marché du travail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Emploi dans l'agriculture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SL.AGR.EMPL.ZS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Emploi dans l'industrie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SL.IND.EMPL.ZS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Emploi dans les services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SL.SRV.EMPL.ZS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Emploi salarié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SL.EMP.WORK.ZS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Emploi vulnérable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SL.EMP.VULN.ZS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Jeunes sans emploi ni études ni formation (NEET)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SL.UEM.NEET.ZS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jeunes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PIB par personne employée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SL.GDP.PCAP.EM.KD</w:t>
            </w:r>
          </w:p>
        </w:tc>
        <w:tc>
          <w:tcPr>
            <w:tcW w:type="dxa" w:w="2754"/>
            <w:tcMar>
              <w:top w:type="dxa" w:w="24"/>
              <w:left w:type="dxa" w:w="70"/>
              <w:bottom w:type="dxa" w:w="24"/>
              <w:right w:type="dxa" w:w="70"/>
            </w:tcMar>
          </w:tcPr>
          <w:p>
            <w:pPr>
              <w:spacing w:after="0" w:line="200"/>
              <w:jc w:val="left"/>
            </w:pPr>
            <w:r>
              <w:rPr>
                <w:color w:val="000000"/>
                <w:sz w:val="15"/>
                <w:szCs w:val="15"/>
              </w:rPr>
              <w:t xml:space="preserve">USD PPA 2021</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active totale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SL.TLF.TOTL.IN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Ratio emploi sur population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SL.EMP.TOTL.SP.ZS</w:t>
            </w:r>
          </w:p>
        </w:tc>
        <w:tc>
          <w:tcPr>
            <w:tcW w:type="dxa" w:w="2754"/>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d'activité des femmes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SL.TLF.CACT.FE.ZS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femmes 15 ans +</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d'activité, population totale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SL.TLF.CACT.ZS</w:t>
            </w:r>
          </w:p>
        </w:tc>
        <w:tc>
          <w:tcPr>
            <w:tcW w:type="dxa" w:w="2754"/>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chômage (estimation nationale)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SL.UEM.TOTL.NE.ZS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 active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chômage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LUR</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chômage des jeunes (15-24 ans)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SL.UEM.1524.ZS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15-24 ans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chômage total (estimation OIT)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 active</w:t>
            </w:r>
          </w:p>
        </w:tc>
      </w:tr>
    </w:tbl>
    <w:p>
      <w:pPr>
        <w:spacing w:after="180" w:before="70"/>
      </w:pPr>
      <w:r>
        <w:rPr>
          <w:i/>
          <w:iCs/>
          <w:color w:val="5C6672"/>
          <w:sz w:val="16"/>
          <w:szCs w:val="16"/>
        </w:rPr>
        <w:t xml:space="preserve">Source : BM · WDI, FMI · WEO</w:t>
      </w:r>
    </w:p>
    <w:p>
      <w:pPr>
        <w:spacing w:after="160" w:line="288"/>
        <w:jc w:val="both"/>
      </w:pPr>
      <w:r>
        <w:rPr>
          <w:b w:val="false"/>
          <w:bCs w:val="false"/>
          <w:i w:val="false"/>
          <w:iCs w:val="false"/>
          <w:sz w:val="21"/>
          <w:szCs w:val="21"/>
        </w:rPr>
        <w:t xml:space="preserve"/>
      </w:r>
    </w:p>
    <w:p>
      <w:pPr>
        <w:pStyle w:val="Heading2"/>
      </w:pPr>
      <w:r>
        <w:t xml:space="preserve">C11. Démographie et conditions de vie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Accès à l'eau potable de base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SH.H2O.BASW.ZS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Accès à un assainissement de base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SH.STA.BASS.ZS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Consommation ou revenu moyen des 40 % les plus pauvres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SI.SPR.PC40</w:t>
            </w:r>
          </w:p>
        </w:tc>
        <w:tc>
          <w:tcPr>
            <w:tcW w:type="dxa" w:w="2754"/>
            <w:tcMar>
              <w:top w:type="dxa" w:w="24"/>
              <w:left w:type="dxa" w:w="70"/>
              <w:bottom w:type="dxa" w:w="24"/>
              <w:right w:type="dxa" w:w="70"/>
            </w:tcMar>
          </w:tcPr>
          <w:p>
            <w:pPr>
              <w:spacing w:after="0" w:line="200"/>
              <w:jc w:val="left"/>
            </w:pPr>
            <w:r>
              <w:rPr>
                <w:color w:val="000000"/>
                <w:sz w:val="15"/>
                <w:szCs w:val="15"/>
              </w:rPr>
              <w:t xml:space="preserve">USD PPA / jour</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Couverture des programmes de protection sociale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per_allsp.cov_pop_tot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Croissance de la population urbaine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SP.URB.GROW</w:t>
            </w:r>
          </w:p>
        </w:tc>
        <w:tc>
          <w:tcPr>
            <w:tcW w:type="dxa" w:w="2754"/>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Croissance démographique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SP.POP.GROW</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Densité de population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EN.POP.DNST</w:t>
            </w:r>
          </w:p>
        </w:tc>
        <w:tc>
          <w:tcPr>
            <w:tcW w:type="dxa" w:w="2754"/>
            <w:tcMar>
              <w:top w:type="dxa" w:w="24"/>
              <w:left w:type="dxa" w:w="70"/>
              <w:bottom w:type="dxa" w:w="24"/>
              <w:right w:type="dxa" w:w="70"/>
            </w:tcMar>
          </w:tcPr>
          <w:p>
            <w:pPr>
              <w:spacing w:after="0" w:line="200"/>
              <w:jc w:val="left"/>
            </w:pPr>
            <w:r>
              <w:rPr>
                <w:color w:val="000000"/>
                <w:sz w:val="15"/>
                <w:szCs w:val="15"/>
              </w:rPr>
              <w:t xml:space="preserve">Hab. / km²</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Dépenses courantes de santé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SH.XPD.CHEX.GD.ZS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Dépenses de santé par habitant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SH.XPD.CHEX.PC.CD</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Dépenses de santé à la charge des ménages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SH.XPD.OOPC.CH.ZS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dép. de santé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Dépenses publiques d'éducation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SE.XPD.TOTL.GD.ZS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Espérance de vie à la naissance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SP.DYN.LE00.IN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Années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de Gini</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SI.POV.GINI</w:t>
            </w:r>
          </w:p>
        </w:tc>
        <w:tc>
          <w:tcPr>
            <w:tcW w:type="dxa" w:w="2754"/>
            <w:tcMar>
              <w:top w:type="dxa" w:w="24"/>
              <w:left w:type="dxa" w:w="70"/>
              <w:bottom w:type="dxa" w:w="24"/>
              <w:right w:type="dxa" w:w="70"/>
            </w:tcMar>
          </w:tcPr>
          <w:p>
            <w:pPr>
              <w:spacing w:after="0" w:line="200"/>
              <w:jc w:val="left"/>
            </w:pPr>
            <w:r>
              <w:rPr>
                <w:color w:val="000000"/>
                <w:sz w:val="15"/>
                <w:szCs w:val="15"/>
              </w:rPr>
              <w:t xml:space="preserve">Indice 0-100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Indice de capital humain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HD.HCI.OVRL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0-1</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synthétique de fécondité</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SP.DYN.TFRT.IN</w:t>
            </w:r>
          </w:p>
        </w:tc>
        <w:tc>
          <w:tcPr>
            <w:tcW w:type="dxa" w:w="2754"/>
            <w:tcMar>
              <w:top w:type="dxa" w:w="24"/>
              <w:left w:type="dxa" w:w="70"/>
              <w:bottom w:type="dxa" w:w="24"/>
              <w:right w:type="dxa" w:w="70"/>
            </w:tcMar>
          </w:tcPr>
          <w:p>
            <w:pPr>
              <w:spacing w:after="0" w:line="200"/>
              <w:jc w:val="left"/>
            </w:pPr>
            <w:r>
              <w:rPr>
                <w:color w:val="000000"/>
                <w:sz w:val="15"/>
                <w:szCs w:val="15"/>
              </w:rPr>
              <w:t xml:space="preserve">Naissances / femme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Migration nette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SM.POP.NETM</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Mortalité des moins de 5 ans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SH.DYN.MORT</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nais. viv.</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Mortalité infantile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SP.DYN.IMRT.IN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1 000 nais. viv.</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Médecins pour 1 000 habitants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SH.MED.PHYS.ZS</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Part du revenu du décile supérieur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SI.DST.10TH.10</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Part du revenu du quintile inférieur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SI.DST.FRST.20</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totale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SP.POP.TOTL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Population urbaine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SP.URB.TOTL.IN.ZS</w:t>
            </w:r>
          </w:p>
        </w:tc>
        <w:tc>
          <w:tcPr>
            <w:tcW w:type="dxa" w:w="2754"/>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âgée de 0 à 14 ans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SP.POP.0014.TO.ZS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Population âgée de 15 à 64 ans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SP.POP.1564.TO.ZS</w:t>
            </w:r>
          </w:p>
        </w:tc>
        <w:tc>
          <w:tcPr>
            <w:tcW w:type="dxa" w:w="2754"/>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âgée de 65 ans et plus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SP.POP.65UP.TO.ZS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Prévalence de la sous-alimentation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SN.ITK.DEFC.ZS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Ratio de dépendance démographique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SP.POP.DPND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15-64 ans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Ratio de mortalité maternelle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SH.STA.MMRT</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100 000 nais.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Ratio élèves-enseignant, primaire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SE.PRM.ENRL.TC.ZS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Ratio</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Retard de croissance chez les moins de 5 ans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SH.STA.STNT.ZS</w:t>
            </w:r>
          </w:p>
        </w:tc>
        <w:tc>
          <w:tcPr>
            <w:tcW w:type="dxa" w:w="2754"/>
            <w:tcMar>
              <w:top w:type="dxa" w:w="24"/>
              <w:left w:type="dxa" w:w="70"/>
              <w:bottom w:type="dxa" w:w="24"/>
              <w:right w:type="dxa" w:w="70"/>
            </w:tcMar>
          </w:tcPr>
          <w:p>
            <w:pPr>
              <w:spacing w:after="0" w:line="200"/>
              <w:jc w:val="left"/>
            </w:pPr>
            <w:r>
              <w:rPr>
                <w:color w:val="000000"/>
                <w:sz w:val="15"/>
                <w:szCs w:val="15"/>
              </w:rPr>
              <w:t xml:space="preserve">% des moins de 5 ans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brut de mortalité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SP.DYN.CDRT.IN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brut de natalité</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SP.DYN.CBRT.IN</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brut de scolarisation, supérieur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SE.TER.ENRR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d'achèvement du primaire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SE.PRM.CMPT.ZS</w:t>
            </w:r>
          </w:p>
        </w:tc>
        <w:tc>
          <w:tcPr>
            <w:tcW w:type="dxa" w:w="2754"/>
            <w:tcMar>
              <w:top w:type="dxa" w:w="24"/>
              <w:left w:type="dxa" w:w="70"/>
              <w:bottom w:type="dxa" w:w="24"/>
              <w:right w:type="dxa" w:w="70"/>
            </w:tcMar>
          </w:tcPr>
          <w:p>
            <w:pPr>
              <w:spacing w:after="0" w:line="200"/>
              <w:jc w:val="left"/>
            </w:pPr>
            <w:r>
              <w:rPr>
                <w:color w:val="000000"/>
                <w:sz w:val="15"/>
                <w:szCs w:val="15"/>
              </w:rPr>
              <w:t xml:space="preserve">% du groupe d'âge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d'alphabétisation des adultes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SE.ADT.LITR.ZS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pauvreté au seuil de 2,15 USD par jour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SI.POV.DDAY</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pauvreté au seuil de 3,65 USD par jour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SI.POV.LMIC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de pauvreté au seuil de 6,85 USD par jour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SI.POV.UMIC</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de pauvreté au seuil national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SI.POV.NAHC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Taux net de scolarisation, primaire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SE.PRM.NENR</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Taux net de scolarisation, secondaire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SE.SEC.NENR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Écart de pauvreté au seuil de 2,15 USD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SI.POV.GAPS</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 BM · WDI, BM · ASPIRE, BM · PIP</w:t>
      </w:r>
    </w:p>
    <w:p>
      <w:pPr>
        <w:spacing w:after="160" w:line="288"/>
        <w:jc w:val="both"/>
      </w:pPr>
      <w:r>
        <w:rPr>
          <w:b w:val="false"/>
          <w:bCs w:val="false"/>
          <w:i w:val="false"/>
          <w:iCs w:val="false"/>
          <w:sz w:val="21"/>
          <w:szCs w:val="21"/>
        </w:rPr>
        <w:t xml:space="preserve"/>
      </w:r>
    </w:p>
    <w:p>
      <w:pPr>
        <w:pStyle w:val="Heading2"/>
      </w:pPr>
      <w:r>
        <w:t xml:space="preserve">C12. Complexité économique et structure productive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de complexité économique (ECI)</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eci</w:t>
            </w:r>
          </w:p>
        </w:tc>
        <w:tc>
          <w:tcPr>
            <w:tcW w:type="dxa" w:w="2754"/>
            <w:tcMar>
              <w:top w:type="dxa" w:w="24"/>
              <w:left w:type="dxa" w:w="70"/>
              <w:bottom w:type="dxa" w:w="24"/>
              <w:right w:type="dxa" w:w="70"/>
            </w:tcMar>
          </w:tcPr>
          <w:p>
            <w:pPr>
              <w:spacing w:after="0" w:line="200"/>
              <w:jc w:val="left"/>
            </w:pPr>
            <w:r>
              <w:rPr>
                <w:color w:val="000000"/>
                <w:sz w:val="15"/>
                <w:szCs w:val="15"/>
              </w:rPr>
              <w:t xml:space="preserve">Score standardisé</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Indice de perspectives de complexité (COI)</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coi</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standardisé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Part des produits de haute technologie dans les exportations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TX.VAL.TECH.MF.ZS</w:t>
            </w:r>
          </w:p>
        </w:tc>
        <w:tc>
          <w:tcPr>
            <w:tcW w:type="dxa" w:w="2754"/>
            <w:tcMar>
              <w:top w:type="dxa" w:w="24"/>
              <w:left w:type="dxa" w:w="70"/>
              <w:bottom w:type="dxa" w:w="24"/>
              <w:right w:type="dxa" w:w="70"/>
            </w:tcMar>
          </w:tcPr>
          <w:p>
            <w:pPr>
              <w:spacing w:after="0" w:line="200"/>
              <w:jc w:val="left"/>
            </w:pPr>
            <w:r>
              <w:rPr>
                <w:color w:val="000000"/>
                <w:sz w:val="15"/>
                <w:szCs w:val="15"/>
              </w:rPr>
              <w:t xml:space="preserve">% des exp. manuf.</w:t>
            </w:r>
          </w:p>
        </w:tc>
      </w:tr>
    </w:tbl>
    <w:p>
      <w:pPr>
        <w:spacing w:after="180" w:before="70"/>
      </w:pPr>
      <w:r>
        <w:rPr>
          <w:i/>
          <w:iCs/>
          <w:color w:val="5C6672"/>
          <w:sz w:val="16"/>
          <w:szCs w:val="16"/>
        </w:rPr>
        <w:t xml:space="preserve">Source : Harvard · Atlas, BM · WDI</w:t>
      </w:r>
    </w:p>
    <w:p>
      <w:pPr>
        <w:spacing w:after="160" w:line="288"/>
        <w:jc w:val="both"/>
      </w:pPr>
      <w:r>
        <w:rPr>
          <w:b w:val="false"/>
          <w:bCs w:val="false"/>
          <w:i w:val="false"/>
          <w:iCs w:val="false"/>
          <w:sz w:val="21"/>
          <w:szCs w:val="21"/>
        </w:rPr>
        <w:t xml:space="preserve"/>
      </w:r>
    </w:p>
    <w:p>
      <w:pPr>
        <w:pStyle w:val="Heading2"/>
      </w:pPr>
      <w:r>
        <w:t xml:space="preserve">C13. Gouvernance et climat des affaires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Efficacité des pouvoirs publics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GE.EST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Expression et responsabilité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VA.EST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Business Ready, pilier réglementaire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BREADY_REG</w:t>
            </w:r>
          </w:p>
        </w:tc>
        <w:tc>
          <w:tcPr>
            <w:tcW w:type="dxa" w:w="2754"/>
            <w:tcMar>
              <w:top w:type="dxa" w:w="24"/>
              <w:left w:type="dxa" w:w="70"/>
              <w:bottom w:type="dxa" w:w="24"/>
              <w:right w:type="dxa" w:w="70"/>
            </w:tcMar>
          </w:tcPr>
          <w:p>
            <w:pPr>
              <w:spacing w:after="0" w:line="200"/>
              <w:jc w:val="left"/>
            </w:pPr>
            <w:r>
              <w:rPr>
                <w:color w:val="000000"/>
                <w:sz w:val="15"/>
                <w:szCs w:val="15"/>
              </w:rPr>
              <w:t xml:space="preserve">Score 0-100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Maîtrise de la corruption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CC.EST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Note CPIA, gestion du secteur public</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IQ.CPA.PUBS.XQ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Note CPIA, gestion économique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IQ.CPA.ECON.XQ</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Note CPIA, transparence et corruption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IQ.CPA.TRAN.XQ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Qualité de la réglementation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RQ.EST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Stabilité politique et absence de violence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PV.EST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Temps consacré aux formalités fiscales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IC.TAX.DURS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Heures / an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État de droit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RL.EST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bl>
    <w:p>
      <w:pPr>
        <w:spacing w:after="180" w:before="70"/>
      </w:pPr>
      <w:r>
        <w:rPr>
          <w:i/>
          <w:iCs/>
          <w:color w:val="5C6672"/>
          <w:sz w:val="16"/>
          <w:szCs w:val="16"/>
        </w:rPr>
        <w:t xml:space="preserve">Source : BM · WGI, BM · B-READY, BM · WDI</w:t>
      </w:r>
    </w:p>
    <w:p>
      <w:pPr>
        <w:spacing w:after="160" w:line="288"/>
        <w:jc w:val="both"/>
      </w:pPr>
      <w:r>
        <w:rPr>
          <w:b w:val="false"/>
          <w:bCs w:val="false"/>
          <w:i w:val="false"/>
          <w:iCs w:val="false"/>
          <w:sz w:val="21"/>
          <w:szCs w:val="21"/>
        </w:rPr>
        <w:t xml:space="preserve"/>
      </w:r>
    </w:p>
    <w:p>
      <w:pPr>
        <w:pStyle w:val="Heading2"/>
      </w:pPr>
      <w:r>
        <w:t xml:space="preserve">C14. Énergie, environnement et agriculture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Indicateur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Code de collecte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Abonnements haut débit fixe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IT.NET.BBND.P2</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Abonnements à la téléphonie mobile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IT.CEL.SETS.P2</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100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Accès à l'électricité</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EG.ELC.ACCS.ZS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Consommation d'engrais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AG.CON.FERT.ZS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 ha de terres arables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Consommation d'électricité par habitant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EG.USE.ELEC.KH.PC</w:t>
            </w:r>
          </w:p>
        </w:tc>
        <w:tc>
          <w:tcPr>
            <w:tcW w:type="dxa" w:w="2754"/>
            <w:tcMar>
              <w:top w:type="dxa" w:w="24"/>
              <w:left w:type="dxa" w:w="70"/>
              <w:bottom w:type="dxa" w:w="24"/>
              <w:right w:type="dxa" w:w="70"/>
            </w:tcMar>
          </w:tcPr>
          <w:p>
            <w:pPr>
              <w:spacing w:after="0" w:line="200"/>
              <w:jc w:val="left"/>
            </w:pPr>
            <w:r>
              <w:rPr>
                <w:color w:val="000000"/>
                <w:sz w:val="15"/>
                <w:szCs w:val="15"/>
              </w:rPr>
              <w:t xml:space="preserve">kWh /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Consommation d'énergie primaire par habitant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EG.USE.PCAP.KG.OE</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équiv. pétrole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Exportations de produits agricoles bruts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TX.VAL.AGRI.ZS.UN</w:t>
            </w:r>
          </w:p>
        </w:tc>
        <w:tc>
          <w:tcPr>
            <w:tcW w:type="dxa" w:w="2754"/>
            <w:tcMar>
              <w:top w:type="dxa" w:w="24"/>
              <w:left w:type="dxa" w:w="70"/>
              <w:bottom w:type="dxa" w:w="24"/>
              <w:right w:type="dxa" w:w="70"/>
            </w:tcMar>
          </w:tcPr>
          <w:p>
            <w:pPr>
              <w:spacing w:after="0" w:line="200"/>
              <w:jc w:val="left"/>
            </w:pPr>
            <w:r>
              <w:rPr>
                <w:color w:val="000000"/>
                <w:sz w:val="15"/>
                <w:szCs w:val="15"/>
              </w:rPr>
              <w:t xml:space="preserve">% des exp. de march.</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Exportations de services TIC</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BX.GSR.CCIS.ZS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exp. de services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Exposition de la population aux particules fines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EN.ATM.PM25.MC.M3</w:t>
            </w:r>
          </w:p>
        </w:tc>
        <w:tc>
          <w:tcPr>
            <w:tcW w:type="dxa" w:w="2754"/>
            <w:tcMar>
              <w:top w:type="dxa" w:w="24"/>
              <w:left w:type="dxa" w:w="70"/>
              <w:bottom w:type="dxa" w:w="24"/>
              <w:right w:type="dxa" w:w="70"/>
            </w:tcMar>
          </w:tcPr>
          <w:p>
            <w:pPr>
              <w:spacing w:after="0" w:line="200"/>
              <w:jc w:val="left"/>
            </w:pPr>
            <w:r>
              <w:rPr>
                <w:color w:val="000000"/>
                <w:sz w:val="15"/>
                <w:szCs w:val="15"/>
              </w:rPr>
              <w:t xml:space="preserve">µg / m³</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Importations de produits alimentaires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TM.VAL.FOOD.ZS.UN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imp. de march.</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de performance logistique, score global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LP.LPI.OVRL.XQ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Indice de production alimentaire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AG.PRD.FOOD.XD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Indice de production animale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AG.PRD.LVSK.XD</w:t>
            </w:r>
          </w:p>
        </w:tc>
        <w:tc>
          <w:tcPr>
            <w:tcW w:type="dxa" w:w="2754"/>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Indice de production végétale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AG.PRD.CROP.XD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Intensité carbone du PIB</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EN.GHG.CO2.RT.GDP.PP.KD</w:t>
            </w:r>
          </w:p>
        </w:tc>
        <w:tc>
          <w:tcPr>
            <w:tcW w:type="dxa" w:w="2754"/>
            <w:tcMar>
              <w:top w:type="dxa" w:w="24"/>
              <w:left w:type="dxa" w:w="70"/>
              <w:bottom w:type="dxa" w:w="24"/>
              <w:right w:type="dxa" w:w="70"/>
            </w:tcMar>
          </w:tcPr>
          <w:p>
            <w:pPr>
              <w:spacing w:after="0" w:line="200"/>
              <w:jc w:val="left"/>
            </w:pPr>
            <w:r>
              <w:rPr>
                <w:color w:val="000000"/>
                <w:sz w:val="15"/>
                <w:szCs w:val="15"/>
              </w:rPr>
              <w:t xml:space="preserve">kg / USD PPA</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Intensité énergétique du PIB</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EG.EGY.PRIM.PP.KD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MJ / USD PPA 2017</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Part des énergies renouvelables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EG.FEC.RNEW.ZS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conso finale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Pertes de transport et distribution d'électricité</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EG.ELC.LOSS.ZS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production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Prélèvements annuels d'eau douce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ER.H2O.FWTL.ZS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ressources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Rendement céréalier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AG.YLD.CREL.KG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 hectare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Rentes minières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NY.GDP.MINR.RT.ZS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Rentes pétrolières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NY.GDP.PETR.RT.ZS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Rentes totales des ressources naturelles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NY.GDP.TOTL.RT.ZS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Superficie forestière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AG.LND.FRST.ZS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territoire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Terres agricoles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AG.LND.AGRI.ZS</w:t>
            </w:r>
          </w:p>
        </w:tc>
        <w:tc>
          <w:tcPr>
            <w:tcW w:type="dxa" w:w="2754"/>
            <w:tcMar>
              <w:top w:type="dxa" w:w="24"/>
              <w:left w:type="dxa" w:w="70"/>
              <w:bottom w:type="dxa" w:w="24"/>
              <w:right w:type="dxa" w:w="70"/>
            </w:tcMar>
          </w:tcPr>
          <w:p>
            <w:pPr>
              <w:spacing w:after="0" w:line="200"/>
              <w:jc w:val="left"/>
            </w:pPr>
            <w:r>
              <w:rPr>
                <w:color w:val="000000"/>
                <w:sz w:val="15"/>
                <w:szCs w:val="15"/>
              </w:rPr>
              <w:t xml:space="preserve">% du territoire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Terres arables par habitant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AG.LND.ARBL.HA.PC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Hectares /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Trafic de conteneurs portuaires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IS.SHP.GOOD.TU</w:t>
            </w:r>
          </w:p>
        </w:tc>
        <w:tc>
          <w:tcPr>
            <w:tcW w:type="dxa" w:w="2754"/>
            <w:tcMar>
              <w:top w:type="dxa" w:w="24"/>
              <w:left w:type="dxa" w:w="70"/>
              <w:bottom w:type="dxa" w:w="24"/>
              <w:right w:type="dxa" w:w="70"/>
            </w:tcMar>
          </w:tcPr>
          <w:p>
            <w:pPr>
              <w:spacing w:after="0" w:line="200"/>
              <w:jc w:val="left"/>
            </w:pPr>
            <w:r>
              <w:rPr>
                <w:color w:val="000000"/>
                <w:sz w:val="15"/>
                <w:szCs w:val="15"/>
              </w:rPr>
              <w:t xml:space="preserve">EVP</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Trafic de fret aérien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IS.AIR.GOOD.MT.K1</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Millions t-km</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Utilisateurs d'Internet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IT.NET.USER.ZS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Valeur ajoutée agricole par travailleur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NV.AGR.EMPL.KD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Émissions de CO2 par habitant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EN.GHG.CO2.PC.CE.AR5</w:t>
            </w:r>
          </w:p>
        </w:tc>
        <w:tc>
          <w:tcPr>
            <w:tcW w:type="dxa" w:w="2754"/>
            <w:tcMar>
              <w:top w:type="dxa" w:w="24"/>
              <w:left w:type="dxa" w:w="70"/>
              <w:bottom w:type="dxa" w:w="24"/>
              <w:right w:type="dxa" w:w="70"/>
            </w:tcMar>
          </w:tcPr>
          <w:p>
            <w:pPr>
              <w:spacing w:after="0" w:line="200"/>
              <w:jc w:val="left"/>
            </w:pPr>
            <w:r>
              <w:rPr>
                <w:color w:val="000000"/>
                <w:sz w:val="15"/>
                <w:szCs w:val="15"/>
              </w:rPr>
              <w:t xml:space="preserve">t équiv. CO2 /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Émissions totales de CO2</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EN.GHG.CO2.MT.CE.AR5</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Mt équiv. CO2</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Épargne nette ajustée hors dommages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NY.ADJ.SVNG.GN.ZS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bl>
    <w:p>
      <w:pPr>
        <w:spacing w:after="180" w:before="70"/>
      </w:pPr>
      <w:r>
        <w:rPr>
          <w:i/>
          <w:iCs/>
          <w:color w:val="5C6672"/>
          <w:sz w:val="16"/>
          <w:szCs w:val="16"/>
        </w:rPr>
        <w:t xml:space="preserve">Source : BM · WDI, BM · LPI</w:t>
      </w:r>
    </w:p>
    <w:p>
      <w:pPr>
        <w:spacing w:after="160" w:line="288"/>
        <w:jc w:val="both"/>
      </w:pPr>
      <w:r>
        <w:rPr>
          <w:b w:val="false"/>
          <w:bCs w:val="false"/>
          <w:i w:val="false"/>
          <w:iCs w:val="false"/>
          <w:sz w:val="21"/>
          <w:szCs w:val="21"/>
        </w:rPr>
        <w:t xml:space="preserve"/>
      </w:r>
    </w:p>
    <w:p>
      <w:pPr>
        <w:pStyle w:val="Heading2"/>
      </w:pPr>
      <w:r>
        <w:t xml:space="preserve">C15. Matières premières commodityPrice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1677"/>
        <w:gridCol w:w="3000"/>
        <w:gridCol w:w="1677"/>
      </w:tblGrid>
      <w:tr>
        <w:trPr>
          <w:tblHeader/>
        </w:trPr>
        <w:tc>
          <w:tcPr>
            <w:tcW w:type="dxa" w:w="3000"/>
            <w:shd w:fill="3A3A3A" w:color="auto" w:val="clear"/>
            <w:tcMar>
              <w:top w:type="dxa" w:w="24"/>
              <w:left w:type="dxa" w:w="70"/>
              <w:bottom w:type="dxa" w:w="24"/>
              <w:right w:type="dxa" w:w="70"/>
            </w:tcMar>
          </w:tcPr>
          <w:p>
            <w:pPr>
              <w:spacing w:after="0" w:line="200"/>
              <w:jc w:val="left"/>
            </w:pPr>
            <w:r>
              <w:rPr>
                <w:b/>
                <w:bCs/>
                <w:color w:val="FFFFFF"/>
                <w:sz w:val="14"/>
                <w:szCs w:val="14"/>
              </w:rPr>
              <w:t xml:space="preserve">Indicateur</w:t>
            </w:r>
          </w:p>
        </w:tc>
        <w:tc>
          <w:tcPr>
            <w:tcW w:type="dxa" w:w="1677"/>
            <w:shd w:fill="3A3A3A" w:color="auto" w:val="clear"/>
            <w:tcMar>
              <w:top w:type="dxa" w:w="24"/>
              <w:left w:type="dxa" w:w="70"/>
              <w:bottom w:type="dxa" w:w="24"/>
              <w:right w:type="dxa" w:w="70"/>
            </w:tcMar>
          </w:tcPr>
          <w:p>
            <w:pPr>
              <w:spacing w:after="0" w:line="200"/>
              <w:jc w:val="left"/>
            </w:pPr>
            <w:r>
              <w:rPr>
                <w:b/>
                <w:bCs/>
                <w:color w:val="FFFFFF"/>
                <w:sz w:val="14"/>
                <w:szCs w:val="14"/>
              </w:rPr>
              <w:t xml:space="preserve">Code de collecte</w:t>
            </w:r>
          </w:p>
        </w:tc>
        <w:tc>
          <w:tcPr>
            <w:tcW w:type="dxa" w:w="3000"/>
            <w:shd w:fill="3A3A3A" w:color="auto" w:val="clear"/>
            <w:tcMar>
              <w:top w:type="dxa" w:w="24"/>
              <w:left w:type="dxa" w:w="70"/>
              <w:bottom w:type="dxa" w:w="24"/>
              <w:right w:type="dxa" w:w="70"/>
            </w:tcMar>
          </w:tcPr>
          <w:p>
            <w:pPr>
              <w:spacing w:after="0" w:line="200"/>
              <w:jc w:val="left"/>
            </w:pPr>
            <w:r>
              <w:rPr>
                <w:b/>
                <w:bCs/>
                <w:color w:val="FFFFFF"/>
                <w:sz w:val="14"/>
                <w:szCs w:val="14"/>
              </w:rPr>
              <w:t xml:space="preserve">Indicateur</w:t>
            </w:r>
          </w:p>
        </w:tc>
        <w:tc>
          <w:tcPr>
            <w:tcW w:type="dxa" w:w="1677"/>
            <w:shd w:fill="3A3A3A" w:color="auto" w:val="clear"/>
            <w:tcMar>
              <w:top w:type="dxa" w:w="24"/>
              <w:left w:type="dxa" w:w="70"/>
              <w:bottom w:type="dxa" w:w="24"/>
              <w:right w:type="dxa" w:w="70"/>
            </w:tcMar>
          </w:tcPr>
          <w:p>
            <w:pPr>
              <w:spacing w:after="0" w:line="200"/>
              <w:jc w:val="left"/>
            </w:pPr>
            <w:r>
              <w:rPr>
                <w:b/>
                <w:bCs/>
                <w:color w:val="FFFFFF"/>
                <w:sz w:val="14"/>
                <w:szCs w:val="14"/>
              </w:rPr>
              <w:t xml:space="preserve">Code de collecte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Aluminium</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PALUM</w:t>
            </w:r>
          </w:p>
        </w:tc>
        <w:tc>
          <w:tcPr>
            <w:tcW w:type="dxa" w:w="3000"/>
            <w:tcMar>
              <w:top w:type="dxa" w:w="24"/>
              <w:left w:type="dxa" w:w="70"/>
              <w:bottom w:type="dxa" w:w="24"/>
              <w:right w:type="dxa" w:w="70"/>
            </w:tcMar>
          </w:tcPr>
          <w:p>
            <w:pPr>
              <w:spacing w:after="0" w:line="200"/>
              <w:jc w:val="left"/>
            </w:pPr>
            <w:r>
              <w:rPr>
                <w:color w:val="000000"/>
                <w:sz w:val="14"/>
                <w:szCs w:val="14"/>
              </w:rPr>
              <w:t xml:space="preserve">Indice du bois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PTIMB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Arachides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PGNUTS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du bois dur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PHARD</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Argent</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PSILVER</w:t>
            </w:r>
          </w:p>
        </w:tc>
        <w:tc>
          <w:tcPr>
            <w:tcW w:type="dxa" w:w="3000"/>
            <w:tcMar>
              <w:top w:type="dxa" w:w="24"/>
              <w:left w:type="dxa" w:w="70"/>
              <w:bottom w:type="dxa" w:w="24"/>
              <w:right w:type="dxa" w:w="70"/>
            </w:tcMar>
          </w:tcPr>
          <w:p>
            <w:pPr>
              <w:spacing w:after="0" w:line="200"/>
              <w:jc w:val="left"/>
            </w:pPr>
            <w:r>
              <w:rPr>
                <w:color w:val="000000"/>
                <w:sz w:val="14"/>
                <w:szCs w:val="14"/>
              </w:rPr>
              <w:t xml:space="preserve">Indice du café</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Avoine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POATS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du charbon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Bananes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PBANSOP</w:t>
            </w:r>
          </w:p>
        </w:tc>
        <w:tc>
          <w:tcPr>
            <w:tcW w:type="dxa" w:w="3000"/>
            <w:tcMar>
              <w:top w:type="dxa" w:w="24"/>
              <w:left w:type="dxa" w:w="70"/>
              <w:bottom w:type="dxa" w:w="24"/>
              <w:right w:type="dxa" w:w="70"/>
            </w:tcMar>
          </w:tcPr>
          <w:p>
            <w:pPr>
              <w:spacing w:after="0" w:line="200"/>
              <w:jc w:val="left"/>
            </w:pPr>
            <w:r>
              <w:rPr>
                <w:color w:val="000000"/>
                <w:sz w:val="14"/>
                <w:szCs w:val="14"/>
              </w:rPr>
              <w:t xml:space="preserve">Indice du gaz naturel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Blé</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PWHEAMT</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du sucre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Bois tendre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PSOFT</w:t>
            </w:r>
          </w:p>
        </w:tc>
        <w:tc>
          <w:tcPr>
            <w:tcW w:type="dxa" w:w="3000"/>
            <w:tcMar>
              <w:top w:type="dxa" w:w="24"/>
              <w:left w:type="dxa" w:w="70"/>
              <w:bottom w:type="dxa" w:w="24"/>
              <w:right w:type="dxa" w:w="70"/>
            </w:tcMar>
          </w:tcPr>
          <w:p>
            <w:pPr>
              <w:spacing w:after="0" w:line="200"/>
              <w:jc w:val="left"/>
            </w:pPr>
            <w:r>
              <w:rPr>
                <w:color w:val="000000"/>
                <w:sz w:val="14"/>
                <w:szCs w:val="14"/>
              </w:rPr>
              <w:t xml:space="preserve">Laine, fibre fine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Cacao</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PCOCO</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Laine, fibre grossière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PWOOLC</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Café, arabicas doux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PCOFFOTM</w:t>
            </w:r>
          </w:p>
        </w:tc>
        <w:tc>
          <w:tcPr>
            <w:tcW w:type="dxa" w:w="3000"/>
            <w:tcMar>
              <w:top w:type="dxa" w:w="24"/>
              <w:left w:type="dxa" w:w="70"/>
              <w:bottom w:type="dxa" w:w="24"/>
              <w:right w:type="dxa" w:w="70"/>
            </w:tcMar>
          </w:tcPr>
          <w:p>
            <w:pPr>
              <w:spacing w:after="0" w:line="200"/>
              <w:jc w:val="left"/>
            </w:pPr>
            <w:r>
              <w:rPr>
                <w:color w:val="000000"/>
                <w:sz w:val="14"/>
                <w:szCs w:val="14"/>
              </w:rPr>
              <w:t xml:space="preserve">Lait</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PMILK</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Café, robusta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PCOFFROB</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Lithium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PLITH</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Caoutchouc</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PRUBB</w:t>
            </w:r>
          </w:p>
        </w:tc>
        <w:tc>
          <w:tcPr>
            <w:tcW w:type="dxa" w:w="3000"/>
            <w:tcMar>
              <w:top w:type="dxa" w:w="24"/>
              <w:left w:type="dxa" w:w="70"/>
              <w:bottom w:type="dxa" w:w="24"/>
              <w:right w:type="dxa" w:w="70"/>
            </w:tcMar>
          </w:tcPr>
          <w:p>
            <w:pPr>
              <w:spacing w:after="0" w:line="200"/>
              <w:jc w:val="left"/>
            </w:pPr>
            <w:r>
              <w:rPr>
                <w:color w:val="000000"/>
                <w:sz w:val="14"/>
                <w:szCs w:val="14"/>
              </w:rPr>
              <w:t xml:space="preserve">Légumineuses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PCHANA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Charbon, Afrique du Sud</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PCOALSA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Manganèse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PMANGELE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Charbon, Australie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PCOALAU</w:t>
            </w:r>
          </w:p>
        </w:tc>
        <w:tc>
          <w:tcPr>
            <w:tcW w:type="dxa" w:w="3000"/>
            <w:tcMar>
              <w:top w:type="dxa" w:w="24"/>
              <w:left w:type="dxa" w:w="70"/>
              <w:bottom w:type="dxa" w:w="24"/>
              <w:right w:type="dxa" w:w="70"/>
            </w:tcMar>
          </w:tcPr>
          <w:p>
            <w:pPr>
              <w:spacing w:after="0" w:line="200"/>
              <w:jc w:val="left"/>
            </w:pPr>
            <w:r>
              <w:rPr>
                <w:color w:val="000000"/>
                <w:sz w:val="14"/>
                <w:szCs w:val="14"/>
              </w:rPr>
              <w:t xml:space="preserve">Maïs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PMAIZMT</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Chrome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PCHROM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Minerai de fer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PIORECR</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Cobalt</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PCOBA</w:t>
            </w:r>
          </w:p>
        </w:tc>
        <w:tc>
          <w:tcPr>
            <w:tcW w:type="dxa" w:w="3000"/>
            <w:tcMar>
              <w:top w:type="dxa" w:w="24"/>
              <w:left w:type="dxa" w:w="70"/>
              <w:bottom w:type="dxa" w:w="24"/>
              <w:right w:type="dxa" w:w="70"/>
            </w:tcMar>
          </w:tcPr>
          <w:p>
            <w:pPr>
              <w:spacing w:after="0" w:line="200"/>
              <w:jc w:val="left"/>
            </w:pPr>
            <w:r>
              <w:rPr>
                <w:color w:val="000000"/>
                <w:sz w:val="14"/>
                <w:szCs w:val="14"/>
              </w:rPr>
              <w:t xml:space="preserve">Molybdène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PLMMODY</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Coton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PCOTTIND</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Nickel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PNICK</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Crevettes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PSHRI</w:t>
            </w:r>
          </w:p>
        </w:tc>
        <w:tc>
          <w:tcPr>
            <w:tcW w:type="dxa" w:w="3000"/>
            <w:tcMar>
              <w:top w:type="dxa" w:w="24"/>
              <w:left w:type="dxa" w:w="70"/>
              <w:bottom w:type="dxa" w:w="24"/>
              <w:right w:type="dxa" w:w="70"/>
            </w:tcMar>
          </w:tcPr>
          <w:p>
            <w:pPr>
              <w:spacing w:after="0" w:line="200"/>
              <w:jc w:val="left"/>
            </w:pPr>
            <w:r>
              <w:rPr>
                <w:color w:val="000000"/>
                <w:sz w:val="14"/>
                <w:szCs w:val="14"/>
              </w:rPr>
              <w:t xml:space="preserve">Or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PGOLD</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Cuirs et peaux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PHIDE</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Oranges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PORANG</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Cuivre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PCOPP</w:t>
            </w:r>
          </w:p>
        </w:tc>
        <w:tc>
          <w:tcPr>
            <w:tcW w:type="dxa" w:w="3000"/>
            <w:tcMar>
              <w:top w:type="dxa" w:w="24"/>
              <w:left w:type="dxa" w:w="70"/>
              <w:bottom w:type="dxa" w:w="24"/>
              <w:right w:type="dxa" w:w="70"/>
            </w:tcMar>
          </w:tcPr>
          <w:p>
            <w:pPr>
              <w:spacing w:after="0" w:line="200"/>
              <w:jc w:val="left"/>
            </w:pPr>
            <w:r>
              <w:rPr>
                <w:color w:val="000000"/>
                <w:sz w:val="14"/>
                <w:szCs w:val="14"/>
              </w:rPr>
              <w:t xml:space="preserve">Orge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PBARL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Farine de poisson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PFSHMEAL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Palladium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PPALLA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Fruits hors agrumes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PAPPLE</w:t>
            </w:r>
          </w:p>
        </w:tc>
        <w:tc>
          <w:tcPr>
            <w:tcW w:type="dxa" w:w="3000"/>
            <w:tcMar>
              <w:top w:type="dxa" w:w="24"/>
              <w:left w:type="dxa" w:w="70"/>
              <w:bottom w:type="dxa" w:w="24"/>
              <w:right w:type="dxa" w:w="70"/>
            </w:tcMar>
          </w:tcPr>
          <w:p>
            <w:pPr>
              <w:spacing w:after="0" w:line="200"/>
              <w:jc w:val="left"/>
            </w:pPr>
            <w:r>
              <w:rPr>
                <w:color w:val="000000"/>
                <w:sz w:val="14"/>
                <w:szCs w:val="14"/>
              </w:rPr>
              <w:t xml:space="preserve">Phosphate diammonique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PDAP</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Gaz naturel, Europe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PNGASEU</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Platine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PPLAT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Gaz naturel, Japon</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PNGASJP</w:t>
            </w:r>
          </w:p>
        </w:tc>
        <w:tc>
          <w:tcPr>
            <w:tcW w:type="dxa" w:w="3000"/>
            <w:tcMar>
              <w:top w:type="dxa" w:w="24"/>
              <w:left w:type="dxa" w:w="70"/>
              <w:bottom w:type="dxa" w:w="24"/>
              <w:right w:type="dxa" w:w="70"/>
            </w:tcMar>
          </w:tcPr>
          <w:p>
            <w:pPr>
              <w:spacing w:after="0" w:line="200"/>
              <w:jc w:val="left"/>
            </w:pPr>
            <w:r>
              <w:rPr>
                <w:color w:val="000000"/>
                <w:sz w:val="14"/>
                <w:szCs w:val="14"/>
              </w:rPr>
              <w:t xml:space="preserve">Plomb</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PLEAD</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Gaz naturel, États-Unis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PNGASUS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Potasse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PPOTASH</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Grumes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PLOGORE</w:t>
            </w:r>
          </w:p>
        </w:tc>
        <w:tc>
          <w:tcPr>
            <w:tcW w:type="dxa" w:w="3000"/>
            <w:tcMar>
              <w:top w:type="dxa" w:w="24"/>
              <w:left w:type="dxa" w:w="70"/>
              <w:bottom w:type="dxa" w:w="24"/>
              <w:right w:type="dxa" w:w="70"/>
            </w:tcMar>
          </w:tcPr>
          <w:p>
            <w:pPr>
              <w:spacing w:after="0" w:line="200"/>
              <w:jc w:val="left"/>
            </w:pPr>
            <w:r>
              <w:rPr>
                <w:color w:val="000000"/>
                <w:sz w:val="14"/>
                <w:szCs w:val="14"/>
              </w:rPr>
              <w:t xml:space="preserve">Propane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PPROPANE</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Grumes, Cameroun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PLOGSK</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Pétrole brut, Brent</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POILBRE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Huile d'olive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POLVOIL</w:t>
            </w:r>
          </w:p>
        </w:tc>
        <w:tc>
          <w:tcPr>
            <w:tcW w:type="dxa" w:w="3000"/>
            <w:tcMar>
              <w:top w:type="dxa" w:w="24"/>
              <w:left w:type="dxa" w:w="70"/>
              <w:bottom w:type="dxa" w:w="24"/>
              <w:right w:type="dxa" w:w="70"/>
            </w:tcMar>
          </w:tcPr>
          <w:p>
            <w:pPr>
              <w:spacing w:after="0" w:line="200"/>
              <w:jc w:val="left"/>
            </w:pPr>
            <w:r>
              <w:rPr>
                <w:color w:val="000000"/>
                <w:sz w:val="14"/>
                <w:szCs w:val="14"/>
              </w:rPr>
              <w:t xml:space="preserve">Pétrole brut, Dubaï</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POILDUB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Huile de coco</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Pétrole brut, WTI</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POILWTI</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Huile de colza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PROIL</w:t>
            </w:r>
          </w:p>
        </w:tc>
        <w:tc>
          <w:tcPr>
            <w:tcW w:type="dxa" w:w="3000"/>
            <w:tcMar>
              <w:top w:type="dxa" w:w="24"/>
              <w:left w:type="dxa" w:w="70"/>
              <w:bottom w:type="dxa" w:w="24"/>
              <w:right w:type="dxa" w:w="70"/>
            </w:tcMar>
          </w:tcPr>
          <w:p>
            <w:pPr>
              <w:spacing w:after="0" w:line="200"/>
              <w:jc w:val="left"/>
            </w:pPr>
            <w:r>
              <w:rPr>
                <w:color w:val="000000"/>
                <w:sz w:val="14"/>
                <w:szCs w:val="14"/>
              </w:rPr>
              <w:t xml:space="preserve">Pétrole brut, moyenne des trois places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POILAPSP</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Huile de palme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Riz</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PRICENPQ</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Huile de soja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PSOIL</w:t>
            </w:r>
          </w:p>
        </w:tc>
        <w:tc>
          <w:tcPr>
            <w:tcW w:type="dxa" w:w="3000"/>
            <w:tcMar>
              <w:top w:type="dxa" w:w="24"/>
              <w:left w:type="dxa" w:w="70"/>
              <w:bottom w:type="dxa" w:w="24"/>
              <w:right w:type="dxa" w:w="70"/>
            </w:tcMar>
          </w:tcPr>
          <w:p>
            <w:pPr>
              <w:spacing w:after="0" w:line="200"/>
              <w:jc w:val="left"/>
            </w:pPr>
            <w:r>
              <w:rPr>
                <w:color w:val="000000"/>
                <w:sz w:val="14"/>
                <w:szCs w:val="14"/>
              </w:rPr>
              <w:t xml:space="preserve">Saumon</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PSALM</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Huile de tournesol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PSUNO</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Sciages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PSAWORE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alimentaire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PFOOD</w:t>
            </w:r>
          </w:p>
        </w:tc>
        <w:tc>
          <w:tcPr>
            <w:tcW w:type="dxa" w:w="3000"/>
            <w:tcMar>
              <w:top w:type="dxa" w:w="24"/>
              <w:left w:type="dxa" w:w="70"/>
              <w:bottom w:type="dxa" w:w="24"/>
              <w:right w:type="dxa" w:w="70"/>
            </w:tcMar>
          </w:tcPr>
          <w:p>
            <w:pPr>
              <w:spacing w:after="0" w:line="200"/>
              <w:jc w:val="left"/>
            </w:pPr>
            <w:r>
              <w:rPr>
                <w:color w:val="000000"/>
                <w:sz w:val="14"/>
                <w:szCs w:val="14"/>
              </w:rPr>
              <w:t xml:space="preserve">Sciages, Malaisie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PSAWMAL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alimentation et boissons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PFANDB</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Silicium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PSILLUMP</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 la laine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w:t>
            </w:r>
          </w:p>
        </w:tc>
        <w:tc>
          <w:tcPr>
            <w:tcW w:type="dxa" w:w="3000"/>
            <w:tcMar>
              <w:top w:type="dxa" w:w="24"/>
              <w:left w:type="dxa" w:w="70"/>
              <w:bottom w:type="dxa" w:w="24"/>
              <w:right w:type="dxa" w:w="70"/>
            </w:tcMar>
          </w:tcPr>
          <w:p>
            <w:pPr>
              <w:spacing w:after="0" w:line="200"/>
              <w:jc w:val="left"/>
            </w:pPr>
            <w:r>
              <w:rPr>
                <w:color w:val="000000"/>
                <w:sz w:val="14"/>
                <w:szCs w:val="14"/>
              </w:rPr>
              <w:t xml:space="preserve">Soja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PSOYB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 tous les métaux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PALLMETA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Sorgho</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PSORG</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 tous les produits de base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PALLFNF</w:t>
            </w:r>
          </w:p>
        </w:tc>
        <w:tc>
          <w:tcPr>
            <w:tcW w:type="dxa" w:w="3000"/>
            <w:tcMar>
              <w:top w:type="dxa" w:w="24"/>
              <w:left w:type="dxa" w:w="70"/>
              <w:bottom w:type="dxa" w:w="24"/>
              <w:right w:type="dxa" w:w="70"/>
            </w:tcMar>
          </w:tcPr>
          <w:p>
            <w:pPr>
              <w:spacing w:after="0" w:line="200"/>
              <w:jc w:val="left"/>
            </w:pPr>
            <w:r>
              <w:rPr>
                <w:color w:val="000000"/>
                <w:sz w:val="14"/>
                <w:szCs w:val="14"/>
              </w:rPr>
              <w:t xml:space="preserve">Sucre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PSUGAISA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 tous les produits hors or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PEXGALL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Sucre, États-Unis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PSUGAUSA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boissons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PBEVE</w:t>
            </w:r>
          </w:p>
        </w:tc>
        <w:tc>
          <w:tcPr>
            <w:tcW w:type="dxa" w:w="3000"/>
            <w:tcMar>
              <w:top w:type="dxa" w:w="24"/>
              <w:left w:type="dxa" w:w="70"/>
              <w:bottom w:type="dxa" w:w="24"/>
              <w:right w:type="dxa" w:w="70"/>
            </w:tcMar>
          </w:tcPr>
          <w:p>
            <w:pPr>
              <w:spacing w:after="0" w:line="200"/>
              <w:jc w:val="left"/>
            </w:pPr>
            <w:r>
              <w:rPr>
                <w:color w:val="000000"/>
                <w:sz w:val="14"/>
                <w:szCs w:val="14"/>
              </w:rPr>
              <w:t xml:space="preserve">Terres rares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PREODOM</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céréales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PCERE</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Thé</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engrais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PFERT</w:t>
            </w:r>
          </w:p>
        </w:tc>
        <w:tc>
          <w:tcPr>
            <w:tcW w:type="dxa" w:w="3000"/>
            <w:tcMar>
              <w:top w:type="dxa" w:w="24"/>
              <w:left w:type="dxa" w:w="70"/>
              <w:bottom w:type="dxa" w:w="24"/>
              <w:right w:type="dxa" w:w="70"/>
            </w:tcMar>
          </w:tcPr>
          <w:p>
            <w:pPr>
              <w:spacing w:after="0" w:line="200"/>
              <w:jc w:val="left"/>
            </w:pPr>
            <w:r>
              <w:rPr>
                <w:color w:val="000000"/>
                <w:sz w:val="14"/>
                <w:szCs w:val="14"/>
              </w:rPr>
              <w:t xml:space="preserve">Thé, Inde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PTEAINDIA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huiles végétales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PVOIL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Thé, Mombasa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PTEAMOM</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matières industrielles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PINDU</w:t>
            </w:r>
          </w:p>
        </w:tc>
        <w:tc>
          <w:tcPr>
            <w:tcW w:type="dxa" w:w="3000"/>
            <w:tcMar>
              <w:top w:type="dxa" w:w="24"/>
              <w:left w:type="dxa" w:w="70"/>
              <w:bottom w:type="dxa" w:w="24"/>
              <w:right w:type="dxa" w:w="70"/>
            </w:tcMar>
          </w:tcPr>
          <w:p>
            <w:pPr>
              <w:spacing w:after="0" w:line="200"/>
              <w:jc w:val="left"/>
            </w:pPr>
            <w:r>
              <w:rPr>
                <w:color w:val="000000"/>
                <w:sz w:val="14"/>
                <w:szCs w:val="14"/>
              </w:rPr>
              <w:t xml:space="preserve">Thé, Sri Lanka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PTEASL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matières premières agricoles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PRAWM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Tomates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PTOMATO</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métaux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PMETA</w:t>
            </w:r>
          </w:p>
        </w:tc>
        <w:tc>
          <w:tcPr>
            <w:tcW w:type="dxa" w:w="3000"/>
            <w:tcMar>
              <w:top w:type="dxa" w:w="24"/>
              <w:left w:type="dxa" w:w="70"/>
              <w:bottom w:type="dxa" w:w="24"/>
              <w:right w:type="dxa" w:w="70"/>
            </w:tcMar>
          </w:tcPr>
          <w:p>
            <w:pPr>
              <w:spacing w:after="0" w:line="200"/>
              <w:jc w:val="left"/>
            </w:pPr>
            <w:r>
              <w:rPr>
                <w:color w:val="000000"/>
                <w:sz w:val="14"/>
                <w:szCs w:val="14"/>
              </w:rPr>
              <w:t xml:space="preserve">Tourteau de soja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PSMEA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métaux de la transition énergétique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PENTM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Uranium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PURAN</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métaux hors or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PEXGMETA</w:t>
            </w:r>
          </w:p>
        </w:tc>
        <w:tc>
          <w:tcPr>
            <w:tcW w:type="dxa" w:w="3000"/>
            <w:tcMar>
              <w:top w:type="dxa" w:w="24"/>
              <w:left w:type="dxa" w:w="70"/>
              <w:bottom w:type="dxa" w:w="24"/>
              <w:right w:type="dxa" w:w="70"/>
            </w:tcMar>
          </w:tcPr>
          <w:p>
            <w:pPr>
              <w:spacing w:after="0" w:line="200"/>
              <w:jc w:val="left"/>
            </w:pPr>
            <w:r>
              <w:rPr>
                <w:color w:val="000000"/>
                <w:sz w:val="14"/>
                <w:szCs w:val="14"/>
              </w:rPr>
              <w:t xml:space="preserve">Urée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PUREA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métaux précieux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PPMETA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Vanadium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PVANPENT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produits agricoles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PAGRI</w:t>
            </w:r>
          </w:p>
        </w:tc>
        <w:tc>
          <w:tcPr>
            <w:tcW w:type="dxa" w:w="3000"/>
            <w:tcMar>
              <w:top w:type="dxa" w:w="24"/>
              <w:left w:type="dxa" w:w="70"/>
              <w:bottom w:type="dxa" w:w="24"/>
              <w:right w:type="dxa" w:w="70"/>
            </w:tcMar>
          </w:tcPr>
          <w:p>
            <w:pPr>
              <w:spacing w:after="0" w:line="200"/>
              <w:jc w:val="left"/>
            </w:pPr>
            <w:r>
              <w:rPr>
                <w:color w:val="000000"/>
                <w:sz w:val="14"/>
                <w:szCs w:val="14"/>
              </w:rPr>
              <w:t xml:space="preserve">Viande bovine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PBEEF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produits de la mer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PSEAF</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Viande ovine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PLAMB</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produits hors combustibles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PNFUEL</w:t>
            </w:r>
          </w:p>
        </w:tc>
        <w:tc>
          <w:tcPr>
            <w:tcW w:type="dxa" w:w="3000"/>
            <w:tcMar>
              <w:top w:type="dxa" w:w="24"/>
              <w:left w:type="dxa" w:w="70"/>
              <w:bottom w:type="dxa" w:w="24"/>
              <w:right w:type="dxa" w:w="70"/>
            </w:tcMar>
          </w:tcPr>
          <w:p>
            <w:pPr>
              <w:spacing w:after="0" w:line="200"/>
              <w:jc w:val="left"/>
            </w:pPr>
            <w:r>
              <w:rPr>
                <w:color w:val="000000"/>
                <w:sz w:val="14"/>
                <w:szCs w:val="14"/>
              </w:rPr>
              <w:t xml:space="preserve">Viande porcine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PPORK</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produits énergétiques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PNRG</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Volaille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PPOULT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Indice des produits, pays à revenu faible et intermédiaire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LMICS</w:t>
            </w:r>
          </w:p>
        </w:tc>
        <w:tc>
          <w:tcPr>
            <w:tcW w:type="dxa" w:w="3000"/>
            <w:tcMar>
              <w:top w:type="dxa" w:w="24"/>
              <w:left w:type="dxa" w:w="70"/>
              <w:bottom w:type="dxa" w:w="24"/>
              <w:right w:type="dxa" w:w="70"/>
            </w:tcMar>
          </w:tcPr>
          <w:p>
            <w:pPr>
              <w:spacing w:after="0" w:line="200"/>
              <w:jc w:val="left"/>
            </w:pPr>
            <w:r>
              <w:rPr>
                <w:color w:val="000000"/>
                <w:sz w:val="14"/>
                <w:szCs w:val="14"/>
              </w:rPr>
              <w:t xml:space="preserve">Zinc</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PZINC</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Indice des viandes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PMEAT</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Étain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PTIN</w:t>
            </w:r>
          </w:p>
        </w:tc>
      </w:tr>
    </w:tbl>
    <w:p>
      <w:pPr>
        <w:spacing w:after="180" w:before="70"/>
      </w:pPr>
      <w:r>
        <w:rPr>
          <w:i/>
          <w:iCs/>
          <w:color w:val="5C6672"/>
          <w:sz w:val="16"/>
          <w:szCs w:val="16"/>
        </w:rPr>
        <w:t xml:space="preserve">Source : Fichier PCPS</w:t>
      </w:r>
    </w:p>
    <w:p>
      <w:pPr>
        <w:spacing w:after="16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Annexe B</w:t>
      </w:r>
    </w:p>
    <w:p>
      <w:pPr>
        <w:pStyle w:val="Heading1"/>
        <w:spacing w:after="260" w:before="0"/>
      </w:pPr>
      <w:r>
        <w:t xml:space="preserve">Référentiel des fréquences</w:t>
      </w:r>
    </w:p>
    <w:p>
      <w:pPr>
        <w:spacing w:after="140" w:line="288"/>
        <w:jc w:val="both"/>
      </w:pPr>
      <w:r>
        <w:rPr>
          <w:b w:val="false"/>
          <w:bCs w:val="false"/>
          <w:i w:val="false"/>
          <w:iCs w:val="false"/>
          <w:sz w:val="21"/>
          <w:szCs w:val="21"/>
        </w:rPr>
        <w:t xml:space="preserve">Le schéma de la base reconnaît sept pas. Tous ne sont pas alimentés.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Code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Libellé</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Alimentée aujourd'hui</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w:t>
            </w:r>
          </w:p>
        </w:tc>
        <w:tc>
          <w:tcPr>
            <w:tcW w:type="dxa" w:w="3500"/>
            <w:tcMar>
              <w:top w:type="dxa" w:w="60"/>
              <w:left w:type="dxa" w:w="90"/>
              <w:bottom w:type="dxa" w:w="60"/>
              <w:right w:type="dxa" w:w="90"/>
            </w:tcMar>
          </w:tcPr>
          <w:p>
            <w:pPr>
              <w:spacing w:after="0" w:line="240"/>
              <w:jc w:val="left"/>
            </w:pPr>
            <w:r>
              <w:rPr>
                <w:color w:val="000000"/>
                <w:sz w:val="18"/>
                <w:szCs w:val="18"/>
              </w:rPr>
              <w:t xml:space="preserve">Annuelle</w:t>
            </w:r>
          </w:p>
        </w:tc>
        <w:tc>
          <w:tcPr>
            <w:tcW w:type="dxa" w:w="3354"/>
            <w:tcMar>
              <w:top w:type="dxa" w:w="60"/>
              <w:left w:type="dxa" w:w="90"/>
              <w:bottom w:type="dxa" w:w="60"/>
              <w:right w:type="dxa" w:w="90"/>
            </w:tcMar>
          </w:tcPr>
          <w:p>
            <w:pPr>
              <w:spacing w:after="0" w:line="240"/>
              <w:jc w:val="left"/>
            </w:pPr>
            <w:r>
              <w:rPr>
                <w:color w:val="000000"/>
                <w:sz w:val="18"/>
                <w:szCs w:val="18"/>
              </w:rPr>
              <w:t xml:space="preserve">Oui, majorité du catalogue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S</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Semestrielle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Non</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T</w:t>
            </w:r>
          </w:p>
        </w:tc>
        <w:tc>
          <w:tcPr>
            <w:tcW w:type="dxa" w:w="3500"/>
            <w:tcMar>
              <w:top w:type="dxa" w:w="60"/>
              <w:left w:type="dxa" w:w="90"/>
              <w:bottom w:type="dxa" w:w="60"/>
              <w:right w:type="dxa" w:w="90"/>
            </w:tcMar>
          </w:tcPr>
          <w:p>
            <w:pPr>
              <w:spacing w:after="0" w:line="240"/>
              <w:jc w:val="left"/>
            </w:pPr>
            <w:r>
              <w:rPr>
                <w:color w:val="000000"/>
                <w:sz w:val="18"/>
                <w:szCs w:val="18"/>
              </w:rPr>
              <w:t xml:space="preserve">Trimestrielle</w:t>
            </w:r>
          </w:p>
        </w:tc>
        <w:tc>
          <w:tcPr>
            <w:tcW w:type="dxa" w:w="3354"/>
            <w:tcMar>
              <w:top w:type="dxa" w:w="60"/>
              <w:left w:type="dxa" w:w="90"/>
              <w:bottom w:type="dxa" w:w="60"/>
              <w:right w:type="dxa" w:w="90"/>
            </w:tcMar>
          </w:tcPr>
          <w:p>
            <w:pPr>
              <w:spacing w:after="0" w:line="240"/>
              <w:jc w:val="left"/>
            </w:pPr>
            <w:r>
              <w:rPr>
                <w:color w:val="000000"/>
                <w:sz w:val="18"/>
                <w:szCs w:val="18"/>
              </w:rPr>
              <w:t xml:space="preserve">Non</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M</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Mensuelle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Oui, cours de produits de base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H</w:t>
            </w:r>
          </w:p>
        </w:tc>
        <w:tc>
          <w:tcPr>
            <w:tcW w:type="dxa" w:w="3500"/>
            <w:tcMar>
              <w:top w:type="dxa" w:w="60"/>
              <w:left w:type="dxa" w:w="90"/>
              <w:bottom w:type="dxa" w:w="60"/>
              <w:right w:type="dxa" w:w="90"/>
            </w:tcMar>
          </w:tcPr>
          <w:p>
            <w:pPr>
              <w:spacing w:after="0" w:line="240"/>
              <w:jc w:val="left"/>
            </w:pPr>
            <w:r>
              <w:rPr>
                <w:color w:val="000000"/>
                <w:sz w:val="18"/>
                <w:szCs w:val="18"/>
              </w:rPr>
              <w:t xml:space="preserve">Hebdomadaire</w:t>
            </w:r>
          </w:p>
        </w:tc>
        <w:tc>
          <w:tcPr>
            <w:tcW w:type="dxa" w:w="3354"/>
            <w:tcMar>
              <w:top w:type="dxa" w:w="60"/>
              <w:left w:type="dxa" w:w="90"/>
              <w:bottom w:type="dxa" w:w="60"/>
              <w:right w:type="dxa" w:w="90"/>
            </w:tcMar>
          </w:tcPr>
          <w:p>
            <w:pPr>
              <w:spacing w:after="0" w:line="240"/>
              <w:jc w:val="left"/>
            </w:pPr>
            <w:r>
              <w:rPr>
                <w:color w:val="000000"/>
                <w:sz w:val="18"/>
                <w:szCs w:val="18"/>
              </w:rPr>
              <w:t xml:space="preserve">Non</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J</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Journalière</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Non</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I</w:t>
            </w:r>
          </w:p>
        </w:tc>
        <w:tc>
          <w:tcPr>
            <w:tcW w:type="dxa" w:w="3500"/>
            <w:tcMar>
              <w:top w:type="dxa" w:w="60"/>
              <w:left w:type="dxa" w:w="90"/>
              <w:bottom w:type="dxa" w:w="60"/>
              <w:right w:type="dxa" w:w="90"/>
            </w:tcMar>
          </w:tcPr>
          <w:p>
            <w:pPr>
              <w:spacing w:after="0" w:line="240"/>
              <w:jc w:val="left"/>
            </w:pPr>
            <w:r>
              <w:rPr>
                <w:color w:val="000000"/>
                <w:sz w:val="18"/>
                <w:szCs w:val="18"/>
              </w:rPr>
              <w:t xml:space="preserve">Intrajournalière</w:t>
            </w:r>
          </w:p>
        </w:tc>
        <w:tc>
          <w:tcPr>
            <w:tcW w:type="dxa" w:w="3354"/>
            <w:tcMar>
              <w:top w:type="dxa" w:w="60"/>
              <w:left w:type="dxa" w:w="90"/>
              <w:bottom w:type="dxa" w:w="60"/>
              <w:right w:type="dxa" w:w="90"/>
            </w:tcMar>
          </w:tcPr>
          <w:p>
            <w:pPr>
              <w:spacing w:after="0" w:line="240"/>
              <w:jc w:val="left"/>
            </w:pPr>
            <w:r>
              <w:rPr>
                <w:color w:val="000000"/>
                <w:sz w:val="18"/>
                <w:szCs w:val="18"/>
              </w:rPr>
              <w:t xml:space="preserve">Non</w:t>
            </w:r>
          </w:p>
        </w:tc>
      </w:tr>
    </w:tbl>
    <w:p>
      <w:pPr>
        <w:spacing w:after="220" w:before="90"/>
        <w:jc w:val="center"/>
      </w:pPr>
      <w:r>
        <w:rPr>
          <w:i/>
          <w:iCs/>
          <w:color w:val="5C6672"/>
          <w:sz w:val="17"/>
          <w:szCs w:val="17"/>
        </w:rPr>
        <w:t xml:space="preserve">Table 9. Fréquences reconnues</w:t>
      </w:r>
    </w:p>
    <w:p>
      <w:pPr>
        <w:spacing w:after="140" w:line="288"/>
        <w:jc w:val="both"/>
      </w:pPr>
      <w:r>
        <w:rPr>
          <w:b w:val="false"/>
          <w:bCs w:val="false"/>
          <w:i w:val="false"/>
          <w:iCs w:val="false"/>
          <w:sz w:val="21"/>
          <w:szCs w:val="21"/>
        </w:rPr>
        <w:t xml:space="preserve">Les pas non alimentés ne sont jamais proposés dans le filtre. Le jour où une source les alimentera, ils apparaîtront sans qu'aucune ligne d'interface soit à modifier.</w:t>
      </w:r>
    </w:p>
    <w:p>
      <w:pPr>
        <w:spacing w:after="120" w:before="0"/>
      </w:pPr>
      <w:r>
        <w:rPr>
          <w:color w:val="000000"/>
          <w:sz w:val="26"/>
          <w:szCs w:val="26"/>
        </w:rPr>
        <w:t xml:space="preserve">Annexe C</w:t>
      </w:r>
    </w:p>
    <w:p>
      <w:pPr>
        <w:pStyle w:val="Heading1"/>
        <w:spacing w:after="260" w:before="0"/>
      </w:pPr>
      <w:r>
        <w:t xml:space="preserve">Glossaire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Terme</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Définition</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Agrégat</w:t>
            </w:r>
          </w:p>
        </w:tc>
        <w:tc>
          <w:tcPr>
            <w:tcW w:type="dxa" w:w="6254"/>
            <w:tcMar>
              <w:top w:type="dxa" w:w="60"/>
              <w:left w:type="dxa" w:w="90"/>
              <w:bottom w:type="dxa" w:w="60"/>
              <w:right w:type="dxa" w:w="90"/>
            </w:tcMar>
          </w:tcPr>
          <w:p>
            <w:pPr>
              <w:spacing w:after="0" w:line="240"/>
              <w:jc w:val="left"/>
            </w:pPr>
            <w:r>
              <w:rPr>
                <w:color w:val="000000"/>
                <w:sz w:val="18"/>
                <w:szCs w:val="18"/>
              </w:rPr>
              <w:t xml:space="preserve">Regroupement de pays publié par le fournisseur : le monde, une région, un groupe de revenu. Exclu des cartes et des classements.</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Base 100</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Transformation ramenant chaque série à cent à sa première observation, pour comparer des évolutions relatives.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Catégorie</w:t>
            </w:r>
          </w:p>
        </w:tc>
        <w:tc>
          <w:tcPr>
            <w:tcW w:type="dxa" w:w="6254"/>
            <w:tcMar>
              <w:top w:type="dxa" w:w="60"/>
              <w:left w:type="dxa" w:w="90"/>
              <w:bottom w:type="dxa" w:w="60"/>
              <w:right w:type="dxa" w:w="90"/>
            </w:tcMar>
          </w:tcPr>
          <w:p>
            <w:pPr>
              <w:spacing w:after="0" w:line="240"/>
              <w:jc w:val="left"/>
            </w:pPr>
            <w:r>
              <w:rPr>
                <w:color w:val="000000"/>
                <w:sz w:val="18"/>
                <w:szCs w:val="18"/>
              </w:rPr>
              <w:t xml:space="preserve">L'un des quatorze regroupements thématiques d'indicateurs.</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Code de collecte</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Identifiant de la série auprès de son fournisseur. Ne doit pas être modifié.</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Collecte</w:t>
            </w:r>
          </w:p>
        </w:tc>
        <w:tc>
          <w:tcPr>
            <w:tcW w:type="dxa" w:w="6254"/>
            <w:tcMar>
              <w:top w:type="dxa" w:w="60"/>
              <w:left w:type="dxa" w:w="90"/>
              <w:bottom w:type="dxa" w:w="60"/>
              <w:right w:type="dxa" w:w="90"/>
            </w:tcMar>
          </w:tcPr>
          <w:p>
            <w:pPr>
              <w:spacing w:after="0" w:line="240"/>
              <w:jc w:val="left"/>
            </w:pPr>
            <w:r>
              <w:rPr>
                <w:color w:val="000000"/>
                <w:sz w:val="18"/>
                <w:szCs w:val="18"/>
              </w:rPr>
              <w:t xml:space="preserve">Exécution des connecteurs vers les fournisseurs, suivie de l'écriture en base.</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Connecteur</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Composant chargé d'interroger un fournisseur et de normaliser sa réponse.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Fréquence</w:t>
            </w:r>
          </w:p>
        </w:tc>
        <w:tc>
          <w:tcPr>
            <w:tcW w:type="dxa" w:w="6254"/>
            <w:tcMar>
              <w:top w:type="dxa" w:w="60"/>
              <w:left w:type="dxa" w:w="90"/>
              <w:bottom w:type="dxa" w:w="60"/>
              <w:right w:type="dxa" w:w="90"/>
            </w:tcMar>
          </w:tcPr>
          <w:p>
            <w:pPr>
              <w:spacing w:after="0" w:line="240"/>
              <w:jc w:val="left"/>
            </w:pPr>
            <w:r>
              <w:rPr>
                <w:color w:val="000000"/>
                <w:sz w:val="18"/>
                <w:szCs w:val="18"/>
              </w:rPr>
              <w:t xml:space="preserve">Pas temporel d'une série : annuelle, trimestrielle, mensuelle.</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Journal de collecte</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Registre horodaté de chaque exécution, avec son statut et ses erreurs.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Observation</w:t>
            </w:r>
          </w:p>
        </w:tc>
        <w:tc>
          <w:tcPr>
            <w:tcW w:type="dxa" w:w="6254"/>
            <w:tcMar>
              <w:top w:type="dxa" w:w="60"/>
              <w:left w:type="dxa" w:w="90"/>
              <w:bottom w:type="dxa" w:w="60"/>
              <w:right w:type="dxa" w:w="90"/>
            </w:tcMar>
          </w:tcPr>
          <w:p>
            <w:pPr>
              <w:spacing w:after="0" w:line="240"/>
              <w:jc w:val="left"/>
            </w:pPr>
            <w:r>
              <w:rPr>
                <w:color w:val="000000"/>
                <w:sz w:val="18"/>
                <w:szCs w:val="18"/>
              </w:rPr>
              <w:t xml:space="preserve">Une valeur, pour un indicateur, un pays, une fréquence et une période.</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Projection</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Prolongement statistique de la série observée, sans hypothèse économique.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Série</w:t>
            </w:r>
          </w:p>
        </w:tc>
        <w:tc>
          <w:tcPr>
            <w:tcW w:type="dxa" w:w="6254"/>
            <w:tcMar>
              <w:top w:type="dxa" w:w="60"/>
              <w:left w:type="dxa" w:w="90"/>
              <w:bottom w:type="dxa" w:w="60"/>
              <w:right w:type="dxa" w:w="90"/>
            </w:tcMar>
          </w:tcPr>
          <w:p>
            <w:pPr>
              <w:spacing w:after="0" w:line="240"/>
              <w:jc w:val="left"/>
            </w:pPr>
            <w:r>
              <w:rPr>
                <w:color w:val="000000"/>
                <w:sz w:val="18"/>
                <w:szCs w:val="18"/>
              </w:rPr>
              <w:t xml:space="preserve">Un indicateur, une fréquence et un ensemble de pays, affichés ensemble.</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Série lacunaire</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Série dont des périodes sont manquantes, tracée en pointillés.</w:t>
            </w:r>
          </w:p>
        </w:tc>
      </w:tr>
    </w:tbl>
    <w:p>
      <w:pPr>
        <w:spacing w:after="220" w:before="90"/>
        <w:jc w:val="center"/>
      </w:pPr>
      <w:r>
        <w:rPr>
          <w:i/>
          <w:iCs/>
          <w:color w:val="5C6672"/>
          <w:sz w:val="17"/>
          <w:szCs w:val="17"/>
        </w:rPr>
        <w:t xml:space="preserve">Table 10. Termes employés dans ce manuel</w:t>
      </w:r>
    </w:p>
    <w:p>
      <w:pPr>
        <w:spacing w:after="120" w:before="0"/>
      </w:pPr>
      <w:r>
        <w:rPr>
          <w:color w:val="000000"/>
          <w:sz w:val="26"/>
          <w:szCs w:val="26"/>
        </w:rPr>
        <w:t xml:space="preserve">Annexe D</w:t>
      </w:r>
    </w:p>
    <w:p>
      <w:pPr>
        <w:pStyle w:val="Heading1"/>
        <w:spacing w:after="260" w:before="0"/>
      </w:pPr>
      <w:r>
        <w:t xml:space="preserve">Références</w:t>
      </w:r>
    </w:p>
    <w:p>
      <w:pPr>
        <w:pStyle w:val="ListParagraph"/>
        <w:numPr>
          <w:ilvl w:val="0"/>
          <w:numId w:val="3"/>
        </w:numPr>
        <w:spacing w:after="90" w:line="288"/>
        <w:jc w:val="both"/>
      </w:pPr>
      <w:r>
        <w:rPr>
          <w:sz w:val="21"/>
          <w:szCs w:val="21"/>
        </w:rPr>
        <w:t xml:space="preserve">Banque mondiale, World Development Indicators, base de données des indicateurs du développement dans le monde.</w:t>
      </w:r>
    </w:p>
    <w:p>
      <w:pPr>
        <w:pStyle w:val="ListParagraph"/>
        <w:numPr>
          <w:ilvl w:val="0"/>
          <w:numId w:val="3"/>
        </w:numPr>
        <w:spacing w:after="90" w:line="288"/>
        <w:jc w:val="both"/>
      </w:pPr>
      <w:r>
        <w:rPr>
          <w:sz w:val="21"/>
          <w:szCs w:val="21"/>
        </w:rPr>
        <w:t xml:space="preserve">Banque mondiale, Commodity Markets Outlook et Pink Sheet, cours mensuels des produits de base.</w:t>
      </w:r>
    </w:p>
    <w:p>
      <w:pPr>
        <w:pStyle w:val="ListParagraph"/>
        <w:numPr>
          <w:ilvl w:val="0"/>
          <w:numId w:val="3"/>
        </w:numPr>
        <w:spacing w:after="90" w:line="288"/>
        <w:jc w:val="both"/>
      </w:pPr>
      <w:r>
        <w:rPr>
          <w:sz w:val="21"/>
          <w:szCs w:val="21"/>
        </w:rPr>
        <w:t xml:space="preserve">Fonds monétaire international, World Economic Outlook, base des Perspectives de l'économie mondiale.</w:t>
      </w:r>
    </w:p>
    <w:p>
      <w:pPr>
        <w:pStyle w:val="ListParagraph"/>
        <w:numPr>
          <w:ilvl w:val="0"/>
          <w:numId w:val="3"/>
        </w:numPr>
        <w:spacing w:after="90" w:line="288"/>
        <w:jc w:val="both"/>
      </w:pPr>
      <w:r>
        <w:rPr>
          <w:sz w:val="21"/>
          <w:szCs w:val="21"/>
        </w:rPr>
        <w:t xml:space="preserve">Fonds monétaire international, Fiscal Monitor, Moniteur des finances publiques.</w:t>
      </w:r>
    </w:p>
    <w:p>
      <w:pPr>
        <w:pStyle w:val="ListParagraph"/>
        <w:numPr>
          <w:ilvl w:val="0"/>
          <w:numId w:val="3"/>
        </w:numPr>
        <w:spacing w:after="90" w:line="288"/>
        <w:jc w:val="both"/>
      </w:pPr>
      <w:r>
        <w:rPr>
          <w:sz w:val="21"/>
          <w:szCs w:val="21"/>
        </w:rPr>
        <w:t xml:space="preserve">Hausmann R., Hidalgo C. et al., The Atlas of Economic Complexity, Growth Lab, Université Harvard.</w:t>
      </w:r>
    </w:p>
    <w:p>
      <w:pPr>
        <w:pStyle w:val="ListParagraph"/>
        <w:numPr>
          <w:ilvl w:val="0"/>
          <w:numId w:val="3"/>
        </w:numPr>
        <w:spacing w:after="90" w:line="288"/>
        <w:jc w:val="both"/>
      </w:pPr>
      <w:r>
        <w:rPr>
          <w:sz w:val="21"/>
          <w:szCs w:val="21"/>
        </w:rPr>
        <w:t xml:space="preserve">Hyndman R. J. et Athanasopoulos G., Forecasting : Principles and Practice, pour les méthodes de prolongement et leurs intervalles.</w:t>
      </w:r>
    </w:p>
    <w:p>
      <w:pPr>
        <w:pStyle w:val="ListParagraph"/>
        <w:numPr>
          <w:ilvl w:val="0"/>
          <w:numId w:val="3"/>
        </w:numPr>
        <w:spacing w:after="90" w:line="288"/>
        <w:jc w:val="both"/>
      </w:pPr>
      <w:r>
        <w:rPr>
          <w:sz w:val="21"/>
          <w:szCs w:val="21"/>
        </w:rPr>
        <w:t xml:space="preserve">Documentation interne OPESc 4.2.0, DAPE / MINEPAT, pour la simulation de chocs et les projections de référence.</w:t>
      </w:r>
    </w:p>
    <w:sectPr>
      <w:headerReference w:type="default" r:id="rId7"/>
      <w:footerReference w:type="default" r:id="rId8"/>
      <w:pgSz w:w="11906" w:h="16838" w:orient="portrait"/>
      <w:pgMar w:top="1276" w:right="1276" w:bottom="1276" w:left="1276"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3A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pBdr>
      <w:tabs>
        <w:tab w:val="right" w:pos="9354"/>
      </w:tabs>
      <w:spacing w:after="200"/>
    </w:pPr>
    <w:r>
      <w:rPr>
        <w:color w:val="3A3A3A"/>
        <w:sz w:val="17"/>
        <w:szCs w:val="17"/>
      </w:rPr>
      <w:t xml:space="preserve">OPESc+ 2.1, manuel d'utilisation</w:t>
    </w:r>
    <w:r>
      <w:rPr>
        <w:color w:val="3A3A3A"/>
        <w:sz w:val="17"/>
        <w:szCs w:val="17"/>
      </w:rPr>
      <w:t xml:space="preserve">	DAPE / MINEPAT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200"/>
    </w:pPr>
    <w:rPr>
      <w:rFonts w:ascii="Cambria" w:cs="Cambria" w:eastAsia="Cambria" w:hAnsi="Cambria"/>
      <w:b/>
      <w:bCs/>
      <w:color w:val="000000"/>
      <w:sz w:val="34"/>
      <w:szCs w:val="34"/>
    </w:rPr>
  </w:style>
  <w:style w:type="paragraph" w:styleId="Heading2">
    <w:name w:val="Heading 2"/>
    <w:basedOn w:val="Normal"/>
    <w:next w:val="Normal"/>
    <w:qFormat/>
    <w:pPr>
      <w:spacing w:after="120" w:before="240"/>
    </w:pPr>
    <w:rPr>
      <w:rFonts w:ascii="Cambria" w:cs="Cambria" w:eastAsia="Cambria" w:hAnsi="Cambria"/>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OPESc+ : Manuel d'utilisation d'OPESc+</dc:title>
  <dc:creator>OPESc+</dc:creator>
  <cp:lastModifiedBy>Un-named</cp:lastModifiedBy>
  <cp:revision>1</cp:revision>
  <dcterms:created xsi:type="dcterms:W3CDTF">2026-09-08T03:36:24.858Z</dcterms:created>
  <dcterms:modified xsi:type="dcterms:W3CDTF">2026-09-08T03:36:24.869Z</dcterms:modified>
</cp:coreProperties>
</file>

<file path=docProps/custom.xml><?xml version="1.0" encoding="utf-8"?>
<Properties xmlns="http://schemas.openxmlformats.org/officeDocument/2006/custom-properties" xmlns:vt="http://schemas.openxmlformats.org/officeDocument/2006/docPropsVTypes"/>
</file>