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EL Chino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Calle L # 15040 / 7ma y M , Altahabana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Santiago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Fijo : 76441367</w:t>
              <w:br/>
              <w:t>móvil : 52827540.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0"/>
        <w:gridCol w:w="4536"/>
      </w:tblGrid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Orlando Lora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70 USD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Dia 5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20%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equipamiento fue suministrado por TECOPOS, especificar el listado de equipos: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- Table Amazon Fire</w:t>
        <w:br/>
        <w:t xml:space="preserve">-  </w:t>
      </w:r>
      <w:r>
        <w:rPr/>
        <w:t>Impresora portable MUNBY</w:t>
      </w:r>
      <w:r>
        <w:rPr/>
        <w:t>N</w:t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LibreOffice/7.5.3.2$Windows_X86_64 LibreOffice_project/9f56dff12ba03b9acd7730a5a481eea045e468f3</Application>
  <AppVersion>15.0000</AppVersion>
  <Pages>2</Pages>
  <Words>195</Words>
  <Characters>1032</Characters>
  <CharactersWithSpaces>1186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2024-01-20T14:42:00Z</dcterms:created>
  <dc:creator>Personal</dc:creator>
  <dc:description/>
  <dc:language>es-US</dc:language>
  <cp:lastModifiedBy/>
  <dcterms:modified xsi:type="dcterms:W3CDTF">2024-01-29T07:15:19Z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