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Luco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Santa Ana 201/ Luco y Justicia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yabo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+53 5 5858447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aconcuadrcula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9"/>
        <w:gridCol w:w="4537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Carlos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50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Dia 17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20%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1.Tablet Amazon Fire 10 “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1 router peque;o</w:t>
      </w:r>
    </w:p>
    <w:p>
      <w:pPr>
        <w:pStyle w:val="Normal"/>
        <w:spacing w:lineRule="auto" w:line="360"/>
        <w:rPr>
          <w:bCs/>
          <w:sz w:val="24"/>
          <w:lang w:val="es-419"/>
        </w:rPr>
      </w:pPr>
      <w:r>
        <w:rPr>
          <w:bCs/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600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LibreOffice/7.5.3.2$Windows_X86_64 LibreOffice_project/9f56dff12ba03b9acd7730a5a481eea045e468f3</Application>
  <AppVersion>15.0000</AppVersion>
  <Pages>2</Pages>
  <Words>173</Words>
  <Characters>920</Characters>
  <CharactersWithSpaces>1050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2024-04-07T02:18:00Z</dcterms:created>
  <dc:creator>Personal</dc:creator>
  <dc:description/>
  <dc:language>es-US</dc:language>
  <cp:lastModifiedBy/>
  <dcterms:modified xsi:type="dcterms:W3CDTF">2025-03-12T21:56:53Z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