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B293" w14:textId="05ECAF02" w:rsidR="009E09AE" w:rsidRPr="009E09AE" w:rsidRDefault="009E09AE" w:rsidP="00800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09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Pas besoin de présenter les tétracordes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, parce qu’ils sont</w:t>
      </w:r>
      <w:r w:rsidRPr="009E09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doublement incontournables 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au</w:t>
      </w:r>
      <w:r w:rsidRPr="009E09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vocabulaire scientifique, et surtout ils 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v</w:t>
      </w:r>
      <w:r w:rsidRPr="009E09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ont par deux dans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nouvelle / ancienne</w:t>
      </w:r>
      <w:r w:rsidRPr="009E09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gamme musicale. 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L’u</w:t>
      </w:r>
      <w:r w:rsidRPr="009E09A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n commence à la tonique et l'autre se termine à l'octave.</w:t>
      </w:r>
    </w:p>
    <w:p w14:paraId="38C79642" w14:textId="6402911A" w:rsidR="009E09AE" w:rsidRDefault="009E09AE" w:rsidP="009E09AE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9E09AE">
        <w:rPr>
          <w:rFonts w:ascii="Verdana" w:eastAsia="Times New Roman" w:hAnsi="Verdana" w:cs="Times New Roman"/>
          <w:color w:val="222222"/>
          <w:sz w:val="20"/>
          <w:szCs w:val="20"/>
        </w:rPr>
        <w:t>1234000005678</w:t>
      </w:r>
    </w:p>
    <w:p w14:paraId="5185872F" w14:textId="29350CCB" w:rsidR="0080090E" w:rsidRDefault="0080090E" w:rsidP="009E09AE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Dire l’un c’est dire l’autre</w:t>
      </w:r>
      <w:r w:rsidR="004A6CED">
        <w:rPr>
          <w:rFonts w:ascii="Verdana" w:eastAsia="Times New Roman" w:hAnsi="Verdana" w:cs="Times New Roman"/>
          <w:color w:val="222222"/>
          <w:sz w:val="20"/>
          <w:szCs w:val="20"/>
        </w:rPr>
        <w:t>,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dans </w:t>
      </w:r>
      <w:r w:rsidR="004A6CED">
        <w:rPr>
          <w:rFonts w:ascii="Verdana" w:eastAsia="Times New Roman" w:hAnsi="Verdana" w:cs="Times New Roman"/>
          <w:color w:val="222222"/>
          <w:sz w:val="20"/>
          <w:szCs w:val="20"/>
        </w:rPr>
        <w:t xml:space="preserve">un 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état bipolaire</w:t>
      </w:r>
      <w:r w:rsidR="009133C7">
        <w:rPr>
          <w:rFonts w:ascii="Verdana" w:eastAsia="Times New Roman" w:hAnsi="Verdana" w:cs="Times New Roman"/>
          <w:color w:val="222222"/>
          <w:sz w:val="20"/>
          <w:szCs w:val="20"/>
        </w:rPr>
        <w:t xml:space="preserve"> </w:t>
      </w:r>
      <w:r w:rsidR="004A6CED">
        <w:rPr>
          <w:rFonts w:ascii="Verdana" w:eastAsia="Times New Roman" w:hAnsi="Verdana" w:cs="Times New Roman"/>
          <w:color w:val="222222"/>
          <w:sz w:val="20"/>
          <w:szCs w:val="20"/>
        </w:rPr>
        <w:t>hypermanent</w:t>
      </w:r>
      <w:r w:rsidR="009133C7">
        <w:rPr>
          <w:rFonts w:ascii="Verdana" w:eastAsia="Times New Roman" w:hAnsi="Verdana" w:cs="Times New Roman"/>
          <w:color w:val="222222"/>
          <w:sz w:val="20"/>
          <w:szCs w:val="20"/>
        </w:rPr>
        <w:t> !</w:t>
      </w:r>
    </w:p>
    <w:p w14:paraId="458961BE" w14:textId="77777777" w:rsidR="0080090E" w:rsidRPr="009E09AE" w:rsidRDefault="0080090E" w:rsidP="009E09AE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164A009D" w14:textId="77777777" w:rsidR="009133C7" w:rsidRDefault="009133C7" w:rsidP="009E09AE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De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</w:rPr>
        <w:t xml:space="preserve"> manière classique 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le</w:t>
      </w:r>
      <w:r w:rsidR="0080090E">
        <w:rPr>
          <w:rFonts w:ascii="Verdana" w:eastAsia="Times New Roman" w:hAnsi="Verdana" w:cs="Times New Roman"/>
          <w:color w:val="222222"/>
          <w:sz w:val="20"/>
          <w:szCs w:val="20"/>
        </w:rPr>
        <w:t xml:space="preserve"> tétracorde 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a un état minimum de 4 notes (1,2,3,4), ces quatre notes sont liées au code quantique de la gamme naturelle.</w:t>
      </w:r>
    </w:p>
    <w:p w14:paraId="5BDC2855" w14:textId="7C15C757" w:rsidR="009E09AE" w:rsidRDefault="009133C7" w:rsidP="009133C7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CDEFGABC</w:t>
      </w:r>
    </w:p>
    <w:p w14:paraId="55CF0EF5" w14:textId="1435F57B" w:rsidR="009133C7" w:rsidRDefault="009133C7" w:rsidP="009133C7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Il est dit que la gamme naturelle est une diatonique à tonalité majeure…</w:t>
      </w:r>
    </w:p>
    <w:p w14:paraId="2BB2D35E" w14:textId="4CCA9486" w:rsidR="009133C7" w:rsidRDefault="009E09AE" w:rsidP="009E09AE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9E09AE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="009133C7">
        <w:rPr>
          <w:rFonts w:ascii="Verdana" w:eastAsia="Times New Roman" w:hAnsi="Verdana" w:cs="Times New Roman"/>
          <w:color w:val="222222"/>
          <w:sz w:val="20"/>
          <w:szCs w:val="20"/>
        </w:rPr>
        <w:t xml:space="preserve">Essayer de développer une logique gammique à partir de son plus petit élément clustérien, c’est connaitre le cluster relatif chromatique. En sachant que la gamme comporte cinq intervalles </w:t>
      </w:r>
      <w:r w:rsidR="0027060C">
        <w:rPr>
          <w:rFonts w:ascii="Verdana" w:eastAsia="Times New Roman" w:hAnsi="Verdana" w:cs="Times New Roman"/>
          <w:color w:val="222222"/>
          <w:sz w:val="20"/>
          <w:szCs w:val="20"/>
        </w:rPr>
        <w:t>situés entre certaines notes.</w:t>
      </w:r>
    </w:p>
    <w:p w14:paraId="350340D3" w14:textId="6D1C6817" w:rsidR="009133C7" w:rsidRPr="0027060C" w:rsidRDefault="0027060C" w:rsidP="0027060C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</w:pPr>
      <w:r w:rsidRPr="0027060C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BC</w:t>
      </w:r>
      <w:r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 xml:space="preserve"> </w:t>
      </w:r>
      <w:r w:rsidRPr="0027060C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D</w:t>
      </w:r>
      <w:r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 xml:space="preserve"> </w:t>
      </w:r>
      <w:r w:rsidRPr="0027060C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EF</w:t>
      </w:r>
      <w:r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 xml:space="preserve"> </w:t>
      </w:r>
      <w:r w:rsidRPr="0027060C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G</w:t>
      </w:r>
      <w:r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 xml:space="preserve"> </w:t>
      </w:r>
      <w:r w:rsidRPr="0027060C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A</w:t>
      </w:r>
      <w:r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 xml:space="preserve"> </w:t>
      </w:r>
      <w:r w:rsidRPr="0027060C">
        <w:rPr>
          <w:rFonts w:ascii="Verdana" w:eastAsia="Times New Roman" w:hAnsi="Verdana" w:cs="Times New Roman"/>
          <w:color w:val="222222"/>
          <w:sz w:val="20"/>
          <w:szCs w:val="20"/>
          <w:lang w:val="en-US"/>
        </w:rPr>
        <w:t>BC</w:t>
      </w:r>
    </w:p>
    <w:p w14:paraId="1D1D51B3" w14:textId="6D753121" w:rsidR="0027060C" w:rsidRDefault="0027060C" w:rsidP="0027060C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Elle commence en Do© elle ne comporte pas d’altération, </w:t>
      </w:r>
      <w:r w:rsidR="004A6CED">
        <w:rPr>
          <w:rFonts w:ascii="Verdana" w:eastAsia="Times New Roman" w:hAnsi="Verdana" w:cs="Times New Roman"/>
          <w:color w:val="222222"/>
          <w:sz w:val="20"/>
          <w:szCs w:val="20"/>
        </w:rPr>
        <w:t>c’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est naturel !</w:t>
      </w:r>
    </w:p>
    <w:p w14:paraId="47BCCD3D" w14:textId="311A87A2" w:rsidR="0027060C" w:rsidRDefault="0027060C" w:rsidP="0027060C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1FE169CB" w14:textId="78B008D5" w:rsidR="00F40FB0" w:rsidRDefault="004A6CED" w:rsidP="0027060C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Le premier tétracorde </w:t>
      </w:r>
      <w:r w:rsidR="00AC757E">
        <w:rPr>
          <w:rFonts w:ascii="Verdana" w:eastAsia="Times New Roman" w:hAnsi="Verdana" w:cs="Times New Roman"/>
          <w:color w:val="222222"/>
          <w:sz w:val="20"/>
          <w:szCs w:val="20"/>
        </w:rPr>
        <w:t xml:space="preserve">trouvé est formé de quatre </w:t>
      </w:r>
      <w:r w:rsidR="00F40FB0">
        <w:rPr>
          <w:rFonts w:ascii="Verdana" w:eastAsia="Times New Roman" w:hAnsi="Verdana" w:cs="Times New Roman"/>
          <w:color w:val="222222"/>
          <w:sz w:val="20"/>
          <w:szCs w:val="20"/>
        </w:rPr>
        <w:t>p</w:t>
      </w:r>
      <w:r w:rsidR="00AC757E">
        <w:rPr>
          <w:rFonts w:ascii="Verdana" w:eastAsia="Times New Roman" w:hAnsi="Verdana" w:cs="Times New Roman"/>
          <w:color w:val="222222"/>
          <w:sz w:val="20"/>
          <w:szCs w:val="20"/>
        </w:rPr>
        <w:t>otes conjoints (</w:t>
      </w:r>
      <w:r w:rsidR="00F40FB0"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40FB0"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40FB0"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40FB0"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C757E">
        <w:rPr>
          <w:rFonts w:ascii="Verdana" w:eastAsia="Times New Roman" w:hAnsi="Verdana" w:cs="Times New Roman"/>
          <w:color w:val="222222"/>
          <w:sz w:val="20"/>
          <w:szCs w:val="20"/>
        </w:rPr>
        <w:t xml:space="preserve">), cette formation a un </w:t>
      </w:r>
      <w:r w:rsidR="00F40FB0">
        <w:rPr>
          <w:rFonts w:ascii="Verdana" w:eastAsia="Times New Roman" w:hAnsi="Verdana" w:cs="Times New Roman"/>
          <w:color w:val="222222"/>
          <w:sz w:val="20"/>
          <w:szCs w:val="20"/>
        </w:rPr>
        <w:t>syno</w:t>
      </w:r>
      <w:r w:rsidR="00AC757E">
        <w:rPr>
          <w:rFonts w:ascii="Verdana" w:eastAsia="Times New Roman" w:hAnsi="Verdana" w:cs="Times New Roman"/>
          <w:color w:val="222222"/>
          <w:sz w:val="20"/>
          <w:szCs w:val="20"/>
        </w:rPr>
        <w:t xml:space="preserve">nyme </w:t>
      </w:r>
      <w:r w:rsidR="00F40FB0">
        <w:rPr>
          <w:rFonts w:ascii="Verdana" w:eastAsia="Times New Roman" w:hAnsi="Verdana" w:cs="Times New Roman"/>
          <w:color w:val="222222"/>
          <w:sz w:val="20"/>
          <w:szCs w:val="20"/>
        </w:rPr>
        <w:t>clustérien appelé « Cluster ».</w:t>
      </w:r>
      <w:r w:rsidR="00C10358">
        <w:rPr>
          <w:rFonts w:ascii="Verdana" w:eastAsia="Times New Roman" w:hAnsi="Verdana" w:cs="Times New Roman"/>
          <w:color w:val="222222"/>
          <w:sz w:val="20"/>
          <w:szCs w:val="20"/>
        </w:rPr>
        <w:t xml:space="preserve"> Et quoi de plus simple que le dédoublement clustérien, obtenant un clone clustérien dont l’effet est bien échelonné.</w:t>
      </w:r>
    </w:p>
    <w:p w14:paraId="61D22FF6" w14:textId="30926A9B" w:rsidR="0027060C" w:rsidRDefault="00F40FB0" w:rsidP="00F40FB0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1234</w:t>
      </w:r>
    </w:p>
    <w:p w14:paraId="7C108283" w14:textId="4EFCEDA7" w:rsidR="00C10358" w:rsidRDefault="00C10358" w:rsidP="00C10358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(</w:t>
      </w:r>
      <w:proofErr w:type="gramStart"/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12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78</w: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)</w:t>
      </w:r>
    </w:p>
    <w:p w14:paraId="09EDC510" w14:textId="50B86947" w:rsidR="00C10358" w:rsidRDefault="00C10358" w:rsidP="00C10358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5678</w:t>
      </w:r>
    </w:p>
    <w:p w14:paraId="4DABA075" w14:textId="42816DEC" w:rsidR="007813AD" w:rsidRDefault="007813AD" w:rsidP="00C10358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81</w: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2</w: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34</w: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5</w: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6</w:t>
      </w:r>
      <w:r w:rsidRPr="00F40FB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78</w:t>
      </w:r>
    </w:p>
    <w:p w14:paraId="2952E62B" w14:textId="3FE4B584" w:rsidR="00C10358" w:rsidRDefault="00C10358" w:rsidP="00C10358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La programmation offre le moyen de développer </w:t>
      </w:r>
      <w:r w:rsidR="007813AD">
        <w:rPr>
          <w:rFonts w:ascii="Verdana" w:eastAsia="Times New Roman" w:hAnsi="Verdana" w:cs="Times New Roman"/>
          <w:color w:val="222222"/>
          <w:sz w:val="20"/>
          <w:szCs w:val="20"/>
        </w:rPr>
        <w:t xml:space="preserve">un traitement codé… </w:t>
      </w:r>
    </w:p>
    <w:p w14:paraId="6472DBA3" w14:textId="6FE6E42D" w:rsidR="00F40FB0" w:rsidRDefault="00F40FB0" w:rsidP="00F40FB0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7A99DA0E" w14:textId="45443A9F" w:rsidR="007813AD" w:rsidRDefault="007813AD" w:rsidP="00F40FB0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Ligne 119 | </w:t>
      </w:r>
      <w:r>
        <w:rPr>
          <w:rFonts w:ascii="Consolas" w:hAnsi="Consolas" w:cs="Consolas"/>
          <w:color w:val="008000"/>
          <w:sz w:val="19"/>
          <w:szCs w:val="19"/>
        </w:rPr>
        <w:t># Charge limite tétra</w:t>
      </w:r>
    </w:p>
    <w:p w14:paraId="2A3C5340" w14:textId="52C3B370" w:rsidR="007813AD" w:rsidRDefault="007813AD" w:rsidP="007813AD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38C7A5A2" w14:textId="7485D679" w:rsidR="007813AD" w:rsidRDefault="007813AD" w:rsidP="007813AD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Le cluster tétra trouvé est élémentaire, il ne comporte pas de poignée compréhensive sur laquelle s’appuyer </w:t>
      </w:r>
      <w:r w:rsidR="005F47C7">
        <w:rPr>
          <w:rFonts w:ascii="Verdana" w:eastAsia="Times New Roman" w:hAnsi="Verdana" w:cs="Times New Roman"/>
          <w:color w:val="222222"/>
          <w:sz w:val="20"/>
          <w:szCs w:val="20"/>
        </w:rPr>
        <w:t>ni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déplacer. Mais on connait son taux de </w:t>
      </w:r>
      <w:r w:rsidR="005F47C7">
        <w:rPr>
          <w:rFonts w:ascii="Verdana" w:eastAsia="Times New Roman" w:hAnsi="Verdana" w:cs="Times New Roman"/>
          <w:color w:val="222222"/>
          <w:sz w:val="20"/>
          <w:szCs w:val="20"/>
        </w:rPr>
        <w:t>repli équivalant tétracordique (4), et sa capacité d’extension calculée en rapport chromatique-(12) diatonique-(7) octave-(2) cluster-(2). Les intervalles ne sont pas cités, ne sont pas existants, puis 5 intervalles + 7 notes = 1 2 34 5 6 7.</w:t>
      </w:r>
    </w:p>
    <w:p w14:paraId="0684E47B" w14:textId="71E42A30" w:rsidR="005F47C7" w:rsidRDefault="005F47C7" w:rsidP="007813AD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En sachant que l’élément tonique du tétracorde-(1) ne change pas de place, il a toujours la valeur 1.</w:t>
      </w:r>
    </w:p>
    <w:p w14:paraId="255148C4" w14:textId="77777777" w:rsidR="005F47C7" w:rsidRDefault="005F47C7" w:rsidP="005F47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Opération Dico(mixam)</w:t>
      </w:r>
    </w:p>
    <w:p w14:paraId="3A61434C" w14:textId="6E9D319D" w:rsidR="005F47C7" w:rsidRDefault="005F47C7" w:rsidP="005F47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mixam = {} </w:t>
      </w:r>
      <w:r>
        <w:rPr>
          <w:rFonts w:ascii="Consolas" w:hAnsi="Consolas" w:cs="Consolas"/>
          <w:color w:val="008000"/>
          <w:sz w:val="19"/>
          <w:szCs w:val="19"/>
        </w:rPr>
        <w:t># Dépendances Degré(min/max)</w:t>
      </w:r>
    </w:p>
    <w:p w14:paraId="405F8803" w14:textId="77777777" w:rsidR="005F47C7" w:rsidRDefault="005F47C7" w:rsidP="005F47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 Niveau T2 | MINI=1 MIDI=NULL MAXI=6 """</w:t>
      </w:r>
    </w:p>
    <w:p w14:paraId="2BF1A6EB" w14:textId="77777777" w:rsidR="005F47C7" w:rsidRDefault="005F47C7" w:rsidP="005F47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 Niveau T3 | MINI=2 MIDI=T2+1 MAXI=7 """</w:t>
      </w:r>
    </w:p>
    <w:p w14:paraId="59336913" w14:textId="709D5850" w:rsidR="005F47C7" w:rsidRDefault="005F47C7" w:rsidP="005F47C7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t>""" Niveau T4 | MINI=3 MIDI=T3+1 MAXI=8 """</w:t>
      </w:r>
    </w:p>
    <w:p w14:paraId="664B3FE8" w14:textId="68990FEE" w:rsidR="007813AD" w:rsidRDefault="006461E5" w:rsidP="006461E5">
      <w:pPr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De Ligne 33 À Ligne 37</w:t>
      </w:r>
    </w:p>
    <w:p w14:paraId="2AE848E3" w14:textId="77777777" w:rsidR="006461E5" w:rsidRDefault="006461E5" w:rsidP="00F40FB0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6D9FC5F7" w14:textId="341546A5" w:rsidR="007813AD" w:rsidRDefault="007813AD" w:rsidP="00F40FB0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Ligne 125 | </w:t>
      </w:r>
      <w:r>
        <w:rPr>
          <w:rFonts w:ascii="Consolas" w:hAnsi="Consolas" w:cs="Consolas"/>
          <w:color w:val="008000"/>
          <w:sz w:val="19"/>
          <w:szCs w:val="19"/>
        </w:rPr>
        <w:t># Développement tétracordique</w:t>
      </w:r>
    </w:p>
    <w:p w14:paraId="672F8EEB" w14:textId="2F43E4A2" w:rsidR="007813AD" w:rsidRDefault="007813AD" w:rsidP="00F40FB0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5AA6F9A2" w14:textId="56AC291E" w:rsidR="007813AD" w:rsidRDefault="006461E5" w:rsidP="006461E5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Cette fonction est séparée en deux parts ;</w:t>
      </w:r>
    </w:p>
    <w:p w14:paraId="25B23B31" w14:textId="44E7A588" w:rsidR="006461E5" w:rsidRDefault="006461E5" w:rsidP="006461E5">
      <w:pPr>
        <w:spacing w:after="0" w:line="240" w:lineRule="auto"/>
        <w:ind w:left="1416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L’algorithme des membres tétracordiques :</w:t>
      </w:r>
    </w:p>
    <w:p w14:paraId="05C62535" w14:textId="59373CEB" w:rsidR="006461E5" w:rsidRDefault="006461E5" w:rsidP="006461E5">
      <w:pPr>
        <w:spacing w:after="0" w:line="240" w:lineRule="auto"/>
        <w:ind w:left="2124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Selon les estimations minima/maxima les tétras (T1, T2, T3, T4)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br/>
        <w:t>La priorité du cycle T4</w:t>
      </w:r>
      <w:r w:rsidR="000D70F7">
        <w:rPr>
          <w:rFonts w:ascii="Verdana" w:eastAsia="Times New Roman" w:hAnsi="Verdana" w:cs="Times New Roman"/>
          <w:color w:val="222222"/>
          <w:sz w:val="20"/>
          <w:szCs w:val="20"/>
        </w:rPr>
        <w:t xml:space="preserve"> de 3 à 8</w:t>
      </w:r>
      <w:r w:rsidR="00D87C06">
        <w:rPr>
          <w:rFonts w:ascii="Verdana" w:eastAsia="Times New Roman" w:hAnsi="Verdana" w:cs="Times New Roman"/>
          <w:color w:val="222222"/>
          <w:sz w:val="20"/>
          <w:szCs w:val="20"/>
        </w:rPr>
        <w:t xml:space="preserve">, </w:t>
      </w:r>
      <w:r w:rsidR="000D70F7">
        <w:rPr>
          <w:rFonts w:ascii="Verdana" w:eastAsia="Times New Roman" w:hAnsi="Verdana" w:cs="Times New Roman"/>
          <w:color w:val="222222"/>
          <w:sz w:val="20"/>
          <w:szCs w:val="20"/>
        </w:rPr>
        <w:t>ét</w:t>
      </w:r>
      <w:r w:rsidR="00D87C06">
        <w:rPr>
          <w:rFonts w:ascii="Verdana" w:eastAsia="Times New Roman" w:hAnsi="Verdana" w:cs="Times New Roman"/>
          <w:color w:val="222222"/>
          <w:sz w:val="20"/>
          <w:szCs w:val="20"/>
        </w:rPr>
        <w:t>e</w:t>
      </w:r>
      <w:r w:rsidR="000D70F7">
        <w:rPr>
          <w:rFonts w:ascii="Verdana" w:eastAsia="Times New Roman" w:hAnsi="Verdana" w:cs="Times New Roman"/>
          <w:color w:val="222222"/>
          <w:sz w:val="20"/>
          <w:szCs w:val="20"/>
        </w:rPr>
        <w:t>n</w:t>
      </w:r>
      <w:r w:rsidR="00D87C06">
        <w:rPr>
          <w:rFonts w:ascii="Verdana" w:eastAsia="Times New Roman" w:hAnsi="Verdana" w:cs="Times New Roman"/>
          <w:color w:val="222222"/>
          <w:sz w:val="20"/>
          <w:szCs w:val="20"/>
        </w:rPr>
        <w:t>du</w:t>
      </w:r>
      <w:r w:rsidR="000D70F7">
        <w:rPr>
          <w:rFonts w:ascii="Verdana" w:eastAsia="Times New Roman" w:hAnsi="Verdana" w:cs="Times New Roman"/>
          <w:color w:val="222222"/>
          <w:sz w:val="20"/>
          <w:szCs w:val="20"/>
        </w:rPr>
        <w:t xml:space="preserve"> </w:t>
      </w:r>
      <w:r w:rsidR="00D87C06">
        <w:rPr>
          <w:rFonts w:ascii="Verdana" w:eastAsia="Times New Roman" w:hAnsi="Verdana" w:cs="Times New Roman"/>
          <w:color w:val="222222"/>
          <w:sz w:val="20"/>
          <w:szCs w:val="20"/>
        </w:rPr>
        <w:t xml:space="preserve">de </w:t>
      </w:r>
      <w:r w:rsidR="000D70F7">
        <w:rPr>
          <w:rFonts w:ascii="Verdana" w:eastAsia="Times New Roman" w:hAnsi="Verdana" w:cs="Times New Roman"/>
          <w:color w:val="222222"/>
          <w:sz w:val="20"/>
          <w:szCs w:val="20"/>
        </w:rPr>
        <w:t>six clusters :</w:t>
      </w:r>
    </w:p>
    <w:p w14:paraId="09CA4E21" w14:textId="1C332C5C" w:rsidR="000D70F7" w:rsidRDefault="000D70F7" w:rsidP="000D70F7">
      <w:pPr>
        <w:spacing w:after="0" w:line="240" w:lineRule="auto"/>
        <w:ind w:left="2832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1234|12304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|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…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|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123000004</w:t>
      </w:r>
    </w:p>
    <w:p w14:paraId="723988A1" w14:textId="29530609" w:rsidR="000D70F7" w:rsidRDefault="00D87C06" w:rsidP="00D87C06">
      <w:pPr>
        <w:spacing w:after="0" w:line="240" w:lineRule="auto"/>
        <w:ind w:left="2124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L’incrémentation du T4 est prioritaire jusqu’à son maxima. En fin de boucle, l’algo incrémente le tétra voisin inférieur une seul fois.</w:t>
      </w:r>
    </w:p>
    <w:p w14:paraId="711B4F46" w14:textId="7D92CC41" w:rsidR="00D87C06" w:rsidRDefault="00D87C06" w:rsidP="00D87C06">
      <w:pPr>
        <w:spacing w:after="0" w:line="240" w:lineRule="auto"/>
        <w:ind w:left="2124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Exemple du débutant :</w:t>
      </w:r>
    </w:p>
    <w:p w14:paraId="03B2C597" w14:textId="61CF6728" w:rsidR="00D87C06" w:rsidRDefault="00D87C06" w:rsidP="00D87C06">
      <w:pPr>
        <w:spacing w:after="0" w:line="240" w:lineRule="auto"/>
        <w:ind w:left="2832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1230004</w:t>
      </w:r>
      <w:r w:rsidR="00B71ABB">
        <w:rPr>
          <w:rFonts w:ascii="Verdana" w:eastAsia="Times New Roman" w:hAnsi="Verdana" w:cs="Times New Roman"/>
          <w:color w:val="222222"/>
          <w:sz w:val="20"/>
          <w:szCs w:val="20"/>
        </w:rPr>
        <w:t>__ Tétracorde n°4</w:t>
      </w:r>
    </w:p>
    <w:p w14:paraId="54A747DC" w14:textId="21015818" w:rsidR="00B71ABB" w:rsidRDefault="00B71ABB" w:rsidP="00D87C06">
      <w:pPr>
        <w:spacing w:after="0" w:line="240" w:lineRule="auto"/>
        <w:ind w:left="2832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12300004_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Tétracorde n°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5</w:t>
      </w:r>
    </w:p>
    <w:p w14:paraId="6B8A13EC" w14:textId="4B9D65E9" w:rsidR="00B71ABB" w:rsidRDefault="00B71ABB" w:rsidP="00D87C06">
      <w:pPr>
        <w:spacing w:after="0" w:line="240" w:lineRule="auto"/>
        <w:ind w:left="2832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123000004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Tétracorde n°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6</w:t>
      </w:r>
    </w:p>
    <w:p w14:paraId="045800A8" w14:textId="705B89A3" w:rsidR="00B71ABB" w:rsidRDefault="00B71ABB" w:rsidP="00D87C06">
      <w:pPr>
        <w:spacing w:after="0" w:line="240" w:lineRule="auto"/>
        <w:ind w:left="2832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12034____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Tétracorde n°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7</w:t>
      </w:r>
    </w:p>
    <w:p w14:paraId="31079662" w14:textId="02BC24EF" w:rsidR="00B71ABB" w:rsidRDefault="00B71ABB" w:rsidP="00B71ABB">
      <w:pPr>
        <w:spacing w:after="0" w:line="240" w:lineRule="auto"/>
        <w:ind w:left="2832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120304___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 Tétracorde n°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8</w:t>
      </w:r>
    </w:p>
    <w:p w14:paraId="6D3DEB9D" w14:textId="06E19BE6" w:rsidR="006461E5" w:rsidRDefault="006461E5" w:rsidP="006461E5">
      <w:pPr>
        <w:spacing w:after="0" w:line="240" w:lineRule="auto"/>
        <w:ind w:left="1416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lastRenderedPageBreak/>
        <w:t>La mise en forme des membres tétras :</w:t>
      </w:r>
    </w:p>
    <w:p w14:paraId="18268D71" w14:textId="48F6F61A" w:rsidR="00B71ABB" w:rsidRDefault="00B71ABB" w:rsidP="00B71ABB">
      <w:pPr>
        <w:spacing w:after="0" w:line="240" w:lineRule="auto"/>
        <w:ind w:left="2124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La formation clustérienne lorsque les éléments T1, T2, T3, T4 se sont synchronisés, vient rendre visible les différentes positions diatoniques</w:t>
      </w:r>
      <w:r w:rsidR="00C509AB">
        <w:rPr>
          <w:rFonts w:ascii="Verdana" w:eastAsia="Times New Roman" w:hAnsi="Verdana" w:cs="Times New Roman"/>
          <w:color w:val="222222"/>
          <w:sz w:val="20"/>
          <w:szCs w:val="20"/>
        </w:rPr>
        <w:t xml:space="preserve"> En remplaçant les intervalles par des zéros.</w:t>
      </w:r>
    </w:p>
    <w:p w14:paraId="0530615E" w14:textId="77777777" w:rsidR="006461E5" w:rsidRDefault="006461E5" w:rsidP="00F40FB0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33070BA7" w14:textId="257A7D8F" w:rsidR="007813AD" w:rsidRPr="007813AD" w:rsidRDefault="007813AD" w:rsidP="00F40FB0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Ligne 80 | </w:t>
      </w:r>
      <w:r>
        <w:rPr>
          <w:rFonts w:ascii="Consolas" w:hAnsi="Consolas" w:cs="Consolas"/>
          <w:color w:val="008000"/>
          <w:sz w:val="19"/>
          <w:szCs w:val="19"/>
        </w:rPr>
        <w:t># Fonction format diatonique tétracordique</w:t>
      </w:r>
    </w:p>
    <w:p w14:paraId="4391DFA8" w14:textId="454C1C9C" w:rsidR="00AC757E" w:rsidRDefault="00AC757E" w:rsidP="0027060C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13F26C5C" w14:textId="18279EEB" w:rsidR="00C509AB" w:rsidRDefault="00384F59" w:rsidP="00C509AB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Cette fonction traite le premier cluster trouvé formé des chiffres de 1 à 4, ou bien C, D, E, F, et de zéros et intervalles. Ce tétra n’a pas encore ces valeurs 5, 6, 7, 8 nécessaires pour former la gamme idéale.</w:t>
      </w:r>
    </w:p>
    <w:p w14:paraId="094C5090" w14:textId="21309826" w:rsidR="00C92982" w:rsidRDefault="00384F59" w:rsidP="00C92982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Alors elle prend le n°1 pour en faire le n°5. Ainsi quand elle traite le cluster n°1 1234, il en ressort 5678. En s’arrangeant pour garder le 1 à la tonique et le 8 à l’octave.</w:t>
      </w:r>
      <w:r w:rsidR="00C92982">
        <w:rPr>
          <w:rFonts w:ascii="Verdana" w:eastAsia="Times New Roman" w:hAnsi="Verdana" w:cs="Times New Roman"/>
          <w:color w:val="222222"/>
          <w:sz w:val="20"/>
          <w:szCs w:val="20"/>
        </w:rPr>
        <w:t xml:space="preserve"> Ce qui a comme résultat fictif ; 1234000005678.</w:t>
      </w:r>
    </w:p>
    <w:p w14:paraId="7E2639C8" w14:textId="6DFB4FF0" w:rsidR="00C92982" w:rsidRDefault="00C92982" w:rsidP="00C92982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 xml:space="preserve">En ce qui concerne la tonalité (#, b), soit l’apport altératif des notes. De cette fonction abouti un ensemble tétra entier, toujours de 1 à 4 pour des tonalités allant de 1 à 4 et de 5 à 8. Lignes 114-115 | </w:t>
      </w:r>
      <w:r w:rsidR="00036616">
        <w:rPr>
          <w:rFonts w:ascii="Verdana" w:eastAsia="Times New Roman" w:hAnsi="Verdana" w:cs="Times New Roman"/>
          <w:color w:val="222222"/>
          <w:sz w:val="20"/>
          <w:szCs w:val="20"/>
        </w:rPr>
        <w:t>tabas, tahau.</w:t>
      </w:r>
    </w:p>
    <w:p w14:paraId="772292E5" w14:textId="77777777" w:rsidR="00C92982" w:rsidRDefault="00C92982" w:rsidP="00C92982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046A63CA" w14:textId="77777777" w:rsidR="00C92982" w:rsidRDefault="00C92982" w:rsidP="00C92982">
      <w:r>
        <w:t xml:space="preserve">Ligne 45 | </w:t>
      </w:r>
      <w:r>
        <w:rPr>
          <w:rFonts w:ascii="Consolas" w:hAnsi="Consolas" w:cs="Consolas"/>
          <w:color w:val="008000"/>
          <w:sz w:val="19"/>
          <w:szCs w:val="19"/>
        </w:rPr>
        <w:t># Fonction couplage tétracordique</w:t>
      </w:r>
    </w:p>
    <w:p w14:paraId="14D9CB61" w14:textId="6A32A790" w:rsidR="00C92982" w:rsidRDefault="00036616" w:rsidP="00C92982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Une liste de tétras utiles a été tablée. Ligne 116 |</w:t>
      </w:r>
      <w:r w:rsidRPr="00036616">
        <w:rPr>
          <w:rFonts w:ascii="Verdana" w:eastAsia="Times New Roman" w:hAnsi="Verdana" w:cs="Times New Roman"/>
          <w:color w:val="222222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tablT</w:t>
      </w:r>
      <w:r>
        <w:rPr>
          <w:rFonts w:ascii="Verdana" w:eastAsia="Times New Roman" w:hAnsi="Verdana" w:cs="Times New Roman"/>
          <w:color w:val="222222"/>
          <w:sz w:val="20"/>
          <w:szCs w:val="20"/>
        </w:rPr>
        <w:t>. Et la notion du format naturel de la gamme vue ci-dessus avec le positionnement de deux tétras, ou alors il s’agit d’un couplage premier clustérien.</w:t>
      </w:r>
    </w:p>
    <w:p w14:paraId="34532421" w14:textId="749DDBDA" w:rsidR="00036616" w:rsidRDefault="00036616" w:rsidP="00C92982">
      <w:pPr>
        <w:spacing w:after="0" w:line="240" w:lineRule="auto"/>
        <w:ind w:left="708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6708408A" w14:textId="77777777" w:rsidR="00036616" w:rsidRDefault="00036616" w:rsidP="00036616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1D5BB296" w14:textId="61DEEB26" w:rsidR="00C92982" w:rsidRDefault="00C92982" w:rsidP="00C92982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3FF00CA9" w14:textId="69EDA69A" w:rsidR="00C92982" w:rsidRDefault="00036616" w:rsidP="00C92982">
      <w:pPr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La programmation continue avec la définition des gammes fondamentales prochainement.</w:t>
      </w:r>
    </w:p>
    <w:p w14:paraId="5D1D5422" w14:textId="493195A9" w:rsidR="00036616" w:rsidRPr="00036616" w:rsidRDefault="00036616" w:rsidP="00036616">
      <w:pPr>
        <w:rPr>
          <w:rFonts w:ascii="Verdana" w:eastAsia="Times New Roman" w:hAnsi="Verdana" w:cs="Times New Roman"/>
          <w:sz w:val="20"/>
          <w:szCs w:val="20"/>
        </w:rPr>
      </w:pPr>
    </w:p>
    <w:p w14:paraId="0E475129" w14:textId="6101406C" w:rsidR="00036616" w:rsidRPr="00036616" w:rsidRDefault="00036616" w:rsidP="00036616">
      <w:pPr>
        <w:rPr>
          <w:rFonts w:ascii="Verdana" w:eastAsia="Times New Roman" w:hAnsi="Verdana" w:cs="Times New Roman"/>
          <w:sz w:val="20"/>
          <w:szCs w:val="20"/>
        </w:rPr>
      </w:pPr>
    </w:p>
    <w:p w14:paraId="081167B9" w14:textId="1EC4DAAF" w:rsidR="00036616" w:rsidRPr="00036616" w:rsidRDefault="00036616" w:rsidP="00036616">
      <w:pPr>
        <w:rPr>
          <w:rFonts w:ascii="Verdana" w:eastAsia="Times New Roman" w:hAnsi="Verdana" w:cs="Times New Roman"/>
          <w:sz w:val="20"/>
          <w:szCs w:val="20"/>
        </w:rPr>
      </w:pPr>
    </w:p>
    <w:p w14:paraId="01062114" w14:textId="632FA3E7" w:rsidR="00036616" w:rsidRPr="00036616" w:rsidRDefault="00036616" w:rsidP="00036616">
      <w:pPr>
        <w:rPr>
          <w:rFonts w:ascii="Verdana" w:eastAsia="Times New Roman" w:hAnsi="Verdana" w:cs="Times New Roman"/>
          <w:sz w:val="20"/>
          <w:szCs w:val="20"/>
        </w:rPr>
      </w:pPr>
    </w:p>
    <w:p w14:paraId="35AFB222" w14:textId="30517FCB" w:rsidR="00036616" w:rsidRDefault="00036616" w:rsidP="00036616">
      <w:pPr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41A0667D" w14:textId="418897C9" w:rsidR="00036616" w:rsidRPr="00036616" w:rsidRDefault="00036616" w:rsidP="00036616">
      <w:pPr>
        <w:tabs>
          <w:tab w:val="left" w:pos="3555"/>
        </w:tabs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ab/>
      </w:r>
    </w:p>
    <w:sectPr w:rsidR="00036616" w:rsidRPr="0003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AE"/>
    <w:rsid w:val="00036616"/>
    <w:rsid w:val="000D70F7"/>
    <w:rsid w:val="00140F0A"/>
    <w:rsid w:val="0027060C"/>
    <w:rsid w:val="00384F59"/>
    <w:rsid w:val="004A6CED"/>
    <w:rsid w:val="005F47C7"/>
    <w:rsid w:val="006461E5"/>
    <w:rsid w:val="007813AD"/>
    <w:rsid w:val="0080090E"/>
    <w:rsid w:val="00863F6E"/>
    <w:rsid w:val="009133C7"/>
    <w:rsid w:val="009E09AE"/>
    <w:rsid w:val="00AC757E"/>
    <w:rsid w:val="00B71ABB"/>
    <w:rsid w:val="00C10358"/>
    <w:rsid w:val="00C509AB"/>
    <w:rsid w:val="00C92982"/>
    <w:rsid w:val="00D87C06"/>
    <w:rsid w:val="00F4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309"/>
  <w15:chartTrackingRefBased/>
  <w15:docId w15:val="{61182F75-A303-496B-A536-36131E7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E0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5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7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4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1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9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2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6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9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7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vicenté llavata</dc:creator>
  <cp:keywords/>
  <dc:description/>
  <cp:lastModifiedBy>vicenté llavata</cp:lastModifiedBy>
  <cp:revision>6</cp:revision>
  <dcterms:created xsi:type="dcterms:W3CDTF">2021-04-17T11:03:00Z</dcterms:created>
  <dcterms:modified xsi:type="dcterms:W3CDTF">2021-04-17T13:36:00Z</dcterms:modified>
</cp:coreProperties>
</file>