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FBE0" w14:textId="77777777" w:rsidR="006511F5" w:rsidRPr="006511F5" w:rsidRDefault="006511F5" w:rsidP="006511F5">
      <w:pPr>
        <w:pStyle w:val="Titre"/>
      </w:pPr>
      <w:r w:rsidRPr="006511F5">
        <w:t>Manifeste court sur la puissance relative (publiable)</w:t>
      </w:r>
    </w:p>
    <w:p w14:paraId="26B2C2E7" w14:textId="77777777" w:rsidR="006511F5" w:rsidRPr="006511F5" w:rsidRDefault="006511F5" w:rsidP="006511F5">
      <w:pPr>
        <w:pStyle w:val="Sous-titre"/>
      </w:pPr>
      <w:r w:rsidRPr="006511F5">
        <w:t>Titre</w:t>
      </w:r>
    </w:p>
    <w:p w14:paraId="32EBDB94" w14:textId="77777777" w:rsidR="006511F5" w:rsidRPr="006511F5" w:rsidRDefault="006511F5" w:rsidP="006511F5">
      <w:pPr>
        <w:pStyle w:val="Sous-titre"/>
      </w:pPr>
      <w:r w:rsidRPr="006511F5">
        <w:t>Manifeste pour une métrologie de la relation : la puissance relative</w:t>
      </w:r>
    </w:p>
    <w:p w14:paraId="1D53976E" w14:textId="77E34AE8" w:rsidR="006511F5" w:rsidRPr="006511F5" w:rsidRDefault="006511F5" w:rsidP="006511F5">
      <w:r w:rsidRPr="006511F5">
        <w:t>Nous avons appris à comparer les grandeurs comme on compare des longueurs sur une règle : en soustrayant (</w:t>
      </w:r>
      <m:oMath>
        <m:r>
          <w:rPr>
            <w:rFonts w:ascii="Cambria Math" w:hAnsi="Cambria Math"/>
          </w:rPr>
          <m:t>B-A</m:t>
        </m:r>
      </m:oMath>
      <w:r w:rsidRPr="006511F5">
        <w:t>) ou en divisant (</w:t>
      </w:r>
      <m:oMath>
        <m:r>
          <w:rPr>
            <w:rFonts w:ascii="Cambria Math" w:hAnsi="Cambria Math"/>
          </w:rPr>
          <m:t>B</m:t>
        </m:r>
        <m:r>
          <m:rPr>
            <m:sty m:val="p"/>
          </m:rPr>
          <w:rPr>
            <w:rFonts w:ascii="Cambria Math" w:hAnsi="Cambria Math"/>
          </w:rPr>
          <m:t>/</m:t>
        </m:r>
        <m:r>
          <w:rPr>
            <w:rFonts w:ascii="Cambria Math" w:hAnsi="Cambria Math"/>
          </w:rPr>
          <m:t>A</m:t>
        </m:r>
      </m:oMath>
      <w:r w:rsidRPr="006511F5">
        <w:t>). Cela suffit tant que le monde se comporte gentiment, linéairement. Mais dès que l’on regarde comment croissent la richesse, l’influence, la visibilité, le pouvoir ou même l’énergie, cette règle se tord. Le réel, lui, pense en exponentielles.</w:t>
      </w:r>
    </w:p>
    <w:p w14:paraId="2AE5288F" w14:textId="7D0C5AA8" w:rsidR="006511F5" w:rsidRPr="006511F5" w:rsidRDefault="006511F5" w:rsidP="006511F5">
      <w:r w:rsidRPr="006511F5">
        <w:t xml:space="preserve">La </w:t>
      </w:r>
      <w:r w:rsidRPr="006511F5">
        <w:rPr>
          <w:b/>
          <w:bCs/>
        </w:rPr>
        <w:t>puissance relative</w:t>
      </w:r>
      <w:r w:rsidRPr="006511F5">
        <w:t xml:space="preserve"> propose un changement de regard : entre deux grandeurs </w:t>
      </w:r>
      <m:oMath>
        <m:r>
          <w:rPr>
            <w:rFonts w:ascii="Cambria Math" w:hAnsi="Cambria Math"/>
          </w:rPr>
          <m:t>A</m:t>
        </m:r>
      </m:oMath>
      <w:r w:rsidRPr="006511F5">
        <w:t xml:space="preserve">et </w:t>
      </w:r>
      <m:oMath>
        <m:r>
          <w:rPr>
            <w:rFonts w:ascii="Cambria Math" w:hAnsi="Cambria Math"/>
          </w:rPr>
          <m:t>B</m:t>
        </m:r>
      </m:oMath>
      <w:r w:rsidRPr="006511F5">
        <w:t>, il ne s’agit plus seulement de mesurer l’écart, mais de demander :</w:t>
      </w:r>
    </w:p>
    <w:p w14:paraId="3451C85F" w14:textId="3EB9FD34" w:rsidR="006511F5" w:rsidRPr="006511F5" w:rsidRDefault="006511F5" w:rsidP="006511F5">
      <w:r w:rsidRPr="006511F5">
        <w:t xml:space="preserve">Quel exposant faudrait-il appliquer à </w:t>
      </w:r>
      <m:oMath>
        <m:r>
          <w:rPr>
            <w:rFonts w:ascii="Cambria Math" w:hAnsi="Cambria Math"/>
          </w:rPr>
          <m:t>A</m:t>
        </m:r>
      </m:oMath>
      <w:r w:rsidRPr="006511F5">
        <w:t xml:space="preserve">pour qu’il devienne </w:t>
      </w:r>
      <m:oMath>
        <m:r>
          <w:rPr>
            <w:rFonts w:ascii="Cambria Math" w:hAnsi="Cambria Math"/>
          </w:rPr>
          <m:t>B</m:t>
        </m:r>
      </m:oMath>
      <w:r w:rsidRPr="006511F5">
        <w:t>sans cesser d’être lui-même comme base ?</w:t>
      </w:r>
    </w:p>
    <w:p w14:paraId="4080B6DC" w14:textId="77777777" w:rsidR="006511F5" w:rsidRPr="006511F5" w:rsidRDefault="006511F5" w:rsidP="006511F5">
      <w:r w:rsidRPr="006511F5">
        <w:t xml:space="preserve">Ce simple déplacement introduit une nouvelle échelle : non plus seulement “combien en plus” ou “combien de fois”, mais </w:t>
      </w:r>
      <w:r w:rsidRPr="006511F5">
        <w:rPr>
          <w:b/>
          <w:bCs/>
        </w:rPr>
        <w:t>à quel degré de métamorphose</w:t>
      </w:r>
      <w:r w:rsidRPr="006511F5">
        <w:t xml:space="preserve">. Là où le ratio réduit la relation à une proportion, la puissance relative la décrit comme un </w:t>
      </w:r>
      <w:r w:rsidRPr="006511F5">
        <w:rPr>
          <w:b/>
          <w:bCs/>
        </w:rPr>
        <w:t>trajet exponentiel</w:t>
      </w:r>
      <w:r w:rsidRPr="006511F5">
        <w:t xml:space="preserve"> :</w:t>
      </w:r>
    </w:p>
    <w:p w14:paraId="24F3E14D" w14:textId="2E6F142A" w:rsidR="006511F5" w:rsidRPr="006511F5" w:rsidRDefault="006511F5" w:rsidP="006511F5">
      <m:oMathPara>
        <m:oMath>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=B⇒x=</m:t>
          </m:r>
          <m:r>
            <m:rPr>
              <m:sty m:val="p"/>
            </m:rPr>
            <w:rPr>
              <w:rFonts w:ascii="Cambria Math" w:hAnsi="Cambria Math"/>
            </w:rPr>
            <m:t>Π</m:t>
          </m:r>
          <m:r>
            <w:rPr>
              <w:rFonts w:ascii="Cambria Math" w:hAnsi="Cambria Math"/>
            </w:rPr>
            <m:t>(A→B)</m:t>
          </m:r>
          <m:r>
            <m:rPr>
              <m:sty m:val="p"/>
            </m:rPr>
            <w:rPr>
              <w:rFonts w:ascii="Cambria Math" w:hAnsi="Cambria Math"/>
            </w:rPr>
            <m:t>.</m:t>
          </m:r>
        </m:oMath>
      </m:oMathPara>
    </w:p>
    <w:p w14:paraId="3B171679" w14:textId="77777777" w:rsidR="006511F5" w:rsidRPr="006511F5" w:rsidRDefault="006511F5" w:rsidP="006511F5">
      <w:r w:rsidRPr="006511F5">
        <w:t xml:space="preserve">Cette mesure est politique autant que mathématique. Elle montre que certaines différences ne sont pas de simples écarts, mais des </w:t>
      </w:r>
      <w:r w:rsidRPr="006511F5">
        <w:rPr>
          <w:b/>
          <w:bCs/>
        </w:rPr>
        <w:t>décalages de dimension</w:t>
      </w:r>
      <w:r w:rsidRPr="006511F5">
        <w:t xml:space="preserve">. L’écart entre un salaire et une fortune, entre la voix d’une personne et celle d’une plateforme, entre une existence locale et une visibilité globale, n’est pas seulement un facteur ; c’est parfois un </w:t>
      </w:r>
      <w:r w:rsidRPr="006511F5">
        <w:rPr>
          <w:b/>
          <w:bCs/>
        </w:rPr>
        <w:t>mur exponentiel</w:t>
      </w:r>
      <w:r w:rsidRPr="006511F5">
        <w:t>.</w:t>
      </w:r>
    </w:p>
    <w:p w14:paraId="7FC5EF14" w14:textId="01019E54" w:rsidR="006511F5" w:rsidRPr="006511F5" w:rsidRDefault="006511F5" w:rsidP="006511F5">
      <w:r w:rsidRPr="006511F5">
        <w:t xml:space="preserve">La puissance relative ne se contente pas d’un résultat : elle assume le </w:t>
      </w:r>
      <w:r w:rsidRPr="006511F5">
        <w:rPr>
          <w:b/>
          <w:bCs/>
        </w:rPr>
        <w:t>tâtonnement</w:t>
      </w:r>
      <w:r w:rsidRPr="006511F5">
        <w:t xml:space="preserve">. On n’atteint pas </w:t>
      </w:r>
      <m:oMath>
        <m:r>
          <w:rPr>
            <w:rFonts w:ascii="Cambria Math" w:hAnsi="Cambria Math"/>
          </w:rPr>
          <m:t>B</m:t>
        </m:r>
      </m:oMath>
      <w:r w:rsidRPr="006511F5">
        <w:t xml:space="preserve">d’un coup. On essaie un exposant, puis un autre, on affûte la précision, on corrige l’excès. Le nombre </w:t>
      </w:r>
      <m:oMath>
        <m:r>
          <w:rPr>
            <w:rFonts w:ascii="Cambria Math" w:hAnsi="Cambria Math"/>
          </w:rPr>
          <m:t>x</m:t>
        </m:r>
      </m:oMath>
      <w:r w:rsidRPr="006511F5">
        <w:t>n’est plus donné d’avance, il résume un processus d’ajustement. Il raconte comment un système explore sa propre capacité à se transformer pour rejoindre un autre état.</w:t>
      </w:r>
    </w:p>
    <w:p w14:paraId="6771CB46" w14:textId="77777777" w:rsidR="006511F5" w:rsidRPr="006511F5" w:rsidRDefault="006511F5" w:rsidP="006511F5">
      <w:r w:rsidRPr="006511F5">
        <w:t>Ce manifeste propose donc trois thèses simples :</w:t>
      </w:r>
    </w:p>
    <w:p w14:paraId="139023C2" w14:textId="77777777" w:rsidR="006511F5" w:rsidRPr="006511F5" w:rsidRDefault="006511F5" w:rsidP="006511F5">
      <w:pPr>
        <w:numPr>
          <w:ilvl w:val="0"/>
          <w:numId w:val="1"/>
        </w:numPr>
      </w:pPr>
      <w:r w:rsidRPr="006511F5">
        <w:rPr>
          <w:b/>
          <w:bCs/>
        </w:rPr>
        <w:t>Toute relation forte mérite une métrique exponentielle.</w:t>
      </w:r>
      <w:r w:rsidRPr="006511F5">
        <w:t xml:space="preserve"> Quand l’écart est abyssal, la différence et le ratio n’expliquent plus rien.</w:t>
      </w:r>
    </w:p>
    <w:p w14:paraId="1BB88F76" w14:textId="77777777" w:rsidR="006511F5" w:rsidRPr="006511F5" w:rsidRDefault="006511F5" w:rsidP="006511F5">
      <w:pPr>
        <w:numPr>
          <w:ilvl w:val="0"/>
          <w:numId w:val="1"/>
        </w:numPr>
      </w:pPr>
      <w:r w:rsidRPr="006511F5">
        <w:rPr>
          <w:b/>
          <w:bCs/>
        </w:rPr>
        <w:t>La transformation est un parcours, pas une constante.</w:t>
      </w:r>
      <w:r w:rsidRPr="006511F5">
        <w:t xml:space="preserve"> La puissance relative doit être pensée comme un chemin d’approximation, pas uniquement comme une formule.</w:t>
      </w:r>
    </w:p>
    <w:p w14:paraId="12646E5F" w14:textId="77777777" w:rsidR="006511F5" w:rsidRPr="006511F5" w:rsidRDefault="006511F5" w:rsidP="006511F5">
      <w:pPr>
        <w:numPr>
          <w:ilvl w:val="0"/>
          <w:numId w:val="1"/>
        </w:numPr>
      </w:pPr>
      <w:r w:rsidRPr="006511F5">
        <w:rPr>
          <w:b/>
          <w:bCs/>
        </w:rPr>
        <w:t>Rendre visibles les murs exponentiels est un geste éthique.</w:t>
      </w:r>
      <w:r w:rsidRPr="006511F5">
        <w:t xml:space="preserve"> En montrant à quel point il faut “élever” une base pour atteindre une cible, on expose la violence des asymétries et la difficulté réelle de certains passages.</w:t>
      </w:r>
    </w:p>
    <w:p w14:paraId="31EAF772" w14:textId="77777777" w:rsidR="006511F5" w:rsidRPr="006511F5" w:rsidRDefault="006511F5" w:rsidP="006511F5">
      <w:r w:rsidRPr="006511F5">
        <w:lastRenderedPageBreak/>
        <w:t>La puissance relative n’est pas une nouvelle idole mathématique, mais un outil de lucidité. Elle invite à reconfigurer nos représentations de la valeur, de la puissance et de la transformation, en rappelant que, souvent, le monde ne se contente pas d’additionner ou de multiplier : il élève à la puissance.</w:t>
      </w:r>
    </w:p>
    <w:p w14:paraId="345160C9" w14:textId="77777777" w:rsidR="00D25656" w:rsidRDefault="00D25656"/>
    <w:sectPr w:rsidR="00D256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0CC8"/>
    <w:multiLevelType w:val="multilevel"/>
    <w:tmpl w:val="06EE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24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F5"/>
    <w:rsid w:val="006511F5"/>
    <w:rsid w:val="00754AA4"/>
    <w:rsid w:val="009A0053"/>
    <w:rsid w:val="00D25656"/>
    <w:rsid w:val="00F93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6B49"/>
  <w15:chartTrackingRefBased/>
  <w15:docId w15:val="{76C9F6E6-231F-4FCC-B520-70FE5880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1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1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11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11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11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11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11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11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11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de">
    <w:name w:val="Code"/>
    <w:basedOn w:val="Normal"/>
    <w:link w:val="CodeCar"/>
    <w:autoRedefine/>
    <w:qFormat/>
    <w:rsid w:val="00754AA4"/>
    <w:rPr>
      <w:rFonts w:ascii="Courier New" w:hAnsi="Courier New"/>
    </w:rPr>
  </w:style>
  <w:style w:type="character" w:customStyle="1" w:styleId="CodeCar">
    <w:name w:val="Code Car"/>
    <w:basedOn w:val="Policepardfaut"/>
    <w:link w:val="Code"/>
    <w:rsid w:val="00754AA4"/>
    <w:rPr>
      <w:rFonts w:ascii="Courier New" w:hAnsi="Courier New"/>
    </w:rPr>
  </w:style>
  <w:style w:type="character" w:customStyle="1" w:styleId="Titre1Car">
    <w:name w:val="Titre 1 Car"/>
    <w:basedOn w:val="Policepardfaut"/>
    <w:link w:val="Titre1"/>
    <w:uiPriority w:val="9"/>
    <w:rsid w:val="006511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11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11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11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11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11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11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11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11F5"/>
    <w:rPr>
      <w:rFonts w:eastAsiaTheme="majorEastAsia" w:cstheme="majorBidi"/>
      <w:color w:val="272727" w:themeColor="text1" w:themeTint="D8"/>
    </w:rPr>
  </w:style>
  <w:style w:type="paragraph" w:styleId="Titre">
    <w:name w:val="Title"/>
    <w:basedOn w:val="Normal"/>
    <w:next w:val="Normal"/>
    <w:link w:val="TitreCar"/>
    <w:uiPriority w:val="10"/>
    <w:qFormat/>
    <w:rsid w:val="00651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11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11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11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11F5"/>
    <w:pPr>
      <w:spacing w:before="160"/>
      <w:jc w:val="center"/>
    </w:pPr>
    <w:rPr>
      <w:i/>
      <w:iCs/>
      <w:color w:val="404040" w:themeColor="text1" w:themeTint="BF"/>
    </w:rPr>
  </w:style>
  <w:style w:type="character" w:customStyle="1" w:styleId="CitationCar">
    <w:name w:val="Citation Car"/>
    <w:basedOn w:val="Policepardfaut"/>
    <w:link w:val="Citation"/>
    <w:uiPriority w:val="29"/>
    <w:rsid w:val="006511F5"/>
    <w:rPr>
      <w:i/>
      <w:iCs/>
      <w:color w:val="404040" w:themeColor="text1" w:themeTint="BF"/>
    </w:rPr>
  </w:style>
  <w:style w:type="paragraph" w:styleId="Paragraphedeliste">
    <w:name w:val="List Paragraph"/>
    <w:basedOn w:val="Normal"/>
    <w:uiPriority w:val="34"/>
    <w:qFormat/>
    <w:rsid w:val="006511F5"/>
    <w:pPr>
      <w:ind w:left="720"/>
      <w:contextualSpacing/>
    </w:pPr>
  </w:style>
  <w:style w:type="character" w:styleId="Accentuationintense">
    <w:name w:val="Intense Emphasis"/>
    <w:basedOn w:val="Policepardfaut"/>
    <w:uiPriority w:val="21"/>
    <w:qFormat/>
    <w:rsid w:val="006511F5"/>
    <w:rPr>
      <w:i/>
      <w:iCs/>
      <w:color w:val="2F5496" w:themeColor="accent1" w:themeShade="BF"/>
    </w:rPr>
  </w:style>
  <w:style w:type="paragraph" w:styleId="Citationintense">
    <w:name w:val="Intense Quote"/>
    <w:basedOn w:val="Normal"/>
    <w:next w:val="Normal"/>
    <w:link w:val="CitationintenseCar"/>
    <w:uiPriority w:val="30"/>
    <w:qFormat/>
    <w:rsid w:val="00651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11F5"/>
    <w:rPr>
      <w:i/>
      <w:iCs/>
      <w:color w:val="2F5496" w:themeColor="accent1" w:themeShade="BF"/>
    </w:rPr>
  </w:style>
  <w:style w:type="character" w:styleId="Rfrenceintense">
    <w:name w:val="Intense Reference"/>
    <w:basedOn w:val="Policepardfaut"/>
    <w:uiPriority w:val="32"/>
    <w:qFormat/>
    <w:rsid w:val="00651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2260</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vicenté llavata</dc:creator>
  <cp:keywords/>
  <dc:description/>
  <cp:lastModifiedBy>vicenté llavata</cp:lastModifiedBy>
  <cp:revision>1</cp:revision>
  <dcterms:created xsi:type="dcterms:W3CDTF">2026-01-06T11:18:00Z</dcterms:created>
  <dcterms:modified xsi:type="dcterms:W3CDTF">2026-01-06T11:20:00Z</dcterms:modified>
</cp:coreProperties>
</file>