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50D7E" w14:textId="77777777" w:rsidR="002C4A6B" w:rsidRPr="002C4A6B" w:rsidRDefault="002C4A6B" w:rsidP="002C4A6B">
      <w:pPr>
        <w:pStyle w:val="Titre"/>
      </w:pPr>
      <w:r w:rsidRPr="002C4A6B">
        <w:t>Introduction d’article scientifique sur la “puissance relative”</w:t>
      </w:r>
    </w:p>
    <w:p w14:paraId="5763718A" w14:textId="77777777" w:rsidR="002C4A6B" w:rsidRPr="002C4A6B" w:rsidRDefault="002C4A6B" w:rsidP="002C4A6B">
      <w:pPr>
        <w:pStyle w:val="Sous-titre"/>
      </w:pPr>
      <w:r w:rsidRPr="002C4A6B">
        <w:t>Titre provisoire</w:t>
      </w:r>
    </w:p>
    <w:p w14:paraId="1D07A203" w14:textId="77777777" w:rsidR="002C4A6B" w:rsidRPr="002C4A6B" w:rsidRDefault="002C4A6B" w:rsidP="002C4A6B">
      <w:pPr>
        <w:pStyle w:val="Sous-titre"/>
      </w:pPr>
      <w:r w:rsidRPr="002C4A6B">
        <w:t>La puissance relative : une mesure exponentielle de la relation entre grandeurs</w:t>
      </w:r>
    </w:p>
    <w:p w14:paraId="48DF0FA0" w14:textId="77777777" w:rsidR="002C4A6B" w:rsidRPr="002C4A6B" w:rsidRDefault="002C4A6B" w:rsidP="002C4A6B">
      <w:pPr>
        <w:rPr>
          <w:b/>
          <w:bCs/>
        </w:rPr>
      </w:pPr>
      <w:r w:rsidRPr="002C4A6B">
        <w:rPr>
          <w:b/>
          <w:bCs/>
        </w:rPr>
        <w:t>Introduction</w:t>
      </w:r>
    </w:p>
    <w:p w14:paraId="3067525B" w14:textId="3542D0DF" w:rsidR="002C4A6B" w:rsidRPr="002C4A6B" w:rsidRDefault="002C4A6B" w:rsidP="002C4A6B">
      <w:r w:rsidRPr="002C4A6B">
        <w:t>Dans la plupart des disciplines quantitatives, la relation entre deux grandeurs est décrite au moyen de différences (</w:t>
      </w:r>
      <m:oMath>
        <m:r>
          <w:rPr>
            <w:rFonts w:ascii="Cambria Math" w:hAnsi="Cambria Math"/>
          </w:rPr>
          <m:t>B-A</m:t>
        </m:r>
      </m:oMath>
      <w:r w:rsidRPr="002C4A6B">
        <w:t>) ou de rapports (</w:t>
      </w:r>
      <m:oMath>
        <m:r>
          <w:rPr>
            <w:rFonts w:ascii="Cambria Math" w:hAnsi="Cambria Math"/>
          </w:rPr>
          <m:t>B</m:t>
        </m:r>
        <m:r>
          <m:rPr>
            <m:sty m:val="p"/>
          </m:rPr>
          <w:rPr>
            <w:rFonts w:ascii="Cambria Math" w:hAnsi="Cambria Math"/>
          </w:rPr>
          <m:t>/</m:t>
        </m:r>
        <m:r>
          <w:rPr>
            <w:rFonts w:ascii="Cambria Math" w:hAnsi="Cambria Math"/>
          </w:rPr>
          <m:t>A</m:t>
        </m:r>
      </m:oMath>
      <w:r w:rsidRPr="002C4A6B">
        <w:t>). Ces deux approches privilégient une vision linéaire du lien : l’une mesure un écart additif, l’autre un facteur multiplicatif. Pourtant, dans de nombreux contextes — physiques, économiques, sociaux ou informationnels — la dynamique réelle entre deux niveaux ne se laisse pas réduire à une simple différence ou à un ratio. Elle implique des effets de seuil, de croissance accélérée, de saturation ou de sensibilité extrême aux conditions initiales, qui sont naturellement décrits par des structures exponentielles.</w:t>
      </w:r>
    </w:p>
    <w:p w14:paraId="06CF2FC0" w14:textId="1BFB31EA" w:rsidR="002C4A6B" w:rsidRPr="002C4A6B" w:rsidRDefault="002C4A6B" w:rsidP="002C4A6B">
      <w:r w:rsidRPr="002C4A6B">
        <w:t xml:space="preserve">Dans ce travail, nous introduisons la notion de </w:t>
      </w:r>
      <w:r w:rsidRPr="002C4A6B">
        <w:rPr>
          <w:b/>
          <w:bCs/>
        </w:rPr>
        <w:t>puissance relative</w:t>
      </w:r>
      <w:r w:rsidRPr="002C4A6B">
        <w:t xml:space="preserve"> entre deux grandeurs positives </w:t>
      </w:r>
      <m:oMath>
        <m:r>
          <w:rPr>
            <w:rFonts w:ascii="Cambria Math" w:hAnsi="Cambria Math"/>
          </w:rPr>
          <m:t>A</m:t>
        </m:r>
      </m:oMath>
      <w:r w:rsidRPr="002C4A6B">
        <w:t xml:space="preserve">et </w:t>
      </w:r>
      <m:oMath>
        <m:r>
          <w:rPr>
            <w:rFonts w:ascii="Cambria Math" w:hAnsi="Cambria Math"/>
          </w:rPr>
          <m:t>B</m:t>
        </m:r>
      </m:oMath>
      <w:r w:rsidRPr="002C4A6B">
        <w:t xml:space="preserve">. Plutôt que de considérer seulement combien de fois </w:t>
      </w:r>
      <m:oMath>
        <m:r>
          <w:rPr>
            <w:rFonts w:ascii="Cambria Math" w:hAnsi="Cambria Math"/>
          </w:rPr>
          <m:t>A</m:t>
        </m:r>
      </m:oMath>
      <w:r w:rsidRPr="002C4A6B">
        <w:t xml:space="preserve">“rentre” dans </w:t>
      </w:r>
      <m:oMath>
        <m:r>
          <w:rPr>
            <w:rFonts w:ascii="Cambria Math" w:hAnsi="Cambria Math"/>
          </w:rPr>
          <m:t>B</m:t>
        </m:r>
      </m:oMath>
      <w:r w:rsidRPr="002C4A6B">
        <w:t xml:space="preserve">, nous cherchons l’exposant </w:t>
      </w:r>
      <m:oMath>
        <m:r>
          <w:rPr>
            <w:rFonts w:ascii="Cambria Math" w:hAnsi="Cambria Math"/>
          </w:rPr>
          <m:t>x</m:t>
        </m:r>
      </m:oMath>
      <w:r w:rsidRPr="002C4A6B">
        <w:t>tel que</w:t>
      </w:r>
    </w:p>
    <w:p w14:paraId="55677F30" w14:textId="7F3C369D" w:rsidR="002C4A6B" w:rsidRPr="002C4A6B" w:rsidRDefault="002C4A6B" w:rsidP="002C4A6B">
      <m:oMathPara>
        <m:oMath>
          <m:sSup>
            <m:sSupPr>
              <m:ctrlPr>
                <w:rPr>
                  <w:rFonts w:ascii="Cambria Math" w:hAnsi="Cambria Math"/>
                </w:rPr>
              </m:ctrlPr>
            </m:sSupPr>
            <m:e>
              <m:r>
                <w:rPr>
                  <w:rFonts w:ascii="Cambria Math" w:hAnsi="Cambria Math"/>
                </w:rPr>
                <m:t>A</m:t>
              </m:r>
            </m:e>
            <m:sup>
              <m:r>
                <w:rPr>
                  <w:rFonts w:ascii="Cambria Math" w:hAnsi="Cambria Math"/>
                </w:rPr>
                <m:t>x</m:t>
              </m:r>
            </m:sup>
          </m:sSup>
          <m:r>
            <w:rPr>
              <w:rFonts w:ascii="Cambria Math" w:hAnsi="Cambria Math"/>
            </w:rPr>
            <m:t>=B</m:t>
          </m:r>
          <m:r>
            <m:rPr>
              <m:sty m:val="p"/>
            </m:rPr>
            <w:rPr>
              <w:rFonts w:ascii="Cambria Math" w:hAnsi="Cambria Math"/>
            </w:rPr>
            <m:t>.</m:t>
          </m:r>
        </m:oMath>
      </m:oMathPara>
    </w:p>
    <w:p w14:paraId="7E87353E" w14:textId="4F42C1B7" w:rsidR="002C4A6B" w:rsidRPr="002C4A6B" w:rsidRDefault="002C4A6B" w:rsidP="002C4A6B">
      <w:r w:rsidRPr="002C4A6B">
        <w:t xml:space="preserve">Cet exposant, que nous notons </w:t>
      </w:r>
      <m:oMath>
        <m:r>
          <m:rPr>
            <m:sty m:val="p"/>
          </m:rPr>
          <w:rPr>
            <w:rFonts w:ascii="Cambria Math" w:hAnsi="Cambria Math"/>
          </w:rPr>
          <m:t>Π</m:t>
        </m:r>
        <m:r>
          <w:rPr>
            <w:rFonts w:ascii="Cambria Math" w:hAnsi="Cambria Math"/>
          </w:rPr>
          <m:t>(A→B)</m:t>
        </m:r>
      </m:oMath>
      <w:r w:rsidRPr="002C4A6B">
        <w:t xml:space="preserve">, constitue une </w:t>
      </w:r>
      <w:r w:rsidRPr="002C4A6B">
        <w:rPr>
          <w:b/>
          <w:bCs/>
        </w:rPr>
        <w:t>mesure exponentielle de la relation</w:t>
      </w:r>
      <w:r w:rsidRPr="002C4A6B">
        <w:t xml:space="preserve"> entre </w:t>
      </w:r>
      <m:oMath>
        <m:r>
          <w:rPr>
            <w:rFonts w:ascii="Cambria Math" w:hAnsi="Cambria Math"/>
          </w:rPr>
          <m:t>A</m:t>
        </m:r>
      </m:oMath>
      <w:r w:rsidRPr="002C4A6B">
        <w:t xml:space="preserve">et </w:t>
      </w:r>
      <m:oMath>
        <m:r>
          <w:rPr>
            <w:rFonts w:ascii="Cambria Math" w:hAnsi="Cambria Math"/>
          </w:rPr>
          <m:t>B</m:t>
        </m:r>
      </m:oMath>
      <w:r w:rsidRPr="002C4A6B">
        <w:t>. Mathématiquement, il peut être exprimé sous la forme</w:t>
      </w:r>
    </w:p>
    <w:p w14:paraId="24127F71" w14:textId="06776599" w:rsidR="002C4A6B" w:rsidRPr="002C4A6B" w:rsidRDefault="002C4A6B" w:rsidP="002C4A6B">
      <m:oMathPara>
        <m:oMath>
          <m:r>
            <m:rPr>
              <m:sty m:val="p"/>
            </m:rPr>
            <w:rPr>
              <w:rFonts w:ascii="Cambria Math" w:hAnsi="Cambria Math"/>
            </w:rPr>
            <m:t>Π</m:t>
          </m:r>
          <m:r>
            <w:rPr>
              <w:rFonts w:ascii="Cambria Math" w:hAnsi="Cambria Math"/>
            </w:rPr>
            <m:t>(A→B)=</m:t>
          </m:r>
          <m:f>
            <m:fPr>
              <m:ctrlPr>
                <w:rPr>
                  <w:rFonts w:ascii="Cambria Math" w:hAnsi="Cambria Math"/>
                </w:rPr>
              </m:ctrlPr>
            </m:fPr>
            <m:num>
              <m:func>
                <m:funcPr>
                  <m:ctrlPr>
                    <w:rPr>
                      <w:rFonts w:ascii="Cambria Math" w:hAnsi="Cambria Math"/>
                    </w:rPr>
                  </m:ctrlPr>
                </m:funcPr>
                <m:fName>
                  <m:r>
                    <m:rPr>
                      <m:sty m:val="p"/>
                    </m:rPr>
                    <w:rPr>
                      <w:rFonts w:ascii="Cambria Math" w:hAnsi="Cambria Math"/>
                    </w:rPr>
                    <m:t>ln</m:t>
                  </m:r>
                </m:fName>
                <m:e>
                  <m:r>
                    <w:rPr>
                      <w:rFonts w:ascii="Cambria Math" w:hAnsi="Cambria Math"/>
                    </w:rPr>
                    <m:t>B</m:t>
                  </m:r>
                </m:e>
              </m:func>
            </m:num>
            <m:den>
              <m:func>
                <m:funcPr>
                  <m:ctrlPr>
                    <w:rPr>
                      <w:rFonts w:ascii="Cambria Math" w:hAnsi="Cambria Math"/>
                    </w:rPr>
                  </m:ctrlPr>
                </m:funcPr>
                <m:fName>
                  <m:r>
                    <m:rPr>
                      <m:sty m:val="p"/>
                    </m:rPr>
                    <w:rPr>
                      <w:rFonts w:ascii="Cambria Math" w:hAnsi="Cambria Math"/>
                    </w:rPr>
                    <m:t>ln</m:t>
                  </m:r>
                </m:fName>
                <m:e>
                  <m:r>
                    <w:rPr>
                      <w:rFonts w:ascii="Cambria Math" w:hAnsi="Cambria Math"/>
                    </w:rPr>
                    <m:t>A</m:t>
                  </m:r>
                </m:e>
              </m:func>
            </m:den>
          </m:f>
          <m:r>
            <w:rPr>
              <w:rFonts w:ascii="Cambria Math" w:hAnsi="Cambria Math"/>
            </w:rPr>
            <m:t>,</m:t>
          </m:r>
        </m:oMath>
      </m:oMathPara>
    </w:p>
    <w:p w14:paraId="74AFC586" w14:textId="77777777" w:rsidR="002C4A6B" w:rsidRPr="002C4A6B" w:rsidRDefault="002C4A6B" w:rsidP="002C4A6B">
      <w:r w:rsidRPr="002C4A6B">
        <w:t>ce qui le rattache immédiatement au formalisme logarithmique classique. Cependant, l’intérêt de la puissance relative dépasse largement ce simple rappel analytique.</w:t>
      </w:r>
    </w:p>
    <w:p w14:paraId="16399DB8" w14:textId="610612DE" w:rsidR="002C4A6B" w:rsidRPr="002C4A6B" w:rsidRDefault="002C4A6B" w:rsidP="002C4A6B">
      <w:r w:rsidRPr="002C4A6B">
        <w:t xml:space="preserve">En effet, la puissance relative peut être définie non seulement comme une valeur fermée, mais aussi comme le résultat d’un </w:t>
      </w:r>
      <w:r w:rsidRPr="002C4A6B">
        <w:rPr>
          <w:b/>
          <w:bCs/>
        </w:rPr>
        <w:t>processus d’approximation dynamique</w:t>
      </w:r>
      <w:r w:rsidRPr="002C4A6B">
        <w:t xml:space="preserve">. Nous considérons un algorithme qui, à partir de </w:t>
      </w:r>
      <m:oMath>
        <m:r>
          <w:rPr>
            <w:rFonts w:ascii="Cambria Math" w:hAnsi="Cambria Math"/>
          </w:rPr>
          <m:t>A</m:t>
        </m:r>
      </m:oMath>
      <w:r w:rsidRPr="002C4A6B">
        <w:t xml:space="preserve">et </w:t>
      </w:r>
      <m:oMath>
        <m:r>
          <w:rPr>
            <w:rFonts w:ascii="Cambria Math" w:hAnsi="Cambria Math"/>
          </w:rPr>
          <m:t>B</m:t>
        </m:r>
      </m:oMath>
      <w:r w:rsidRPr="002C4A6B">
        <w:t xml:space="preserve">, explore progressivement l’espace des exposants possibles, affine la précision par paliers et converge vers un exposant </w:t>
      </w:r>
      <m:oMath>
        <m:r>
          <w:rPr>
            <w:rFonts w:ascii="Cambria Math" w:hAnsi="Cambria Math"/>
          </w:rPr>
          <m:t>x</m:t>
        </m:r>
      </m:oMath>
      <w:r w:rsidRPr="002C4A6B">
        <w:t>satisfaisant</w:t>
      </w:r>
    </w:p>
    <w:p w14:paraId="3B644F05" w14:textId="703BC943" w:rsidR="002C4A6B" w:rsidRPr="002C4A6B" w:rsidRDefault="002C4A6B" w:rsidP="002C4A6B">
      <m:oMathPara>
        <m:oMath>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x</m:t>
              </m:r>
            </m:sup>
          </m:sSup>
          <m:r>
            <w:rPr>
              <w:rFonts w:ascii="Cambria Math" w:hAnsi="Cambria Math"/>
            </w:rPr>
            <m:t>-B</m:t>
          </m:r>
          <m:r>
            <m:rPr>
              <m:sty m:val="p"/>
            </m:rPr>
            <w:rPr>
              <w:rFonts w:ascii="Cambria Math" w:hAnsi="Cambria Math"/>
            </w:rPr>
            <m:t>∣</m:t>
          </m:r>
          <m:r>
            <w:rPr>
              <w:rFonts w:ascii="Cambria Math" w:hAnsi="Cambria Math"/>
            </w:rPr>
            <m:t>≤ε,</m:t>
          </m:r>
        </m:oMath>
      </m:oMathPara>
    </w:p>
    <w:p w14:paraId="12384EFB" w14:textId="254DE925" w:rsidR="002C4A6B" w:rsidRPr="002C4A6B" w:rsidRDefault="002C4A6B" w:rsidP="002C4A6B">
      <w:r w:rsidRPr="002C4A6B">
        <w:t xml:space="preserve">pour une tolérance </w:t>
      </w:r>
      <m:oMath>
        <m:r>
          <w:rPr>
            <w:rFonts w:ascii="Cambria Math" w:hAnsi="Cambria Math"/>
          </w:rPr>
          <m:t>ε&gt;0</m:t>
        </m:r>
      </m:oMath>
      <w:r w:rsidRPr="002C4A6B">
        <w:t xml:space="preserve">donnée. Cette approche constructive fait de la puissance relative non seulement une quantité statique, mais le condensé d’un </w:t>
      </w:r>
      <w:r w:rsidRPr="002C4A6B">
        <w:rPr>
          <w:b/>
          <w:bCs/>
        </w:rPr>
        <w:t>trajet d’ajustement</w:t>
      </w:r>
      <w:r w:rsidRPr="002C4A6B">
        <w:t xml:space="preserve"> entre une base et une cible.</w:t>
      </w:r>
    </w:p>
    <w:p w14:paraId="153AB6B2" w14:textId="77777777" w:rsidR="002C4A6B" w:rsidRPr="002C4A6B" w:rsidRDefault="002C4A6B" w:rsidP="002C4A6B">
      <w:r w:rsidRPr="002C4A6B">
        <w:t xml:space="preserve">Ce double point de vue — analytique et procédural — ouvre plusieurs perspectives. D’un côté, la puissance relative fournit un nouvel outil de caractérisation des relations entre grandeurs dans des systèmes où les effets non linéaires jouent un rôle central. De l’autre, sa </w:t>
      </w:r>
      <w:r w:rsidRPr="002C4A6B">
        <w:lastRenderedPageBreak/>
        <w:t>formulation algorithmique permet de l’intégrer dans des simulations numériques, des modèles de décision ou des systèmes d’apprentissage où la relation entre deux états n’est pas prédéfinie, mais doit être découverte par exploration.</w:t>
      </w:r>
    </w:p>
    <w:p w14:paraId="087F9765" w14:textId="77777777" w:rsidR="002C4A6B" w:rsidRPr="002C4A6B" w:rsidRDefault="002C4A6B" w:rsidP="002C4A6B">
      <w:r w:rsidRPr="002C4A6B">
        <w:t>Nous montrons dans cet article que la puissance relative :</w:t>
      </w:r>
    </w:p>
    <w:p w14:paraId="21DFB12B" w14:textId="77777777" w:rsidR="002C4A6B" w:rsidRPr="002C4A6B" w:rsidRDefault="002C4A6B" w:rsidP="002C4A6B">
      <w:pPr>
        <w:numPr>
          <w:ilvl w:val="0"/>
          <w:numId w:val="1"/>
        </w:numPr>
      </w:pPr>
      <w:r w:rsidRPr="002C4A6B">
        <w:t>généralise la notion de “niveau de transformation” entre deux grandeurs ;</w:t>
      </w:r>
    </w:p>
    <w:p w14:paraId="1D9C904C" w14:textId="77777777" w:rsidR="002C4A6B" w:rsidRPr="002C4A6B" w:rsidRDefault="002C4A6B" w:rsidP="002C4A6B">
      <w:pPr>
        <w:numPr>
          <w:ilvl w:val="0"/>
          <w:numId w:val="1"/>
        </w:numPr>
      </w:pPr>
      <w:r w:rsidRPr="002C4A6B">
        <w:t>permet d’introduire des indicateurs exponentiels dans des domaines où dominent les ratios linéaires ;</w:t>
      </w:r>
    </w:p>
    <w:p w14:paraId="1A5866A3" w14:textId="77777777" w:rsidR="002C4A6B" w:rsidRPr="002C4A6B" w:rsidRDefault="002C4A6B" w:rsidP="002C4A6B">
      <w:pPr>
        <w:numPr>
          <w:ilvl w:val="0"/>
          <w:numId w:val="1"/>
        </w:numPr>
      </w:pPr>
      <w:proofErr w:type="spellStart"/>
      <w:r w:rsidRPr="002C4A6B">
        <w:t>peut être</w:t>
      </w:r>
      <w:proofErr w:type="spellEnd"/>
      <w:r w:rsidRPr="002C4A6B">
        <w:t xml:space="preserve"> couplée à des grandeurs physiques (énergie, masse, potentiel) pour fournir des indices relationnels dépendant du contexte (par exemple la distance ou la configuration du système) ;</w:t>
      </w:r>
    </w:p>
    <w:p w14:paraId="4C664971" w14:textId="77777777" w:rsidR="002C4A6B" w:rsidRPr="002C4A6B" w:rsidRDefault="002C4A6B" w:rsidP="002C4A6B">
      <w:pPr>
        <w:numPr>
          <w:ilvl w:val="0"/>
          <w:numId w:val="1"/>
        </w:numPr>
      </w:pPr>
      <w:r w:rsidRPr="002C4A6B">
        <w:t>offre un cadre unifié pour analyser des asymétries extrêmes (écarts de richesse, de puissance, de visibilité, etc.) en termes de “hauteur exponentielle” plutôt que de simple écart brut.</w:t>
      </w:r>
    </w:p>
    <w:p w14:paraId="0B1C3FCF" w14:textId="77777777" w:rsidR="002C4A6B" w:rsidRPr="002C4A6B" w:rsidRDefault="002C4A6B" w:rsidP="002C4A6B">
      <w:r w:rsidRPr="002C4A6B">
        <w:t>L’objectif de cette introduction est de poser les bases formelles de la puissance relative, de présenter sa définition mathématique et algorithmique, et d’esquisser ses applications potentielles dans différents champs, en particulier lorsqu’il s’agit de rendre visibles des relations non linéaires entre entités.</w:t>
      </w:r>
    </w:p>
    <w:p w14:paraId="561402F6" w14:textId="77777777" w:rsidR="00D25656" w:rsidRDefault="00D25656"/>
    <w:sectPr w:rsidR="00D2565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F6F78"/>
    <w:multiLevelType w:val="multilevel"/>
    <w:tmpl w:val="25D4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9401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A6B"/>
    <w:rsid w:val="002C4A6B"/>
    <w:rsid w:val="00754AA4"/>
    <w:rsid w:val="009A0053"/>
    <w:rsid w:val="00D25656"/>
    <w:rsid w:val="00F93B1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9788D"/>
  <w15:chartTrackingRefBased/>
  <w15:docId w15:val="{3E151AF5-11A8-4E1D-88F9-F96569144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C4A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C4A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C4A6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C4A6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C4A6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C4A6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C4A6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C4A6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C4A6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ode">
    <w:name w:val="Code"/>
    <w:basedOn w:val="Normal"/>
    <w:link w:val="CodeCar"/>
    <w:autoRedefine/>
    <w:qFormat/>
    <w:rsid w:val="00754AA4"/>
    <w:rPr>
      <w:rFonts w:ascii="Courier New" w:hAnsi="Courier New"/>
    </w:rPr>
  </w:style>
  <w:style w:type="character" w:customStyle="1" w:styleId="CodeCar">
    <w:name w:val="Code Car"/>
    <w:basedOn w:val="Policepardfaut"/>
    <w:link w:val="Code"/>
    <w:rsid w:val="00754AA4"/>
    <w:rPr>
      <w:rFonts w:ascii="Courier New" w:hAnsi="Courier New"/>
    </w:rPr>
  </w:style>
  <w:style w:type="character" w:customStyle="1" w:styleId="Titre1Car">
    <w:name w:val="Titre 1 Car"/>
    <w:basedOn w:val="Policepardfaut"/>
    <w:link w:val="Titre1"/>
    <w:uiPriority w:val="9"/>
    <w:rsid w:val="002C4A6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C4A6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C4A6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C4A6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C4A6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C4A6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C4A6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C4A6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C4A6B"/>
    <w:rPr>
      <w:rFonts w:eastAsiaTheme="majorEastAsia" w:cstheme="majorBidi"/>
      <w:color w:val="272727" w:themeColor="text1" w:themeTint="D8"/>
    </w:rPr>
  </w:style>
  <w:style w:type="paragraph" w:styleId="Titre">
    <w:name w:val="Title"/>
    <w:basedOn w:val="Normal"/>
    <w:next w:val="Normal"/>
    <w:link w:val="TitreCar"/>
    <w:uiPriority w:val="10"/>
    <w:qFormat/>
    <w:rsid w:val="002C4A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C4A6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C4A6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C4A6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C4A6B"/>
    <w:pPr>
      <w:spacing w:before="160"/>
      <w:jc w:val="center"/>
    </w:pPr>
    <w:rPr>
      <w:i/>
      <w:iCs/>
      <w:color w:val="404040" w:themeColor="text1" w:themeTint="BF"/>
    </w:rPr>
  </w:style>
  <w:style w:type="character" w:customStyle="1" w:styleId="CitationCar">
    <w:name w:val="Citation Car"/>
    <w:basedOn w:val="Policepardfaut"/>
    <w:link w:val="Citation"/>
    <w:uiPriority w:val="29"/>
    <w:rsid w:val="002C4A6B"/>
    <w:rPr>
      <w:i/>
      <w:iCs/>
      <w:color w:val="404040" w:themeColor="text1" w:themeTint="BF"/>
    </w:rPr>
  </w:style>
  <w:style w:type="paragraph" w:styleId="Paragraphedeliste">
    <w:name w:val="List Paragraph"/>
    <w:basedOn w:val="Normal"/>
    <w:uiPriority w:val="34"/>
    <w:qFormat/>
    <w:rsid w:val="002C4A6B"/>
    <w:pPr>
      <w:ind w:left="720"/>
      <w:contextualSpacing/>
    </w:pPr>
  </w:style>
  <w:style w:type="character" w:styleId="Accentuationintense">
    <w:name w:val="Intense Emphasis"/>
    <w:basedOn w:val="Policepardfaut"/>
    <w:uiPriority w:val="21"/>
    <w:qFormat/>
    <w:rsid w:val="002C4A6B"/>
    <w:rPr>
      <w:i/>
      <w:iCs/>
      <w:color w:val="2F5496" w:themeColor="accent1" w:themeShade="BF"/>
    </w:rPr>
  </w:style>
  <w:style w:type="paragraph" w:styleId="Citationintense">
    <w:name w:val="Intense Quote"/>
    <w:basedOn w:val="Normal"/>
    <w:next w:val="Normal"/>
    <w:link w:val="CitationintenseCar"/>
    <w:uiPriority w:val="30"/>
    <w:qFormat/>
    <w:rsid w:val="002C4A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C4A6B"/>
    <w:rPr>
      <w:i/>
      <w:iCs/>
      <w:color w:val="2F5496" w:themeColor="accent1" w:themeShade="BF"/>
    </w:rPr>
  </w:style>
  <w:style w:type="character" w:styleId="Rfrenceintense">
    <w:name w:val="Intense Reference"/>
    <w:basedOn w:val="Policepardfaut"/>
    <w:uiPriority w:val="32"/>
    <w:qFormat/>
    <w:rsid w:val="002C4A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524</Words>
  <Characters>2886</Characters>
  <Application>Microsoft Office Word</Application>
  <DocSecurity>0</DocSecurity>
  <Lines>24</Lines>
  <Paragraphs>6</Paragraphs>
  <ScaleCrop>false</ScaleCrop>
  <Company/>
  <LinksUpToDate>false</LinksUpToDate>
  <CharactersWithSpaces>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vicenté llavata</dc:creator>
  <cp:keywords/>
  <dc:description/>
  <cp:lastModifiedBy>vicenté llavata</cp:lastModifiedBy>
  <cp:revision>1</cp:revision>
  <dcterms:created xsi:type="dcterms:W3CDTF">2026-01-06T11:14:00Z</dcterms:created>
  <dcterms:modified xsi:type="dcterms:W3CDTF">2026-01-06T11:17:00Z</dcterms:modified>
</cp:coreProperties>
</file>