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60"/>
      </w:pPr>
      <w:r>
        <w:rPr>
          <w:rFonts w:ascii="Calibri" w:hAnsi="Calibri"/>
          <w:b/>
          <w:i w:val="0"/>
          <w:color w:val="2E74B5"/>
          <w:sz w:val="20"/>
        </w:rPr>
        <w:t>TECHNICAL PRESENTATION BRIEF</w:t>
      </w:r>
    </w:p>
    <w:p>
      <w:pPr>
        <w:spacing w:after="80"/>
      </w:pPr>
      <w:r>
        <w:rPr>
          <w:rFonts w:ascii="Calibri" w:hAnsi="Calibri"/>
          <w:b/>
          <w:i w:val="0"/>
          <w:color w:val="0B2545"/>
          <w:sz w:val="50"/>
        </w:rPr>
        <w:t>Prudentia AI RAG Architecture</w:t>
      </w:r>
    </w:p>
    <w:p>
      <w:pPr>
        <w:spacing w:after="360"/>
      </w:pPr>
      <w:r>
        <w:rPr>
          <w:rFonts w:ascii="Calibri" w:hAnsi="Calibri"/>
          <w:b w:val="0"/>
          <w:i w:val="0"/>
          <w:color w:val="59636E"/>
          <w:sz w:val="28"/>
        </w:rPr>
        <w:t>How governed evidence becomes grounded answers</w:t>
      </w:r>
    </w:p>
    <w:p>
      <w:pPr>
        <w:spacing w:after="240" w:line="276" w:lineRule="auto"/>
      </w:pPr>
      <w:r>
        <w:rPr>
          <w:rFonts w:ascii="Calibri" w:hAnsi="Calibri"/>
          <w:b/>
          <w:i w:val="0"/>
          <w:color w:val="0B2545"/>
          <w:sz w:val="22"/>
        </w:rPr>
        <w:t xml:space="preserve">Core idea: </w:t>
      </w:r>
      <w:r>
        <w:rPr>
          <w:rFonts w:ascii="Calibri" w:hAnsi="Calibri"/>
          <w:b w:val="0"/>
          <w:i w:val="0"/>
          <w:color w:val="20252B"/>
          <w:sz w:val="22"/>
        </w:rPr>
        <w:t>the RAG layer plans what evidence is needed, retrieves only authorized sources, validates support, and returns answers with inspectable provenance.</w:t>
      </w:r>
    </w:p>
    <w:p>
      <w:pPr>
        <w:pStyle w:val="Heading1"/>
      </w:pPr>
      <w:r>
        <w:t>The RAG query path</w:t>
      </w:r>
    </w:p>
    <w:p>
      <w:pPr>
        <w:spacing w:after="100" w:line="264" w:lineRule="auto"/>
      </w:pPr>
      <w:r>
        <w:rPr>
          <w:rFonts w:ascii="Calibri" w:hAnsi="Calibri"/>
          <w:b/>
          <w:i w:val="0"/>
          <w:color w:val="0B2545"/>
          <w:sz w:val="22"/>
        </w:rPr>
        <w:t xml:space="preserve">Scope and authorize.  </w:t>
      </w:r>
      <w:r>
        <w:rPr>
          <w:rFonts w:ascii="Calibri" w:hAnsi="Calibri"/>
          <w:b w:val="0"/>
          <w:i w:val="0"/>
          <w:color w:val="20252B"/>
          <w:sz w:val="22"/>
        </w:rPr>
        <w:t>The request loads session context, resolves an explicit document scope, and applies role, Knowledge Space, clearance, lifecycle, and current-version rules before evidence can leave storage.</w:t>
      </w:r>
    </w:p>
    <w:p>
      <w:pPr>
        <w:spacing w:after="100" w:line="264" w:lineRule="auto"/>
      </w:pPr>
      <w:r>
        <w:rPr>
          <w:rFonts w:ascii="Calibri" w:hAnsi="Calibri"/>
          <w:b/>
          <w:i w:val="0"/>
          <w:color w:val="0B2545"/>
          <w:sz w:val="22"/>
        </w:rPr>
        <w:t xml:space="preserve">Plan evidence needs.  </w:t>
      </w:r>
      <w:r>
        <w:rPr>
          <w:rFonts w:ascii="Calibri" w:hAnsi="Calibri"/>
          <w:b w:val="0"/>
          <w:i w:val="0"/>
          <w:color w:val="20252B"/>
          <w:sz w:val="22"/>
        </w:rPr>
        <w:t>A fast path or typed planner breaks the question into bounded evidence needs, then assigns each need to the source type most likely to answer it.</w:t>
      </w:r>
    </w:p>
    <w:p>
      <w:pPr>
        <w:spacing w:after="100" w:line="264" w:lineRule="auto"/>
      </w:pPr>
      <w:r>
        <w:rPr>
          <w:rFonts w:ascii="Calibri" w:hAnsi="Calibri"/>
          <w:b/>
          <w:i w:val="0"/>
          <w:color w:val="0B2545"/>
          <w:sz w:val="22"/>
        </w:rPr>
        <w:t xml:space="preserve">Retrieve through the right capability.  </w:t>
      </w:r>
      <w:r>
        <w:rPr>
          <w:rFonts w:ascii="Calibri" w:hAnsi="Calibri"/>
          <w:b w:val="0"/>
          <w:i w:val="0"/>
          <w:color w:val="20252B"/>
          <w:sz w:val="22"/>
        </w:rPr>
        <w:t>A deterministic compiler routes each assignment to ABAC-filtered document search, an approved connector catalog and read-only SQL, or authorized graph retrieval. Required sources can run in parallel.</w:t>
      </w:r>
    </w:p>
    <w:p>
      <w:pPr>
        <w:spacing w:after="100" w:line="264" w:lineRule="auto"/>
      </w:pPr>
      <w:r>
        <w:rPr>
          <w:rFonts w:ascii="Calibri" w:hAnsi="Calibri"/>
          <w:b/>
          <w:i w:val="0"/>
          <w:color w:val="0B2545"/>
          <w:sz w:val="22"/>
        </w:rPr>
        <w:t xml:space="preserve">Normalize and rank evidence.  </w:t>
      </w:r>
      <w:r>
        <w:rPr>
          <w:rFonts w:ascii="Calibri" w:hAnsi="Calibri"/>
          <w:b w:val="0"/>
          <w:i w:val="0"/>
          <w:color w:val="20252B"/>
          <w:sz w:val="22"/>
        </w:rPr>
        <w:t>The system preserves provenance, deduplicates shared lineage, reranks while maintaining required coverage, and performs bounded correction when evidence is weak or unavailable.</w:t>
      </w:r>
    </w:p>
    <w:p>
      <w:pPr>
        <w:spacing w:after="100" w:line="264" w:lineRule="auto"/>
      </w:pPr>
      <w:r>
        <w:rPr>
          <w:rFonts w:ascii="Calibri" w:hAnsi="Calibri"/>
          <w:b/>
          <w:i w:val="0"/>
          <w:color w:val="0B2545"/>
          <w:sz w:val="22"/>
        </w:rPr>
        <w:t xml:space="preserve">Synthesize and validate.  </w:t>
      </w:r>
      <w:r>
        <w:rPr>
          <w:rFonts w:ascii="Calibri" w:hAnsi="Calibri"/>
          <w:b w:val="0"/>
          <w:i w:val="0"/>
          <w:color w:val="20252B"/>
          <w:sz w:val="22"/>
        </w:rPr>
        <w:t>Evidence is checked for relevance and sufficiency, conflicts are detected, and the answer passes support and responsiveness validation before it is streamed with citations.</w:t>
      </w:r>
    </w:p>
    <w:p>
      <w:pPr>
        <w:pStyle w:val="Heading1"/>
      </w:pPr>
      <w:r>
        <w:t>Why this stays grounded</w:t>
      </w:r>
    </w:p>
    <w:p>
      <w:pPr>
        <w:spacing w:after="0" w:line="264" w:lineRule="auto"/>
      </w:pPr>
      <w:r>
        <w:rPr>
          <w:rFonts w:ascii="Calibri" w:hAnsi="Calibri"/>
          <w:b w:val="0"/>
          <w:i/>
          <w:color w:val="20252B"/>
          <w:sz w:val="22"/>
        </w:rPr>
        <w:t>Authorization happens before retrieval; evidence retains provenance throughout planning, ranking, and synthesis; and the system can return a partial answer or abstain rather than invent unsupported facts.</w:t>
      </w:r>
    </w:p>
    <w:p>
      <w:r>
        <w:br w:type="page"/>
      </w:r>
    </w:p>
    <w:p>
      <w:pPr>
        <w:spacing w:after="480"/>
      </w:pPr>
    </w:p>
    <w:p>
      <w:pPr>
        <w:pStyle w:val="Heading1"/>
      </w:pPr>
      <w:r>
        <w:t>RAG architecture components</w:t>
      </w:r>
    </w:p>
    <w:p>
      <w:pPr>
        <w:spacing w:after="200"/>
      </w:pPr>
      <w:r>
        <w:rPr>
          <w:rFonts w:ascii="Calibri" w:hAnsi="Calibri"/>
          <w:b w:val="0"/>
          <w:i w:val="0"/>
          <w:color w:val="20252B"/>
          <w:sz w:val="22"/>
        </w:rPr>
        <w:t>The RAG runtime combines governed index storage, purpose-specific reasoning and retrieval components, and model services that can operate locally or in an air-gapped environment.</w:t>
      </w:r>
    </w:p>
    <w:tbl>
      <w:tblPr>
        <w:tblW w:type="dxa" w:w="9360"/>
        <w:jc w:val="left"/>
        <w:tblLayout w:type="fixed"/>
        <w:tblLook w:firstColumn="1" w:firstRow="1" w:lastColumn="0" w:lastRow="0" w:noHBand="0" w:noVBand="1" w:val="04A0"/>
        <w:tblInd w:w="120" w:type="dxa"/>
      </w:tblPr>
      <w:tblGrid>
        <w:gridCol w:w="1980"/>
        <w:gridCol w:w="3210"/>
        <w:gridCol w:w="4170"/>
      </w:tblGrid>
      <w:tr>
        <w:trPr>
          <w:tblHeader w:val="true"/>
        </w:trPr>
        <w:tc>
          <w:tcPr>
            <w:tcW w:type="dxa" w:w="1980"/>
            <w:vAlign w:val="center"/>
            <w:tcMar>
              <w:top w:w="80" w:type="dxa"/>
              <w:start w:w="120" w:type="dxa"/>
              <w:bottom w:w="80" w:type="dxa"/>
              <w:end w:w="120" w:type="dxa"/>
            </w:tcMar>
            <w:shd w:fill="E8EEF5"/>
          </w:tcPr>
          <w:p>
            <w:pPr>
              <w:spacing w:after="0" w:line="252" w:lineRule="auto"/>
            </w:pPr>
            <w:r>
              <w:rPr>
                <w:rFonts w:ascii="Calibri" w:hAnsi="Calibri"/>
                <w:b/>
                <w:i w:val="0"/>
                <w:color w:val="0B2545"/>
                <w:sz w:val="19"/>
              </w:rPr>
              <w:t>RAG stage</w:t>
            </w:r>
          </w:p>
        </w:tc>
        <w:tc>
          <w:tcPr>
            <w:tcW w:type="dxa" w:w="3210"/>
            <w:vAlign w:val="center"/>
            <w:tcMar>
              <w:top w:w="80" w:type="dxa"/>
              <w:start w:w="120" w:type="dxa"/>
              <w:bottom w:w="80" w:type="dxa"/>
              <w:end w:w="120" w:type="dxa"/>
            </w:tcMar>
            <w:shd w:fill="E8EEF5"/>
          </w:tcPr>
          <w:p>
            <w:pPr>
              <w:spacing w:after="0" w:line="252" w:lineRule="auto"/>
            </w:pPr>
            <w:r>
              <w:rPr>
                <w:rFonts w:ascii="Calibri" w:hAnsi="Calibri"/>
                <w:b/>
                <w:i w:val="0"/>
                <w:color w:val="0B2545"/>
                <w:sz w:val="19"/>
              </w:rPr>
              <w:t>Responsibility</w:t>
            </w:r>
          </w:p>
        </w:tc>
        <w:tc>
          <w:tcPr>
            <w:tcW w:type="dxa" w:w="4170"/>
            <w:vAlign w:val="center"/>
            <w:tcMar>
              <w:top w:w="80" w:type="dxa"/>
              <w:start w:w="120" w:type="dxa"/>
              <w:bottom w:w="80" w:type="dxa"/>
              <w:end w:w="120" w:type="dxa"/>
            </w:tcMar>
            <w:shd w:fill="E8EEF5"/>
          </w:tcPr>
          <w:p>
            <w:pPr>
              <w:spacing w:after="0" w:line="252" w:lineRule="auto"/>
            </w:pPr>
            <w:r>
              <w:rPr>
                <w:rFonts w:ascii="Calibri" w:hAnsi="Calibri"/>
                <w:b/>
                <w:i w:val="0"/>
                <w:color w:val="0B2545"/>
                <w:sz w:val="19"/>
              </w:rPr>
              <w:t>Architectural guardrail</w:t>
            </w:r>
          </w:p>
        </w:tc>
      </w:tr>
      <w:tr>
        <w:tc>
          <w:tcPr>
            <w:tcW w:type="dxa" w:w="1980"/>
            <w:shd w:fill="FFFFFF"/>
          </w:tcPr>
          <w:p>
            <w:pPr>
              <w:spacing w:after="0" w:line="252" w:lineRule="auto"/>
            </w:pPr>
            <w:r>
              <w:rPr>
                <w:rFonts w:ascii="Calibri" w:hAnsi="Calibri"/>
                <w:b/>
                <w:i w:val="0"/>
                <w:color w:val="0B2545"/>
                <w:sz w:val="20"/>
              </w:rPr>
              <w:t>Ingestion</w:t>
            </w:r>
          </w:p>
        </w:tc>
        <w:tc>
          <w:tcPr>
            <w:tcW w:type="dxa" w:w="3210"/>
            <w:shd w:fill="FFFFFF"/>
          </w:tcPr>
          <w:p>
            <w:pPr>
              <w:spacing w:after="0" w:line="252" w:lineRule="auto"/>
            </w:pPr>
            <w:r>
              <w:rPr>
                <w:rFonts w:ascii="Calibri" w:hAnsi="Calibri"/>
                <w:b w:val="0"/>
                <w:i w:val="0"/>
                <w:color w:val="20252B"/>
                <w:sz w:val="20"/>
              </w:rPr>
              <w:t>Parse source content, enrich metadata, chunk content, create dense and sparse embeddings, and replace Qdrant points.</w:t>
            </w:r>
          </w:p>
        </w:tc>
        <w:tc>
          <w:tcPr>
            <w:tcW w:type="dxa" w:w="4170"/>
            <w:shd w:fill="FFFFFF"/>
          </w:tcPr>
          <w:p>
            <w:pPr>
              <w:spacing w:after="0" w:line="252" w:lineRule="auto"/>
            </w:pPr>
            <w:r>
              <w:rPr>
                <w:rFonts w:ascii="Calibri" w:hAnsi="Calibri"/>
                <w:b w:val="0"/>
                <w:i w:val="0"/>
                <w:color w:val="20252B"/>
                <w:sz w:val="20"/>
              </w:rPr>
              <w:t>Jobs are durable; low-confidence OCR can pause for human review; vectors carry source anchors, ABAC payloads, and current/superseded state.</w:t>
            </w:r>
          </w:p>
        </w:tc>
      </w:tr>
      <w:tr>
        <w:tc>
          <w:tcPr>
            <w:tcW w:type="dxa" w:w="1980"/>
            <w:shd w:fill="FFFFFF"/>
          </w:tcPr>
          <w:p>
            <w:pPr>
              <w:spacing w:after="0" w:line="252" w:lineRule="auto"/>
            </w:pPr>
            <w:r>
              <w:rPr>
                <w:rFonts w:ascii="Calibri" w:hAnsi="Calibri"/>
                <w:b/>
                <w:i w:val="0"/>
                <w:color w:val="0B2545"/>
                <w:sz w:val="20"/>
              </w:rPr>
              <w:t>Source resolution</w:t>
            </w:r>
          </w:p>
        </w:tc>
        <w:tc>
          <w:tcPr>
            <w:tcW w:type="dxa" w:w="3210"/>
            <w:shd w:fill="FFFFFF"/>
          </w:tcPr>
          <w:p>
            <w:pPr>
              <w:spacing w:after="0" w:line="252" w:lineRule="auto"/>
            </w:pPr>
            <w:r>
              <w:rPr>
                <w:rFonts w:ascii="Calibri" w:hAnsi="Calibri"/>
                <w:b w:val="0"/>
                <w:i w:val="0"/>
                <w:color w:val="20252B"/>
                <w:sz w:val="20"/>
              </w:rPr>
              <w:t>Expose authorized document, connector, and graph source cards to the planner.</w:t>
            </w:r>
          </w:p>
        </w:tc>
        <w:tc>
          <w:tcPr>
            <w:tcW w:type="dxa" w:w="4170"/>
            <w:shd w:fill="FFFFFF"/>
          </w:tcPr>
          <w:p>
            <w:pPr>
              <w:spacing w:after="0" w:line="252" w:lineRule="auto"/>
            </w:pPr>
            <w:r>
              <w:rPr>
                <w:rFonts w:ascii="Calibri" w:hAnsi="Calibri"/>
                <w:b w:val="0"/>
                <w:i w:val="0"/>
                <w:color w:val="20252B"/>
                <w:sz w:val="20"/>
              </w:rPr>
              <w:t>The planner sees only sources the user may access; source category is driven by capability and provenance, not physical storage.</w:t>
            </w:r>
          </w:p>
        </w:tc>
      </w:tr>
      <w:tr>
        <w:tc>
          <w:tcPr>
            <w:tcW w:type="dxa" w:w="1980"/>
            <w:shd w:fill="FFFFFF"/>
          </w:tcPr>
          <w:p>
            <w:pPr>
              <w:spacing w:after="0" w:line="252" w:lineRule="auto"/>
            </w:pPr>
            <w:r>
              <w:rPr>
                <w:rFonts w:ascii="Calibri" w:hAnsi="Calibri"/>
                <w:b/>
                <w:i w:val="0"/>
                <w:color w:val="0B2545"/>
                <w:sz w:val="20"/>
              </w:rPr>
              <w:t>Retrieval execution</w:t>
            </w:r>
          </w:p>
        </w:tc>
        <w:tc>
          <w:tcPr>
            <w:tcW w:type="dxa" w:w="3210"/>
            <w:shd w:fill="FFFFFF"/>
          </w:tcPr>
          <w:p>
            <w:pPr>
              <w:spacing w:after="0" w:line="252" w:lineRule="auto"/>
            </w:pPr>
            <w:r>
              <w:rPr>
                <w:rFonts w:ascii="Calibri" w:hAnsi="Calibri"/>
                <w:b w:val="0"/>
                <w:i w:val="0"/>
                <w:color w:val="20252B"/>
                <w:sz w:val="20"/>
              </w:rPr>
              <w:t>Run indexed search, approved schema/SQL discovery, and graph retrieval for assigned evidence needs.</w:t>
            </w:r>
          </w:p>
        </w:tc>
        <w:tc>
          <w:tcPr>
            <w:tcW w:type="dxa" w:w="4170"/>
            <w:shd w:fill="FFFFFF"/>
          </w:tcPr>
          <w:p>
            <w:pPr>
              <w:spacing w:after="0" w:line="252" w:lineRule="auto"/>
            </w:pPr>
            <w:r>
              <w:rPr>
                <w:rFonts w:ascii="Calibri" w:hAnsi="Calibri"/>
                <w:b w:val="0"/>
                <w:i w:val="0"/>
                <w:color w:val="20252B"/>
                <w:sz w:val="20"/>
              </w:rPr>
              <w:t>Qdrant filters group path, clearance, and lifecycle before chunks leave storage; SQL is validated and read-only.</w:t>
            </w:r>
          </w:p>
        </w:tc>
      </w:tr>
      <w:tr>
        <w:tc>
          <w:tcPr>
            <w:tcW w:type="dxa" w:w="1980"/>
            <w:shd w:fill="FFFFFF"/>
          </w:tcPr>
          <w:p>
            <w:pPr>
              <w:spacing w:after="0" w:line="252" w:lineRule="auto"/>
            </w:pPr>
            <w:r>
              <w:rPr>
                <w:rFonts w:ascii="Calibri" w:hAnsi="Calibri"/>
                <w:b/>
                <w:i w:val="0"/>
                <w:color w:val="0B2545"/>
                <w:sz w:val="20"/>
              </w:rPr>
              <w:t>Evidence governance</w:t>
            </w:r>
          </w:p>
        </w:tc>
        <w:tc>
          <w:tcPr>
            <w:tcW w:type="dxa" w:w="3210"/>
            <w:shd w:fill="FFFFFF"/>
          </w:tcPr>
          <w:p>
            <w:pPr>
              <w:spacing w:after="0" w:line="252" w:lineRule="auto"/>
            </w:pPr>
            <w:r>
              <w:rPr>
                <w:rFonts w:ascii="Calibri" w:hAnsi="Calibri"/>
                <w:b w:val="0"/>
                <w:i w:val="0"/>
                <w:color w:val="20252B"/>
                <w:sz w:val="20"/>
              </w:rPr>
              <w:t>Merge provenance-aware evidence, deduplicate lineage, rerank for coverage, and detect conflicts.</w:t>
            </w:r>
          </w:p>
        </w:tc>
        <w:tc>
          <w:tcPr>
            <w:tcW w:type="dxa" w:w="4170"/>
            <w:shd w:fill="FFFFFF"/>
          </w:tcPr>
          <w:p>
            <w:pPr>
              <w:spacing w:after="0" w:line="252" w:lineRule="auto"/>
            </w:pPr>
            <w:r>
              <w:rPr>
                <w:rFonts w:ascii="Calibri" w:hAnsi="Calibri"/>
                <w:b w:val="0"/>
                <w:i w:val="0"/>
                <w:color w:val="20252B"/>
                <w:sz w:val="20"/>
              </w:rPr>
              <w:t>Bounded rewrite and correction prevent unbounded retry loops; duplicate facts are not treated as independent corroboration.</w:t>
            </w:r>
          </w:p>
        </w:tc>
      </w:tr>
      <w:tr>
        <w:tc>
          <w:tcPr>
            <w:tcW w:type="dxa" w:w="1980"/>
            <w:shd w:fill="FFFFFF"/>
          </w:tcPr>
          <w:p>
            <w:pPr>
              <w:spacing w:after="0" w:line="252" w:lineRule="auto"/>
            </w:pPr>
            <w:r>
              <w:rPr>
                <w:rFonts w:ascii="Calibri" w:hAnsi="Calibri"/>
                <w:b/>
                <w:i w:val="0"/>
                <w:color w:val="0B2545"/>
                <w:sz w:val="20"/>
              </w:rPr>
              <w:t>Answering</w:t>
            </w:r>
          </w:p>
        </w:tc>
        <w:tc>
          <w:tcPr>
            <w:tcW w:type="dxa" w:w="3210"/>
            <w:shd w:fill="FFFFFF"/>
          </w:tcPr>
          <w:p>
            <w:pPr>
              <w:spacing w:after="0" w:line="252" w:lineRule="auto"/>
            </w:pPr>
            <w:r>
              <w:rPr>
                <w:rFonts w:ascii="Calibri" w:hAnsi="Calibri"/>
                <w:b w:val="0"/>
                <w:i w:val="0"/>
                <w:color w:val="20252B"/>
                <w:sz w:val="20"/>
              </w:rPr>
              <w:t>Build evidence, synthesize a response, and validate support and responsiveness.</w:t>
            </w:r>
          </w:p>
        </w:tc>
        <w:tc>
          <w:tcPr>
            <w:tcW w:type="dxa" w:w="4170"/>
            <w:shd w:fill="FFFFFF"/>
          </w:tcPr>
          <w:p>
            <w:pPr>
              <w:spacing w:after="0" w:line="252" w:lineRule="auto"/>
            </w:pPr>
            <w:r>
              <w:rPr>
                <w:rFonts w:ascii="Calibri" w:hAnsi="Calibri"/>
                <w:b w:val="0"/>
                <w:i w:val="0"/>
                <w:color w:val="20252B"/>
                <w:sz w:val="20"/>
              </w:rPr>
              <w:t>Streaming output retains citations; the system can return partial results or abstain when the evidence gate is not satisfied.</w:t>
            </w:r>
          </w:p>
        </w:tc>
      </w:tr>
    </w:tbl>
    <w:p>
      <w:pPr>
        <w:pStyle w:val="Heading1"/>
      </w:pPr>
      <w:r>
        <w:t>Knowledge preparation for retrieval</w:t>
      </w:r>
    </w:p>
    <w:p>
      <w:pPr>
        <w:spacing w:after="100" w:line="264" w:lineRule="auto"/>
      </w:pPr>
      <w:r>
        <w:rPr>
          <w:rFonts w:ascii="Calibri" w:hAnsi="Calibri"/>
          <w:b/>
          <w:i w:val="0"/>
          <w:color w:val="0B2545"/>
          <w:sz w:val="22"/>
        </w:rPr>
        <w:t xml:space="preserve">Ingest as a durable workflow.  </w:t>
      </w:r>
      <w:r>
        <w:rPr>
          <w:rFonts w:ascii="Calibri" w:hAnsi="Calibri"/>
          <w:b w:val="0"/>
          <w:i w:val="0"/>
          <w:color w:val="20252B"/>
          <w:sz w:val="22"/>
        </w:rPr>
        <w:t>Files are stored in MinIO while Postgres records document metadata and job state. Workers parse PDF, DOCX, PPTX, JSON, and image content, then persist metadata, claims, and review batches through internal APIs.</w:t>
      </w:r>
    </w:p>
    <w:p>
      <w:pPr>
        <w:spacing w:after="100" w:line="264" w:lineRule="auto"/>
      </w:pPr>
      <w:r>
        <w:rPr>
          <w:rFonts w:ascii="Calibri" w:hAnsi="Calibri"/>
          <w:b/>
          <w:i w:val="0"/>
          <w:color w:val="0B2545"/>
          <w:sz w:val="22"/>
        </w:rPr>
        <w:t xml:space="preserve">Index with access context.  </w:t>
      </w:r>
      <w:r>
        <w:rPr>
          <w:rFonts w:ascii="Calibri" w:hAnsi="Calibri"/>
          <w:b w:val="0"/>
          <w:i w:val="0"/>
          <w:color w:val="20252B"/>
          <w:sz w:val="22"/>
        </w:rPr>
        <w:t>Qdrant stores dense, sparse, and table-row vectors with source anchors and ABAC payload fields. Replacement uploads commit supersession only after indexing succeeds.</w:t>
      </w:r>
    </w:p>
    <w:p>
      <w:pPr>
        <w:spacing w:after="100" w:line="264" w:lineRule="auto"/>
      </w:pPr>
      <w:r>
        <w:rPr>
          <w:rFonts w:ascii="Calibri" w:hAnsi="Calibri"/>
          <w:b/>
          <w:i w:val="0"/>
          <w:color w:val="0B2545"/>
          <w:sz w:val="22"/>
        </w:rPr>
        <w:t xml:space="preserve">Operate locally.  </w:t>
      </w:r>
      <w:r>
        <w:rPr>
          <w:rFonts w:ascii="Calibri" w:hAnsi="Calibri"/>
          <w:b w:val="0"/>
          <w:i w:val="0"/>
          <w:color w:val="20252B"/>
          <w:sz w:val="22"/>
        </w:rPr>
        <w:t>FastEmbed, Docling, RapidOCR, Ollama, and optional vLLM model artifacts can be prewarmed for offline use. The runtime fails clearly rather than silently downloading models.</w:t>
      </w:r>
    </w:p>
    <w:p>
      <w:pPr>
        <w:pStyle w:val="Heading1"/>
      </w:pPr>
      <w:r>
        <w:t>Presentation takeaway</w:t>
      </w:r>
    </w:p>
    <w:p>
      <w:pPr>
        <w:spacing w:after="0"/>
      </w:pPr>
      <w:r>
        <w:rPr>
          <w:rFonts w:ascii="Calibri" w:hAnsi="Calibri"/>
          <w:b/>
          <w:i w:val="0"/>
          <w:color w:val="0B2545"/>
          <w:sz w:val="22"/>
        </w:rPr>
        <w:t>Prudentia AI is not a single vector search plus a model prompt. It is a governed retrieval system that treats access control, evidence planning, provenance, conflict handling, and faithfulness checks as part of the answer path.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9636E"/>
        <w:sz w:val="17"/>
      </w:rPr>
      <w:t xml:space="preserve">Presentation brief  |  </w:t>
    </w:r>
    <w:r>
      <w:rPr>
        <w:rFonts w:ascii="Calibri" w:hAnsi="Calibri"/>
        <w:b w:val="0"/>
        <w:i w:val="0"/>
        <w:color w:val="59636E"/>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9636E"/>
        <w:sz w:val="17"/>
      </w:rPr>
      <w:t>PRUDENTIA AI  |  RAG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Prudentia AI RAG Architecture</dc:title>
  <dc:subject>RAG architecture presentation brief</dc:subject>
  <dc:creator>Prudentia AI</dc:creator>
  <cp:keywords/>
  <dc:description>generated by python-docx</dc:description>
  <cp:lastModifiedBy/>
  <cp:revision>1</cp:revision>
  <dcterms:created xsi:type="dcterms:W3CDTF">2013-12-23T23:15:00Z</dcterms:created>
  <dcterms:modified xsi:type="dcterms:W3CDTF">2013-12-23T23:15:00Z</dcterms:modified>
  <cp:category/>
</cp:coreProperties>
</file>