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b/>
          <w:color w:val="1F4D78"/>
          <w:sz w:val="48"/>
        </w:rPr>
        <w:t>Prudentia AI Administrator Manual</w:t>
      </w:r>
    </w:p>
    <w:p>
      <w:r>
        <w:rPr>
          <w:rFonts w:ascii="Calibri" w:hAnsi="Calibri"/>
        </w:rPr>
        <w:t>Last updated: 2026-07-18</w:t>
      </w:r>
    </w:p>
    <w:p>
      <w:r>
        <w:rPr>
          <w:rFonts w:ascii="Calibri" w:hAnsi="Calibri"/>
        </w:rPr>
        <w:t>This manual explains how to administer Prudentia AI from the web application. It is written for Platform Admins, System Admins, and Space Admins. For startup, backup, update, and Docker runtime work, use the Operator Manual (operator-manual.md).</w:t>
      </w:r>
    </w:p>
    <w:p>
      <w:pPr>
        <w:pStyle w:val="Heading2"/>
      </w:pPr>
      <w:r>
        <w:rPr>
          <w:rFonts w:ascii="Calibri" w:hAnsi="Calibri"/>
        </w:rPr>
        <w:t>1. Administrator Roles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00"/>
            <w:vAlign w:val="center"/>
            <w:tcMar>
              <w:top w:w="80" w:type="dxa"/>
              <w:bottom w:w="80" w:type="dxa"/>
              <w:start w:w="120" w:type="dxa"/>
              <w:end w:w="120" w:type="dxa"/>
            </w:tcMar>
            <w:shd w:fill="E8EEF5"/>
          </w:tcPr>
          <w:p>
            <w:pPr>
              <w:spacing w:after="0"/>
            </w:pPr>
            <w:r>
              <w:rPr>
                <w:rFonts w:ascii="Calibri" w:hAnsi="Calibri"/>
                <w:b/>
              </w:rPr>
              <w:t>Role</w:t>
            </w:r>
          </w:p>
        </w:tc>
        <w:tc>
          <w:tcPr>
            <w:tcW w:type="dxa" w:w="3260"/>
            <w:vAlign w:val="center"/>
            <w:tcMar>
              <w:top w:w="80" w:type="dxa"/>
              <w:bottom w:w="80" w:type="dxa"/>
              <w:start w:w="120" w:type="dxa"/>
              <w:end w:w="120" w:type="dxa"/>
            </w:tcMar>
            <w:shd w:fill="E8EEF5"/>
          </w:tcPr>
          <w:p>
            <w:pPr>
              <w:spacing w:after="0"/>
            </w:pPr>
            <w:r>
              <w:rPr>
                <w:rFonts w:ascii="Calibri" w:hAnsi="Calibri"/>
                <w:b/>
              </w:rPr>
              <w:t>Main responsibility</w:t>
            </w:r>
          </w:p>
        </w:tc>
        <w:tc>
          <w:tcPr>
            <w:tcW w:type="dxa" w:w="4000"/>
            <w:vAlign w:val="center"/>
            <w:tcMar>
              <w:top w:w="80" w:type="dxa"/>
              <w:bottom w:w="80" w:type="dxa"/>
              <w:start w:w="120" w:type="dxa"/>
              <w:end w:w="120" w:type="dxa"/>
            </w:tcMar>
            <w:shd w:fill="E8EEF5"/>
          </w:tcPr>
          <w:p>
            <w:pPr>
              <w:spacing w:after="0"/>
            </w:pPr>
            <w:r>
              <w:rPr>
                <w:rFonts w:ascii="Calibri" w:hAnsi="Calibri"/>
                <w:b/>
              </w:rPr>
              <w:t>Important limits</w:t>
            </w:r>
          </w:p>
        </w:tc>
      </w:tr>
      <w:tr>
        <w:tc>
          <w:tcPr>
            <w:tcW w:type="dxa" w:w="2100"/>
            <w:vAlign w:val="center"/>
            <w:tcMar>
              <w:top w:w="80" w:type="dxa"/>
              <w:bottom w:w="80" w:type="dxa"/>
              <w:start w:w="120" w:type="dxa"/>
              <w:end w:w="120" w:type="dxa"/>
            </w:tcMar>
          </w:tcPr>
          <w:p>
            <w:pPr>
              <w:spacing w:after="0"/>
            </w:pPr>
            <w:r>
              <w:rPr>
                <w:rFonts w:ascii="Calibri" w:hAnsi="Calibri"/>
              </w:rPr>
              <w:t>Platform Admin</w:t>
            </w:r>
          </w:p>
        </w:tc>
        <w:tc>
          <w:tcPr>
            <w:tcW w:type="dxa" w:w="3260"/>
            <w:vAlign w:val="center"/>
            <w:tcMar>
              <w:top w:w="80" w:type="dxa"/>
              <w:bottom w:w="80" w:type="dxa"/>
              <w:start w:w="120" w:type="dxa"/>
              <w:end w:w="120" w:type="dxa"/>
            </w:tcMar>
          </w:tcPr>
          <w:p>
            <w:pPr>
              <w:spacing w:after="0"/>
            </w:pPr>
            <w:r>
              <w:rPr>
                <w:rFonts w:ascii="Calibri" w:hAnsi="Calibri"/>
              </w:rPr>
              <w:t>Full platform ownership, Runtime Settings, RAG Evaluation, users, spaces, audit, documents, connectors</w:t>
            </w:r>
          </w:p>
        </w:tc>
        <w:tc>
          <w:tcPr>
            <w:tcW w:type="dxa" w:w="4000"/>
            <w:vAlign w:val="center"/>
            <w:tcMar>
              <w:top w:w="80" w:type="dxa"/>
              <w:bottom w:w="80" w:type="dxa"/>
              <w:start w:w="120" w:type="dxa"/>
              <w:end w:w="120" w:type="dxa"/>
            </w:tcMar>
          </w:tcPr>
          <w:p>
            <w:pPr>
              <w:spacing w:after="0"/>
            </w:pPr>
            <w:r>
              <w:rPr>
                <w:rFonts w:ascii="Calibri" w:hAnsi="Calibri"/>
              </w:rPr>
              <w:t>Use sparingly. This role can change runtime behavior for the whole deployment.</w:t>
            </w:r>
          </w:p>
        </w:tc>
      </w:tr>
      <w:tr>
        <w:tc>
          <w:tcPr>
            <w:tcW w:type="dxa" w:w="2100"/>
            <w:vAlign w:val="center"/>
            <w:tcMar>
              <w:top w:w="80" w:type="dxa"/>
              <w:bottom w:w="80" w:type="dxa"/>
              <w:start w:w="120" w:type="dxa"/>
              <w:end w:w="120" w:type="dxa"/>
            </w:tcMar>
          </w:tcPr>
          <w:p>
            <w:pPr>
              <w:spacing w:after="0"/>
            </w:pPr>
            <w:r>
              <w:rPr>
                <w:rFonts w:ascii="Calibri" w:hAnsi="Calibri"/>
              </w:rPr>
              <w:t>System Admin</w:t>
            </w:r>
          </w:p>
        </w:tc>
        <w:tc>
          <w:tcPr>
            <w:tcW w:type="dxa" w:w="3260"/>
            <w:vAlign w:val="center"/>
            <w:tcMar>
              <w:top w:w="80" w:type="dxa"/>
              <w:bottom w:w="80" w:type="dxa"/>
              <w:start w:w="120" w:type="dxa"/>
              <w:end w:w="120" w:type="dxa"/>
            </w:tcMar>
          </w:tcPr>
          <w:p>
            <w:pPr>
              <w:spacing w:after="0"/>
            </w:pPr>
            <w:r>
              <w:rPr>
                <w:rFonts w:ascii="Calibri" w:hAnsi="Calibri"/>
              </w:rPr>
              <w:t>Global operations, users except Platform Admins, spaces, documents, review, audit, recovery</w:t>
            </w:r>
          </w:p>
        </w:tc>
        <w:tc>
          <w:tcPr>
            <w:tcW w:type="dxa" w:w="4000"/>
            <w:vAlign w:val="center"/>
            <w:tcMar>
              <w:top w:w="80" w:type="dxa"/>
              <w:bottom w:w="80" w:type="dxa"/>
              <w:start w:w="120" w:type="dxa"/>
              <w:end w:w="120" w:type="dxa"/>
            </w:tcMar>
          </w:tcPr>
          <w:p>
            <w:pPr>
              <w:spacing w:after="0"/>
            </w:pPr>
            <w:r>
              <w:rPr>
                <w:rFonts w:ascii="Calibri" w:hAnsi="Calibri"/>
              </w:rPr>
              <w:t>No Platform Admin-only Runtime Settings or RAG Evaluation access.</w:t>
            </w:r>
          </w:p>
        </w:tc>
      </w:tr>
      <w:tr>
        <w:tc>
          <w:tcPr>
            <w:tcW w:type="dxa" w:w="2100"/>
            <w:vAlign w:val="center"/>
            <w:tcMar>
              <w:top w:w="80" w:type="dxa"/>
              <w:bottom w:w="80" w:type="dxa"/>
              <w:start w:w="120" w:type="dxa"/>
              <w:end w:w="120" w:type="dxa"/>
            </w:tcMar>
          </w:tcPr>
          <w:p>
            <w:pPr>
              <w:spacing w:after="0"/>
            </w:pPr>
            <w:r>
              <w:rPr>
                <w:rFonts w:ascii="Calibri" w:hAnsi="Calibri"/>
              </w:rPr>
              <w:t>Space Admin</w:t>
            </w:r>
          </w:p>
        </w:tc>
        <w:tc>
          <w:tcPr>
            <w:tcW w:type="dxa" w:w="3260"/>
            <w:vAlign w:val="center"/>
            <w:tcMar>
              <w:top w:w="80" w:type="dxa"/>
              <w:bottom w:w="80" w:type="dxa"/>
              <w:start w:w="120" w:type="dxa"/>
              <w:end w:w="120" w:type="dxa"/>
            </w:tcMar>
          </w:tcPr>
          <w:p>
            <w:pPr>
              <w:spacing w:after="0"/>
            </w:pPr>
            <w:r>
              <w:rPr>
                <w:rFonts w:ascii="Calibri" w:hAnsi="Calibri"/>
              </w:rPr>
              <w:t>Knowledge Space governance, document work, review, and scoped user management</w:t>
            </w:r>
          </w:p>
        </w:tc>
        <w:tc>
          <w:tcPr>
            <w:tcW w:type="dxa" w:w="4000"/>
            <w:vAlign w:val="center"/>
            <w:tcMar>
              <w:top w:w="80" w:type="dxa"/>
              <w:bottom w:w="80" w:type="dxa"/>
              <w:start w:w="120" w:type="dxa"/>
              <w:end w:w="120" w:type="dxa"/>
            </w:tcMar>
          </w:tcPr>
          <w:p>
            <w:pPr>
              <w:spacing w:after="0"/>
            </w:pPr>
            <w:r>
              <w:rPr>
                <w:rFonts w:ascii="Calibri" w:hAnsi="Calibri"/>
              </w:rPr>
              <w:t>Can manage allowed spaces, documents, connectors, and lower-scope users, but not global platform settings or peer/admin accounts.</w:t>
            </w:r>
          </w:p>
        </w:tc>
      </w:tr>
    </w:tbl>
    <w:p>
      <w:pPr>
        <w:spacing w:after="120"/>
      </w:pPr>
    </w:p>
    <w:p>
      <w:pPr>
        <w:pStyle w:val="Heading3"/>
      </w:pPr>
      <w:r>
        <w:rPr>
          <w:rFonts w:ascii="Calibri" w:hAnsi="Calibri"/>
        </w:rPr>
        <w:t>Account Type Assignment Reference</w:t>
      </w:r>
    </w:p>
    <w:p>
      <w:r>
        <w:rPr>
          <w:rFonts w:ascii="Calibri" w:hAnsi="Calibri"/>
        </w:rPr>
        <w:t>Use the narrowest role that lets the person do their job.</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800"/>
            <w:vAlign w:val="center"/>
            <w:tcMar>
              <w:top w:w="80" w:type="dxa"/>
              <w:bottom w:w="80" w:type="dxa"/>
              <w:start w:w="120" w:type="dxa"/>
              <w:end w:w="120" w:type="dxa"/>
            </w:tcMar>
            <w:shd w:fill="E8EEF5"/>
          </w:tcPr>
          <w:p>
            <w:pPr>
              <w:spacing w:after="0"/>
            </w:pPr>
            <w:r>
              <w:rPr>
                <w:rFonts w:ascii="Calibri" w:hAnsi="Calibri"/>
                <w:b/>
              </w:rPr>
              <w:t>Account type</w:t>
            </w:r>
          </w:p>
        </w:tc>
        <w:tc>
          <w:tcPr>
            <w:tcW w:type="dxa" w:w="2400"/>
            <w:vAlign w:val="center"/>
            <w:tcMar>
              <w:top w:w="80" w:type="dxa"/>
              <w:bottom w:w="80" w:type="dxa"/>
              <w:start w:w="120" w:type="dxa"/>
              <w:end w:w="120" w:type="dxa"/>
            </w:tcMar>
            <w:shd w:fill="E8EEF5"/>
          </w:tcPr>
          <w:p>
            <w:pPr>
              <w:spacing w:after="0"/>
            </w:pPr>
            <w:r>
              <w:rPr>
                <w:rFonts w:ascii="Calibri" w:hAnsi="Calibri"/>
                <w:b/>
              </w:rPr>
              <w:t>Why it exists</w:t>
            </w:r>
          </w:p>
        </w:tc>
        <w:tc>
          <w:tcPr>
            <w:tcW w:type="dxa" w:w="2400"/>
            <w:vAlign w:val="center"/>
            <w:tcMar>
              <w:top w:w="80" w:type="dxa"/>
              <w:bottom w:w="80" w:type="dxa"/>
              <w:start w:w="120" w:type="dxa"/>
              <w:end w:w="120" w:type="dxa"/>
            </w:tcMar>
            <w:shd w:fill="E8EEF5"/>
          </w:tcPr>
          <w:p>
            <w:pPr>
              <w:spacing w:after="0"/>
            </w:pPr>
            <w:r>
              <w:rPr>
                <w:rFonts w:ascii="Calibri" w:hAnsi="Calibri"/>
                <w:b/>
              </w:rPr>
              <w:t>Use it when the person needs to</w:t>
            </w:r>
          </w:p>
        </w:tc>
        <w:tc>
          <w:tcPr>
            <w:tcW w:type="dxa" w:w="2760"/>
            <w:vAlign w:val="center"/>
            <w:tcMar>
              <w:top w:w="80" w:type="dxa"/>
              <w:bottom w:w="80" w:type="dxa"/>
              <w:start w:w="120" w:type="dxa"/>
              <w:end w:w="120" w:type="dxa"/>
            </w:tcMar>
            <w:shd w:fill="E8EEF5"/>
          </w:tcPr>
          <w:p>
            <w:pPr>
              <w:spacing w:after="0"/>
            </w:pPr>
            <w:r>
              <w:rPr>
                <w:rFonts w:ascii="Calibri" w:hAnsi="Calibri"/>
                <w:b/>
              </w:rPr>
              <w:t>Do not use it when</w:t>
            </w:r>
          </w:p>
        </w:tc>
      </w:tr>
      <w:tr>
        <w:tc>
          <w:tcPr>
            <w:tcW w:type="dxa" w:w="1800"/>
            <w:vAlign w:val="center"/>
            <w:tcMar>
              <w:top w:w="80" w:type="dxa"/>
              <w:bottom w:w="80" w:type="dxa"/>
              <w:start w:w="120" w:type="dxa"/>
              <w:end w:w="120" w:type="dxa"/>
            </w:tcMar>
          </w:tcPr>
          <w:p>
            <w:pPr>
              <w:spacing w:after="0"/>
            </w:pPr>
            <w:r>
              <w:rPr>
                <w:rFonts w:ascii="Calibri" w:hAnsi="Calibri"/>
              </w:rPr>
              <w:t>Platform Admin</w:t>
            </w:r>
          </w:p>
        </w:tc>
        <w:tc>
          <w:tcPr>
            <w:tcW w:type="dxa" w:w="2400"/>
            <w:vAlign w:val="center"/>
            <w:tcMar>
              <w:top w:w="80" w:type="dxa"/>
              <w:bottom w:w="80" w:type="dxa"/>
              <w:start w:w="120" w:type="dxa"/>
              <w:end w:w="120" w:type="dxa"/>
            </w:tcMar>
          </w:tcPr>
          <w:p>
            <w:pPr>
              <w:spacing w:after="0"/>
            </w:pPr>
            <w:r>
              <w:rPr>
                <w:rFonts w:ascii="Calibri" w:hAnsi="Calibri"/>
              </w:rPr>
              <w:t>Full platform ownership</w:t>
            </w:r>
          </w:p>
        </w:tc>
        <w:tc>
          <w:tcPr>
            <w:tcW w:type="dxa" w:w="2400"/>
            <w:vAlign w:val="center"/>
            <w:tcMar>
              <w:top w:w="80" w:type="dxa"/>
              <w:bottom w:w="80" w:type="dxa"/>
              <w:start w:w="120" w:type="dxa"/>
              <w:end w:w="120" w:type="dxa"/>
            </w:tcMar>
          </w:tcPr>
          <w:p>
            <w:pPr>
              <w:spacing w:after="0"/>
            </w:pPr>
            <w:r>
              <w:rPr>
                <w:rFonts w:ascii="Calibri" w:hAnsi="Calibri"/>
              </w:rPr>
              <w:t>Manage every user and space, change Runtime Settings, run evaluations, govern connectors, review audit, and make deployment-wide model choices</w:t>
            </w:r>
          </w:p>
        </w:tc>
        <w:tc>
          <w:tcPr>
            <w:tcW w:type="dxa" w:w="2760"/>
            <w:vAlign w:val="center"/>
            <w:tcMar>
              <w:top w:w="80" w:type="dxa"/>
              <w:bottom w:w="80" w:type="dxa"/>
              <w:start w:w="120" w:type="dxa"/>
              <w:end w:w="120" w:type="dxa"/>
            </w:tcMar>
          </w:tcPr>
          <w:p>
            <w:pPr>
              <w:spacing w:after="0"/>
            </w:pPr>
            <w:r>
              <w:rPr>
                <w:rFonts w:ascii="Calibri" w:hAnsi="Calibri"/>
              </w:rPr>
              <w:t>The person only needs operational or space-level administration</w:t>
            </w:r>
          </w:p>
        </w:tc>
      </w:tr>
      <w:tr>
        <w:tc>
          <w:tcPr>
            <w:tcW w:type="dxa" w:w="1800"/>
            <w:vAlign w:val="center"/>
            <w:tcMar>
              <w:top w:w="80" w:type="dxa"/>
              <w:bottom w:w="80" w:type="dxa"/>
              <w:start w:w="120" w:type="dxa"/>
              <w:end w:w="120" w:type="dxa"/>
            </w:tcMar>
          </w:tcPr>
          <w:p>
            <w:pPr>
              <w:spacing w:after="0"/>
            </w:pPr>
            <w:r>
              <w:rPr>
                <w:rFonts w:ascii="Calibri" w:hAnsi="Calibri"/>
              </w:rPr>
              <w:t>System Admin</w:t>
            </w:r>
          </w:p>
        </w:tc>
        <w:tc>
          <w:tcPr>
            <w:tcW w:type="dxa" w:w="2400"/>
            <w:vAlign w:val="center"/>
            <w:tcMar>
              <w:top w:w="80" w:type="dxa"/>
              <w:bottom w:w="80" w:type="dxa"/>
              <w:start w:w="120" w:type="dxa"/>
              <w:end w:w="120" w:type="dxa"/>
            </w:tcMar>
          </w:tcPr>
          <w:p>
            <w:pPr>
              <w:spacing w:after="0"/>
            </w:pPr>
            <w:r>
              <w:rPr>
                <w:rFonts w:ascii="Calibri" w:hAnsi="Calibri"/>
              </w:rPr>
              <w:t>Global operations without Runtime Settings</w:t>
            </w:r>
          </w:p>
        </w:tc>
        <w:tc>
          <w:tcPr>
            <w:tcW w:type="dxa" w:w="2400"/>
            <w:vAlign w:val="center"/>
            <w:tcMar>
              <w:top w:w="80" w:type="dxa"/>
              <w:bottom w:w="80" w:type="dxa"/>
              <w:start w:w="120" w:type="dxa"/>
              <w:end w:w="120" w:type="dxa"/>
            </w:tcMar>
          </w:tcPr>
          <w:p>
            <w:pPr>
              <w:spacing w:after="0"/>
            </w:pPr>
            <w:r>
              <w:rPr>
                <w:rFonts w:ascii="Calibri" w:hAnsi="Calibri"/>
              </w:rPr>
              <w:t>Manage users except Platform Admins, govern documents, recover ingestion, review audit, resolve Review Queue holds, and manage spaces globally</w:t>
            </w:r>
          </w:p>
        </w:tc>
        <w:tc>
          <w:tcPr>
            <w:tcW w:type="dxa" w:w="2760"/>
            <w:vAlign w:val="center"/>
            <w:tcMar>
              <w:top w:w="80" w:type="dxa"/>
              <w:bottom w:w="80" w:type="dxa"/>
              <w:start w:w="120" w:type="dxa"/>
              <w:end w:w="120" w:type="dxa"/>
            </w:tcMar>
          </w:tcPr>
          <w:p>
            <w:pPr>
              <w:spacing w:after="0"/>
            </w:pPr>
            <w:r>
              <w:rPr>
                <w:rFonts w:ascii="Calibri" w:hAnsi="Calibri"/>
              </w:rPr>
              <w:t>The person must change model/provider settings or run RAG Evaluation</w:t>
            </w:r>
          </w:p>
        </w:tc>
      </w:tr>
      <w:tr>
        <w:tc>
          <w:tcPr>
            <w:tcW w:type="dxa" w:w="1800"/>
            <w:vAlign w:val="center"/>
            <w:tcMar>
              <w:top w:w="80" w:type="dxa"/>
              <w:bottom w:w="80" w:type="dxa"/>
              <w:start w:w="120" w:type="dxa"/>
              <w:end w:w="120" w:type="dxa"/>
            </w:tcMar>
          </w:tcPr>
          <w:p>
            <w:pPr>
              <w:spacing w:after="0"/>
            </w:pPr>
            <w:r>
              <w:rPr>
                <w:rFonts w:ascii="Calibri" w:hAnsi="Calibri"/>
              </w:rPr>
              <w:t>Space Admin</w:t>
            </w:r>
          </w:p>
        </w:tc>
        <w:tc>
          <w:tcPr>
            <w:tcW w:type="dxa" w:w="2400"/>
            <w:vAlign w:val="center"/>
            <w:tcMar>
              <w:top w:w="80" w:type="dxa"/>
              <w:bottom w:w="80" w:type="dxa"/>
              <w:start w:w="120" w:type="dxa"/>
              <w:end w:w="120" w:type="dxa"/>
            </w:tcMar>
          </w:tcPr>
          <w:p>
            <w:pPr>
              <w:spacing w:after="0"/>
            </w:pPr>
            <w:r>
              <w:rPr>
                <w:rFonts w:ascii="Calibri" w:hAnsi="Calibri"/>
              </w:rPr>
              <w:t>Space-level administration</w:t>
            </w:r>
          </w:p>
        </w:tc>
        <w:tc>
          <w:tcPr>
            <w:tcW w:type="dxa" w:w="2400"/>
            <w:vAlign w:val="center"/>
            <w:tcMar>
              <w:top w:w="80" w:type="dxa"/>
              <w:bottom w:w="80" w:type="dxa"/>
              <w:start w:w="120" w:type="dxa"/>
              <w:end w:w="120" w:type="dxa"/>
            </w:tcMar>
          </w:tcPr>
          <w:p>
            <w:pPr>
              <w:spacing w:after="0"/>
            </w:pPr>
            <w:r>
              <w:rPr>
                <w:rFonts w:ascii="Calibri" w:hAnsi="Calibri"/>
              </w:rPr>
              <w:t>Manage assigned spaces, scoped Chat Member and Document Contributor accounts, uploads, folder sources, connector scopes, document lifecycle, and Review Queue work</w:t>
            </w:r>
          </w:p>
        </w:tc>
        <w:tc>
          <w:tcPr>
            <w:tcW w:type="dxa" w:w="2760"/>
            <w:vAlign w:val="center"/>
            <w:tcMar>
              <w:top w:w="80" w:type="dxa"/>
              <w:bottom w:w="80" w:type="dxa"/>
              <w:start w:w="120" w:type="dxa"/>
              <w:end w:w="120" w:type="dxa"/>
            </w:tcMar>
          </w:tcPr>
          <w:p>
            <w:pPr>
              <w:spacing w:after="0"/>
            </w:pPr>
            <w:r>
              <w:rPr>
                <w:rFonts w:ascii="Calibri" w:hAnsi="Calibri"/>
              </w:rPr>
              <w:t>The person needs global configuration, RAG Evaluation, audit review, or management of global/peer admin accounts</w:t>
            </w:r>
          </w:p>
        </w:tc>
      </w:tr>
      <w:tr>
        <w:tc>
          <w:tcPr>
            <w:tcW w:type="dxa" w:w="1800"/>
            <w:vAlign w:val="center"/>
            <w:tcMar>
              <w:top w:w="80" w:type="dxa"/>
              <w:bottom w:w="80" w:type="dxa"/>
              <w:start w:w="120" w:type="dxa"/>
              <w:end w:w="120" w:type="dxa"/>
            </w:tcMar>
          </w:tcPr>
          <w:p>
            <w:pPr>
              <w:spacing w:after="0"/>
            </w:pPr>
            <w:r>
              <w:rPr>
                <w:rFonts w:ascii="Calibri" w:hAnsi="Calibri"/>
              </w:rPr>
              <w:t>Document Contributor</w:t>
            </w:r>
          </w:p>
        </w:tc>
        <w:tc>
          <w:tcPr>
            <w:tcW w:type="dxa" w:w="2400"/>
            <w:vAlign w:val="center"/>
            <w:tcMar>
              <w:top w:w="80" w:type="dxa"/>
              <w:bottom w:w="80" w:type="dxa"/>
              <w:start w:w="120" w:type="dxa"/>
              <w:end w:w="120" w:type="dxa"/>
            </w:tcMar>
          </w:tcPr>
          <w:p>
            <w:pPr>
              <w:spacing w:after="0"/>
            </w:pPr>
            <w:r>
              <w:rPr>
                <w:rFonts w:ascii="Calibri" w:hAnsi="Calibri"/>
              </w:rPr>
              <w:t>Document intake, review, and maintenance</w:t>
            </w:r>
          </w:p>
        </w:tc>
        <w:tc>
          <w:tcPr>
            <w:tcW w:type="dxa" w:w="2400"/>
            <w:vAlign w:val="center"/>
            <w:tcMar>
              <w:top w:w="80" w:type="dxa"/>
              <w:bottom w:w="80" w:type="dxa"/>
              <w:start w:w="120" w:type="dxa"/>
              <w:end w:w="120" w:type="dxa"/>
            </w:tcMar>
          </w:tcPr>
          <w:p>
            <w:pPr>
              <w:spacing w:after="0"/>
            </w:pPr>
            <w:r>
              <w:rPr>
                <w:rFonts w:ascii="Calibri" w:hAnsi="Calibri"/>
              </w:rPr>
              <w:t>Query, upload, track, resolve Review Queue items, reingest, restore, or trash writable documents in assigned spaces</w:t>
            </w:r>
          </w:p>
        </w:tc>
        <w:tc>
          <w:tcPr>
            <w:tcW w:type="dxa" w:w="2760"/>
            <w:vAlign w:val="center"/>
            <w:tcMar>
              <w:top w:w="80" w:type="dxa"/>
              <w:bottom w:w="80" w:type="dxa"/>
              <w:start w:w="120" w:type="dxa"/>
              <w:end w:w="120" w:type="dxa"/>
            </w:tcMar>
          </w:tcPr>
          <w:p>
            <w:pPr>
              <w:spacing w:after="0"/>
            </w:pPr>
            <w:r>
              <w:rPr>
                <w:rFonts w:ascii="Calibri" w:hAnsi="Calibri"/>
              </w:rPr>
              <w:t>The person should only ask questions and inspect evidence, or needs user/space administration</w:t>
            </w:r>
          </w:p>
        </w:tc>
      </w:tr>
      <w:tr>
        <w:tc>
          <w:tcPr>
            <w:tcW w:type="dxa" w:w="1800"/>
            <w:vAlign w:val="center"/>
            <w:tcMar>
              <w:top w:w="80" w:type="dxa"/>
              <w:bottom w:w="80" w:type="dxa"/>
              <w:start w:w="120" w:type="dxa"/>
              <w:end w:w="120" w:type="dxa"/>
            </w:tcMar>
          </w:tcPr>
          <w:p>
            <w:pPr>
              <w:spacing w:after="0"/>
            </w:pPr>
            <w:r>
              <w:rPr>
                <w:rFonts w:ascii="Calibri" w:hAnsi="Calibri"/>
              </w:rPr>
              <w:t>Chat Member</w:t>
            </w:r>
          </w:p>
        </w:tc>
        <w:tc>
          <w:tcPr>
            <w:tcW w:type="dxa" w:w="2400"/>
            <w:vAlign w:val="center"/>
            <w:tcMar>
              <w:top w:w="80" w:type="dxa"/>
              <w:bottom w:w="80" w:type="dxa"/>
              <w:start w:w="120" w:type="dxa"/>
              <w:end w:w="120" w:type="dxa"/>
            </w:tcMar>
          </w:tcPr>
          <w:p>
            <w:pPr>
              <w:spacing w:after="0"/>
            </w:pPr>
            <w:r>
              <w:rPr>
                <w:rFonts w:ascii="Calibri" w:hAnsi="Calibri"/>
              </w:rPr>
              <w:t>Everyday knowledge use</w:t>
            </w:r>
          </w:p>
        </w:tc>
        <w:tc>
          <w:tcPr>
            <w:tcW w:type="dxa" w:w="2400"/>
            <w:vAlign w:val="center"/>
            <w:tcMar>
              <w:top w:w="80" w:type="dxa"/>
              <w:bottom w:w="80" w:type="dxa"/>
              <w:start w:w="120" w:type="dxa"/>
              <w:end w:w="120" w:type="dxa"/>
            </w:tcMar>
          </w:tcPr>
          <w:p>
            <w:pPr>
              <w:spacing w:after="0"/>
            </w:pPr>
            <w:r>
              <w:rPr>
                <w:rFonts w:ascii="Calibri" w:hAnsi="Calibri"/>
              </w:rPr>
              <w:t>Ask grounded questions, inspect citations, and browse visible document metadata</w:t>
            </w:r>
          </w:p>
        </w:tc>
        <w:tc>
          <w:tcPr>
            <w:tcW w:type="dxa" w:w="2760"/>
            <w:vAlign w:val="center"/>
            <w:tcMar>
              <w:top w:w="80" w:type="dxa"/>
              <w:bottom w:w="80" w:type="dxa"/>
              <w:start w:w="120" w:type="dxa"/>
              <w:end w:w="120" w:type="dxa"/>
            </w:tcMar>
          </w:tcPr>
          <w:p>
            <w:pPr>
              <w:spacing w:after="0"/>
            </w:pPr>
            <w:r>
              <w:rPr>
                <w:rFonts w:ascii="Calibri" w:hAnsi="Calibri"/>
              </w:rPr>
              <w:t>The person needs to upload, manage, review, audit, or configure anything</w:t>
            </w:r>
          </w:p>
        </w:tc>
      </w:tr>
      <w:tr>
        <w:tc>
          <w:tcPr>
            <w:tcW w:type="dxa" w:w="1800"/>
            <w:vAlign w:val="center"/>
            <w:tcMar>
              <w:top w:w="80" w:type="dxa"/>
              <w:bottom w:w="80" w:type="dxa"/>
              <w:start w:w="120" w:type="dxa"/>
              <w:end w:w="120" w:type="dxa"/>
            </w:tcMar>
          </w:tcPr>
          <w:p>
            <w:pPr>
              <w:spacing w:after="0"/>
            </w:pPr>
            <w:r>
              <w:rPr>
                <w:rFonts w:ascii="Calibri" w:hAnsi="Calibri"/>
              </w:rPr>
              <w:t>Audit Viewer</w:t>
            </w:r>
          </w:p>
        </w:tc>
        <w:tc>
          <w:tcPr>
            <w:tcW w:type="dxa" w:w="2400"/>
            <w:vAlign w:val="center"/>
            <w:tcMar>
              <w:top w:w="80" w:type="dxa"/>
              <w:bottom w:w="80" w:type="dxa"/>
              <w:start w:w="120" w:type="dxa"/>
              <w:end w:w="120" w:type="dxa"/>
            </w:tcMar>
          </w:tcPr>
          <w:p>
            <w:pPr>
              <w:spacing w:after="0"/>
            </w:pPr>
            <w:r>
              <w:rPr>
                <w:rFonts w:ascii="Calibri" w:hAnsi="Calibri"/>
              </w:rPr>
              <w:t>Governance review</w:t>
            </w:r>
          </w:p>
        </w:tc>
        <w:tc>
          <w:tcPr>
            <w:tcW w:type="dxa" w:w="2400"/>
            <w:vAlign w:val="center"/>
            <w:tcMar>
              <w:top w:w="80" w:type="dxa"/>
              <w:bottom w:w="80" w:type="dxa"/>
              <w:start w:w="120" w:type="dxa"/>
              <w:end w:w="120" w:type="dxa"/>
            </w:tcMar>
          </w:tcPr>
          <w:p>
            <w:pPr>
              <w:spacing w:after="0"/>
            </w:pPr>
            <w:r>
              <w:rPr>
                <w:rFonts w:ascii="Calibri" w:hAnsi="Calibri"/>
              </w:rPr>
              <w:t>Search, filter, inspect, and export visible audit events without changing system state</w:t>
            </w:r>
          </w:p>
        </w:tc>
        <w:tc>
          <w:tcPr>
            <w:tcW w:type="dxa" w:w="2760"/>
            <w:vAlign w:val="center"/>
            <w:tcMar>
              <w:top w:w="80" w:type="dxa"/>
              <w:bottom w:w="80" w:type="dxa"/>
              <w:start w:w="120" w:type="dxa"/>
              <w:end w:w="120" w:type="dxa"/>
            </w:tcMar>
          </w:tcPr>
          <w:p>
            <w:pPr>
              <w:spacing w:after="0"/>
            </w:pPr>
            <w:r>
              <w:rPr>
                <w:rFonts w:ascii="Calibri" w:hAnsi="Calibri"/>
              </w:rPr>
              <w:t>The person needs document content access through Query Intelligence</w:t>
            </w:r>
          </w:p>
        </w:tc>
      </w:tr>
    </w:tbl>
    <w:p>
      <w:pPr>
        <w:spacing w:after="120"/>
      </w:pPr>
    </w:p>
    <w:p>
      <w:r>
        <w:rPr>
          <w:rFonts w:ascii="Consolas" w:hAnsi="Consolas"/>
          <w:sz w:val="19"/>
        </w:rPr>
        <w:t>User Manager</w:t>
      </w:r>
      <w:r>
        <w:rPr>
          <w:rFonts w:ascii="Calibri" w:hAnsi="Calibri"/>
        </w:rPr>
        <w:t xml:space="preserve"> and </w:t>
      </w:r>
      <w:r>
        <w:rPr>
          <w:rFonts w:ascii="Consolas" w:hAnsi="Consolas"/>
          <w:sz w:val="19"/>
        </w:rPr>
        <w:t>Reviewer</w:t>
      </w:r>
      <w:r>
        <w:rPr>
          <w:rFonts w:ascii="Calibri" w:hAnsi="Calibri"/>
        </w:rPr>
        <w:t xml:space="preserve"> are legacy account types retained for old records and compatibility. New assignments should use </w:t>
      </w:r>
      <w:r>
        <w:rPr>
          <w:rFonts w:ascii="Calibri" w:hAnsi="Calibri"/>
          <w:b/>
        </w:rPr>
        <w:t>Space Admin</w:t>
      </w:r>
      <w:r>
        <w:rPr>
          <w:rFonts w:ascii="Calibri" w:hAnsi="Calibri"/>
        </w:rPr>
        <w:t xml:space="preserve"> for scoped user management and </w:t>
      </w:r>
      <w:r>
        <w:rPr>
          <w:rFonts w:ascii="Calibri" w:hAnsi="Calibri"/>
          <w:b/>
        </w:rPr>
        <w:t>Document Contributor</w:t>
      </w:r>
      <w:r>
        <w:rPr>
          <w:rFonts w:ascii="Calibri" w:hAnsi="Calibri"/>
        </w:rPr>
        <w:t xml:space="preserve"> for upload plus review.</w:t>
      </w:r>
    </w:p>
    <w:p>
      <w:r>
        <w:rPr>
          <w:rFonts w:ascii="Calibri" w:hAnsi="Calibri"/>
        </w:rPr>
        <w:t>If a page is not visible, the signed-in administrator does not have the role required for that page.</w:t>
      </w:r>
    </w:p>
    <w:p>
      <w:pPr>
        <w:pStyle w:val="Heading2"/>
      </w:pPr>
      <w:r>
        <w:rPr>
          <w:rFonts w:ascii="Calibri" w:hAnsi="Calibri"/>
        </w:rPr>
        <w:t>2. First Platform Admin Checklist</w:t>
      </w:r>
    </w:p>
    <w:p>
      <w:r>
        <w:rPr>
          <w:rFonts w:ascii="Calibri" w:hAnsi="Calibri"/>
        </w:rPr>
        <w:t>After the operator starts the deployment:</w:t>
      </w:r>
    </w:p>
    <w:p>
      <w:pPr>
        <w:pStyle w:val="ListNumber"/>
      </w:pPr>
      <w:r>
        <w:rPr>
          <w:rFonts w:ascii="Calibri" w:hAnsi="Calibri"/>
        </w:rPr>
        <w:t xml:space="preserve">Open the app URL. Local deployments commonly use </w:t>
      </w:r>
      <w:r>
        <w:rPr>
          <w:rFonts w:ascii="Consolas" w:hAnsi="Consolas"/>
          <w:sz w:val="19"/>
        </w:rPr>
        <w:t>http://localhost:3000</w:t>
      </w:r>
      <w:r>
        <w:rPr>
          <w:rFonts w:ascii="Calibri" w:hAnsi="Calibri"/>
        </w:rPr>
        <w:t>.</w:t>
      </w:r>
    </w:p>
    <w:p>
      <w:pPr>
        <w:pStyle w:val="ListNumber"/>
      </w:pPr>
      <w:r>
        <w:rPr>
          <w:rFonts w:ascii="Calibri" w:hAnsi="Calibri"/>
        </w:rPr>
        <w:t xml:space="preserve">Sign in with </w:t>
      </w:r>
      <w:r>
        <w:rPr>
          <w:rFonts w:ascii="Consolas" w:hAnsi="Consolas"/>
          <w:sz w:val="19"/>
        </w:rPr>
        <w:t>BOOTSTRAP_ADMIN_EMAIL</w:t>
      </w:r>
      <w:r>
        <w:rPr>
          <w:rFonts w:ascii="Calibri" w:hAnsi="Calibri"/>
        </w:rPr>
        <w:t xml:space="preserve"> and </w:t>
      </w:r>
      <w:r>
        <w:rPr>
          <w:rFonts w:ascii="Consolas" w:hAnsi="Consolas"/>
          <w:sz w:val="19"/>
        </w:rPr>
        <w:t>BOOTSTRAP_ADMIN_PASSWORD</w:t>
      </w:r>
      <w:r>
        <w:rPr>
          <w:rFonts w:ascii="Calibri" w:hAnsi="Calibri"/>
        </w:rPr>
        <w:t>.</w:t>
      </w:r>
    </w:p>
    <w:p>
      <w:pPr>
        <w:pStyle w:val="ListNumber"/>
      </w:pPr>
      <w:r>
        <w:rPr>
          <w:rFonts w:ascii="Calibri" w:hAnsi="Calibri"/>
        </w:rPr>
        <w:t xml:space="preserve">Open </w:t>
      </w:r>
      <w:r>
        <w:rPr>
          <w:rFonts w:ascii="Calibri" w:hAnsi="Calibri"/>
          <w:b/>
        </w:rPr>
        <w:t>Account Management</w:t>
      </w:r>
      <w:r>
        <w:rPr>
          <w:rFonts w:ascii="Calibri" w:hAnsi="Calibri"/>
        </w:rPr>
        <w:t xml:space="preserve"> and change the bootstrap password immediately.</w:t>
      </w:r>
    </w:p>
    <w:p>
      <w:pPr>
        <w:pStyle w:val="ListNumber"/>
      </w:pPr>
      <w:r>
        <w:rPr>
          <w:rFonts w:ascii="Calibri" w:hAnsi="Calibri"/>
        </w:rPr>
        <w:t xml:space="preserve">Open </w:t>
      </w:r>
      <w:r>
        <w:rPr>
          <w:rFonts w:ascii="Calibri" w:hAnsi="Calibri"/>
          <w:b/>
        </w:rPr>
        <w:t>Govern &gt; Runtime Settings</w:t>
      </w:r>
      <w:r>
        <w:rPr>
          <w:rFonts w:ascii="Calibri" w:hAnsi="Calibri"/>
        </w:rPr>
        <w:t xml:space="preserve"> and confirm runtime model health.</w:t>
      </w:r>
    </w:p>
    <w:p>
      <w:pPr>
        <w:pStyle w:val="ListNumber"/>
      </w:pPr>
      <w:r>
        <w:rPr>
          <w:rFonts w:ascii="Calibri" w:hAnsi="Calibri"/>
        </w:rPr>
        <w:t>Confirm the active provider stack, role assignments, query planner, and ingestion profile.</w:t>
      </w:r>
    </w:p>
    <w:p>
      <w:pPr>
        <w:pStyle w:val="ListNumber"/>
      </w:pPr>
      <w:r>
        <w:rPr>
          <w:rFonts w:ascii="Calibri" w:hAnsi="Calibri"/>
        </w:rPr>
        <w:t>Create the top-level Knowledge Spaces.</w:t>
      </w:r>
    </w:p>
    <w:p>
      <w:pPr>
        <w:pStyle w:val="ListNumber"/>
      </w:pPr>
      <w:r>
        <w:rPr>
          <w:rFonts w:ascii="Calibri" w:hAnsi="Calibri"/>
        </w:rPr>
        <w:t>Create System Admin, Space Admin, Document Contributor, Chat Member, and Audit Viewer accounts as needed.</w:t>
      </w:r>
    </w:p>
    <w:p>
      <w:pPr>
        <w:pStyle w:val="ListNumber"/>
      </w:pPr>
      <w:r>
        <w:rPr>
          <w:rFonts w:ascii="Calibri" w:hAnsi="Calibri"/>
        </w:rPr>
        <w:t xml:space="preserve">Upload a small pilot document and confirm it reaches </w:t>
      </w:r>
      <w:r>
        <w:rPr>
          <w:rFonts w:ascii="Calibri" w:hAnsi="Calibri"/>
          <w:b/>
        </w:rPr>
        <w:t>Indexed</w:t>
      </w:r>
      <w:r>
        <w:rPr>
          <w:rFonts w:ascii="Calibri" w:hAnsi="Calibri"/>
        </w:rPr>
        <w:t xml:space="preserve"> status.</w:t>
      </w:r>
    </w:p>
    <w:p>
      <w:pPr>
        <w:pStyle w:val="ListNumber"/>
      </w:pPr>
      <w:r>
        <w:rPr>
          <w:rFonts w:ascii="Calibri" w:hAnsi="Calibri"/>
        </w:rPr>
        <w:t xml:space="preserve">Ask a cited smoke-test question in </w:t>
      </w:r>
      <w:r>
        <w:rPr>
          <w:rFonts w:ascii="Calibri" w:hAnsi="Calibri"/>
          <w:b/>
        </w:rPr>
        <w:t>Query Intelligence</w:t>
      </w:r>
      <w:r>
        <w:rPr>
          <w:rFonts w:ascii="Calibri" w:hAnsi="Calibri"/>
        </w:rPr>
        <w:t>.</w:t>
      </w:r>
    </w:p>
    <w:p>
      <w:pPr>
        <w:pStyle w:val="ListNumber"/>
      </w:pPr>
      <w:r>
        <w:rPr>
          <w:rFonts w:ascii="Calibri" w:hAnsi="Calibri"/>
        </w:rPr>
        <w:t>If Live DB is required, create and approve the first least-privilege database scope.</w:t>
      </w:r>
    </w:p>
    <w:p>
      <w:pPr>
        <w:pStyle w:val="ListNumber"/>
      </w:pPr>
      <w:r>
        <w:rPr>
          <w:rFonts w:ascii="Calibri" w:hAnsi="Calibri"/>
        </w:rPr>
        <w:t xml:space="preserve">Review </w:t>
      </w:r>
      <w:r>
        <w:rPr>
          <w:rFonts w:ascii="Calibri" w:hAnsi="Calibri"/>
          <w:b/>
        </w:rPr>
        <w:t>System Audit</w:t>
      </w:r>
      <w:r>
        <w:rPr>
          <w:rFonts w:ascii="Calibri" w:hAnsi="Calibri"/>
        </w:rPr>
        <w:t xml:space="preserve"> for the expected bootstrap, login, user, document, and configuration events.</w:t>
      </w:r>
    </w:p>
    <w:p>
      <w:pPr>
        <w:pStyle w:val="Heading2"/>
      </w:pPr>
      <w:r>
        <w:rPr>
          <w:rFonts w:ascii="Calibri" w:hAnsi="Calibri"/>
        </w:rPr>
        <w:t>3. User Management</w:t>
      </w:r>
    </w:p>
    <w:p>
      <w:r>
        <w:rPr>
          <w:rFonts w:ascii="Calibri" w:hAnsi="Calibri"/>
        </w:rPr>
        <w:t xml:space="preserve">Open </w:t>
      </w:r>
      <w:r>
        <w:rPr>
          <w:rFonts w:ascii="Calibri" w:hAnsi="Calibri"/>
          <w:b/>
        </w:rPr>
        <w:t>Govern &gt; User Management</w:t>
      </w:r>
      <w:r>
        <w:rPr>
          <w:rFonts w:ascii="Calibri" w:hAnsi="Calibri"/>
        </w:rPr>
        <w:t>.</w:t>
      </w:r>
    </w:p>
    <w:p>
      <w:r>
        <w:rPr>
          <w:rFonts w:ascii="Calibri" w:hAnsi="Calibri"/>
        </w:rPr>
        <w:t>Platform Admins and System Admins manage users globally according to their role limits. Space Admins manage only Chat Member and Document Contributor accounts inside their assigned Knowledge Spaces and clearance scope.</w:t>
      </w:r>
    </w:p>
    <w:p>
      <w:pPr>
        <w:pStyle w:val="Heading3"/>
      </w:pPr>
      <w:r>
        <w:rPr>
          <w:rFonts w:ascii="Calibri" w:hAnsi="Calibri"/>
        </w:rPr>
        <w:t>Create A User</w:t>
      </w:r>
    </w:p>
    <w:p>
      <w:pPr>
        <w:pStyle w:val="ListNumber"/>
      </w:pPr>
      <w:r>
        <w:rPr>
          <w:rFonts w:ascii="Calibri" w:hAnsi="Calibri"/>
        </w:rPr>
        <w:t xml:space="preserve">Select </w:t>
      </w:r>
      <w:r>
        <w:rPr>
          <w:rFonts w:ascii="Calibri" w:hAnsi="Calibri"/>
          <w:b/>
        </w:rPr>
        <w:t>Create user</w:t>
      </w:r>
      <w:r>
        <w:rPr>
          <w:rFonts w:ascii="Calibri" w:hAnsi="Calibri"/>
        </w:rPr>
        <w:t>.</w:t>
      </w:r>
    </w:p>
    <w:p>
      <w:pPr>
        <w:pStyle w:val="ListNumber"/>
      </w:pPr>
      <w:r>
        <w:rPr>
          <w:rFonts w:ascii="Calibri" w:hAnsi="Calibri"/>
        </w:rPr>
        <w:t>Enter email and display name.</w:t>
      </w:r>
    </w:p>
    <w:p>
      <w:pPr>
        <w:pStyle w:val="ListNumber"/>
      </w:pPr>
      <w:r>
        <w:rPr>
          <w:rFonts w:ascii="Calibri" w:hAnsi="Calibri"/>
        </w:rPr>
        <w:t>Choose an account type you are allowed to assign.</w:t>
      </w:r>
    </w:p>
    <w:p>
      <w:pPr>
        <w:pStyle w:val="ListNumber"/>
      </w:pPr>
      <w:r>
        <w:rPr>
          <w:rFonts w:ascii="Calibri" w:hAnsi="Calibri"/>
        </w:rPr>
        <w:t>Choose a clearance level. Global admin roles receive the maximum effective clearance.</w:t>
      </w:r>
    </w:p>
    <w:p>
      <w:pPr>
        <w:pStyle w:val="ListNumber"/>
      </w:pPr>
      <w:r>
        <w:rPr>
          <w:rFonts w:ascii="Calibri" w:hAnsi="Calibri"/>
        </w:rPr>
        <w:t>Select one or more Knowledge Space memberships.</w:t>
      </w:r>
    </w:p>
    <w:p>
      <w:pPr>
        <w:pStyle w:val="ListNumber"/>
      </w:pPr>
      <w:r>
        <w:rPr>
          <w:rFonts w:ascii="Calibri" w:hAnsi="Calibri"/>
        </w:rPr>
        <w:t xml:space="preserve">Keep </w:t>
      </w:r>
      <w:r>
        <w:rPr>
          <w:rFonts w:ascii="Calibri" w:hAnsi="Calibri"/>
          <w:b/>
        </w:rPr>
        <w:t>Active account</w:t>
      </w:r>
      <w:r>
        <w:rPr>
          <w:rFonts w:ascii="Calibri" w:hAnsi="Calibri"/>
        </w:rPr>
        <w:t xml:space="preserve"> selected unless the user should not sign in yet.</w:t>
      </w:r>
    </w:p>
    <w:p>
      <w:pPr>
        <w:pStyle w:val="ListNumber"/>
      </w:pPr>
      <w:r>
        <w:rPr>
          <w:rFonts w:ascii="Calibri" w:hAnsi="Calibri"/>
        </w:rPr>
        <w:t>Copy or regenerate the initial password.</w:t>
      </w:r>
    </w:p>
    <w:p>
      <w:pPr>
        <w:pStyle w:val="ListNumber"/>
      </w:pPr>
      <w:r>
        <w:rPr>
          <w:rFonts w:ascii="Calibri" w:hAnsi="Calibri"/>
        </w:rPr>
        <w:t xml:space="preserve">Select </w:t>
      </w:r>
      <w:r>
        <w:rPr>
          <w:rFonts w:ascii="Calibri" w:hAnsi="Calibri"/>
          <w:b/>
        </w:rPr>
        <w:t>Create user</w:t>
      </w:r>
      <w:r>
        <w:rPr>
          <w:rFonts w:ascii="Calibri" w:hAnsi="Calibri"/>
        </w:rPr>
        <w:t>.</w:t>
      </w:r>
    </w:p>
    <w:p>
      <w:pPr>
        <w:pStyle w:val="ListNumber"/>
      </w:pPr>
      <w:r>
        <w:rPr>
          <w:rFonts w:ascii="Calibri" w:hAnsi="Calibri"/>
        </w:rPr>
        <w:t>Hand off the password securely. The user can change it after signing in.</w:t>
      </w:r>
    </w:p>
    <w:p>
      <w:r>
        <w:rPr>
          <w:rFonts w:ascii="Calibri" w:hAnsi="Calibri"/>
        </w:rPr>
        <w:t>Copy the initial password before closing the dialog. It is the handoff credential.</w:t>
      </w:r>
    </w:p>
    <w:p>
      <w:pPr>
        <w:pStyle w:val="Heading3"/>
      </w:pPr>
      <w:r>
        <w:rPr>
          <w:rFonts w:ascii="Calibri" w:hAnsi="Calibri"/>
        </w:rPr>
        <w:t>Edit A User</w:t>
      </w:r>
    </w:p>
    <w:p>
      <w:pPr>
        <w:pStyle w:val="ListNumber"/>
      </w:pPr>
      <w:r>
        <w:rPr>
          <w:rFonts w:ascii="Calibri" w:hAnsi="Calibri"/>
        </w:rPr>
        <w:t>Select the edit action on the user row.</w:t>
      </w:r>
    </w:p>
    <w:p>
      <w:pPr>
        <w:pStyle w:val="ListNumber"/>
      </w:pPr>
      <w:r>
        <w:rPr>
          <w:rFonts w:ascii="Calibri" w:hAnsi="Calibri"/>
        </w:rPr>
        <w:t>Update name, account type, clearance, active state, or Knowledge Spaces.</w:t>
      </w:r>
    </w:p>
    <w:p>
      <w:pPr>
        <w:pStyle w:val="ListNumber"/>
      </w:pPr>
      <w:r>
        <w:rPr>
          <w:rFonts w:ascii="Calibri" w:hAnsi="Calibri"/>
        </w:rPr>
        <w:t>Save the user.</w:t>
      </w:r>
    </w:p>
    <w:p>
      <w:r>
        <w:rPr>
          <w:rFonts w:ascii="Calibri" w:hAnsi="Calibri"/>
        </w:rPr>
        <w:t>If you edit your own account, your session context may refresh after saving.</w:t>
      </w:r>
    </w:p>
    <w:p>
      <w:pPr>
        <w:pStyle w:val="Heading3"/>
      </w:pPr>
      <w:r>
        <w:rPr>
          <w:rFonts w:ascii="Calibri" w:hAnsi="Calibri"/>
        </w:rPr>
        <w:t>Reset A Password</w:t>
      </w:r>
    </w:p>
    <w:p>
      <w:r>
        <w:rPr>
          <w:rFonts w:ascii="Calibri" w:hAnsi="Calibri"/>
        </w:rPr>
        <w:t>Use this when a user forgets their password or a temporary credential must be issued.</w:t>
      </w:r>
    </w:p>
    <w:p>
      <w:pPr>
        <w:pStyle w:val="ListNumber"/>
      </w:pPr>
      <w:r>
        <w:rPr>
          <w:rFonts w:ascii="Calibri" w:hAnsi="Calibri"/>
        </w:rPr>
        <w:t>Select the reset-password action on the user row.</w:t>
      </w:r>
    </w:p>
    <w:p>
      <w:pPr>
        <w:pStyle w:val="ListNumber"/>
      </w:pPr>
      <w:r>
        <w:rPr>
          <w:rFonts w:ascii="Calibri" w:hAnsi="Calibri"/>
        </w:rPr>
        <w:t>Copy or regenerate the temporary password.</w:t>
      </w:r>
    </w:p>
    <w:p>
      <w:pPr>
        <w:pStyle w:val="ListNumber"/>
      </w:pPr>
      <w:r>
        <w:rPr>
          <w:rFonts w:ascii="Calibri" w:hAnsi="Calibri"/>
        </w:rPr>
        <w:t xml:space="preserve">Select </w:t>
      </w:r>
      <w:r>
        <w:rPr>
          <w:rFonts w:ascii="Calibri" w:hAnsi="Calibri"/>
          <w:b/>
        </w:rPr>
        <w:t>Reset password</w:t>
      </w:r>
      <w:r>
        <w:rPr>
          <w:rFonts w:ascii="Calibri" w:hAnsi="Calibri"/>
        </w:rPr>
        <w:t>.</w:t>
      </w:r>
    </w:p>
    <w:p>
      <w:pPr>
        <w:pStyle w:val="ListNumber"/>
      </w:pPr>
      <w:r>
        <w:rPr>
          <w:rFonts w:ascii="Calibri" w:hAnsi="Calibri"/>
        </w:rPr>
        <w:t>Copy the temporary password before closing the dialog.</w:t>
      </w:r>
    </w:p>
    <w:p>
      <w:pPr>
        <w:pStyle w:val="ListNumber"/>
      </w:pPr>
      <w:r>
        <w:rPr>
          <w:rFonts w:ascii="Calibri" w:hAnsi="Calibri"/>
        </w:rPr>
        <w:t>Give the temporary password to the user through an approved secure channel.</w:t>
      </w:r>
    </w:p>
    <w:p>
      <w:r>
        <w:rPr>
          <w:rFonts w:ascii="Calibri" w:hAnsi="Calibri"/>
        </w:rPr>
        <w:t xml:space="preserve">Existing sessions for that user are signed out. The user must change the temporary password at next sign-in. You cannot reset your own password from User Management; use </w:t>
      </w:r>
      <w:r>
        <w:rPr>
          <w:rFonts w:ascii="Calibri" w:hAnsi="Calibri"/>
          <w:b/>
        </w:rPr>
        <w:t>Account Management</w:t>
      </w:r>
      <w:r>
        <w:rPr>
          <w:rFonts w:ascii="Calibri" w:hAnsi="Calibri"/>
        </w:rPr>
        <w:t xml:space="preserve"> for your own password or email address. Platform Admins can update another user's email from </w:t>
      </w:r>
      <w:r>
        <w:rPr>
          <w:rFonts w:ascii="Calibri" w:hAnsi="Calibri"/>
          <w:b/>
        </w:rPr>
        <w:t>User Management</w:t>
      </w:r>
      <w:r>
        <w:rPr>
          <w:rFonts w:ascii="Calibri" w:hAnsi="Calibri"/>
        </w:rPr>
        <w:t>; that ends the user's signed-in sessions.</w:t>
      </w:r>
    </w:p>
    <w:p>
      <w:pPr>
        <w:pStyle w:val="Heading3"/>
      </w:pPr>
      <w:r>
        <w:rPr>
          <w:rFonts w:ascii="Calibri" w:hAnsi="Calibri"/>
        </w:rPr>
        <w:t>Disable Or Delete A User</w:t>
      </w:r>
    </w:p>
    <w:p>
      <w:r>
        <w:rPr>
          <w:rFonts w:ascii="Calibri" w:hAnsi="Calibri"/>
        </w:rPr>
        <w:t>Disable an account when access should be blocked but memberships should remain available for later review. Delete an account only when policy allows removal.</w:t>
      </w:r>
    </w:p>
    <w:p>
      <w:r>
        <w:rPr>
          <w:rFonts w:ascii="Calibri" w:hAnsi="Calibri"/>
        </w:rPr>
        <w:t>Deleting a user removes the account, memberships, chat history, and generated artifacts. Documents and audit history are retained. User deletion requires typing the target email address to confirm.</w:t>
      </w:r>
    </w:p>
    <w:p>
      <w:pPr>
        <w:pStyle w:val="Heading3"/>
      </w:pPr>
      <w:r>
        <w:rPr>
          <w:rFonts w:ascii="Calibri" w:hAnsi="Calibri"/>
        </w:rPr>
        <w:t>Chat Activity</w:t>
      </w:r>
    </w:p>
    <w:p>
      <w:r>
        <w:rPr>
          <w:rFonts w:ascii="Calibri" w:hAnsi="Calibri"/>
        </w:rPr>
        <w:t>Platform Admins can inspect saved chat activity for managed users when the action appears in User Management. Use this for governance and investigation only, according to organizational policy.</w:t>
      </w:r>
    </w:p>
    <w:p>
      <w:pPr>
        <w:pStyle w:val="Heading2"/>
      </w:pPr>
      <w:r>
        <w:rPr>
          <w:rFonts w:ascii="Calibri" w:hAnsi="Calibri"/>
        </w:rPr>
        <w:t>4. Knowledge Space Management</w:t>
      </w:r>
    </w:p>
    <w:p>
      <w:r>
        <w:rPr>
          <w:rFonts w:ascii="Calibri" w:hAnsi="Calibri"/>
        </w:rPr>
        <w:t xml:space="preserve">Knowledge Spaces define document and live-data access boundaries. Space names use path-like values such as </w:t>
      </w:r>
      <w:r>
        <w:rPr>
          <w:rFonts w:ascii="Consolas" w:hAnsi="Consolas"/>
          <w:sz w:val="19"/>
        </w:rPr>
        <w:t>/finance</w:t>
      </w:r>
      <w:r>
        <w:rPr>
          <w:rFonts w:ascii="Calibri" w:hAnsi="Calibri"/>
        </w:rPr>
        <w:t xml:space="preserve">, </w:t>
      </w:r>
      <w:r>
        <w:rPr>
          <w:rFonts w:ascii="Consolas" w:hAnsi="Consolas"/>
          <w:sz w:val="19"/>
        </w:rPr>
        <w:t>/legal/contracts</w:t>
      </w:r>
      <w:r>
        <w:rPr>
          <w:rFonts w:ascii="Calibri" w:hAnsi="Calibri"/>
        </w:rPr>
        <w:t xml:space="preserve">, or </w:t>
      </w:r>
      <w:r>
        <w:rPr>
          <w:rFonts w:ascii="Consolas" w:hAnsi="Consolas"/>
          <w:sz w:val="19"/>
        </w:rPr>
        <w:t>/manuals</w:t>
      </w:r>
      <w:r>
        <w:rPr>
          <w:rFonts w:ascii="Calibri" w:hAnsi="Calibri"/>
        </w:rPr>
        <w:t>.</w:t>
      </w:r>
    </w:p>
    <w:p>
      <w:r>
        <w:rPr>
          <w:rFonts w:ascii="Calibri" w:hAnsi="Calibri"/>
        </w:rPr>
        <w:t>Space Admins and global admins can create, edit, and delete allowed spaces. Deleting a Knowledge Space only works when the space is empty, has no child spaces, and has no assigned users.</w:t>
      </w:r>
    </w:p>
    <w:p>
      <w:r>
        <w:rPr>
          <w:rFonts w:ascii="Calibri" w:hAnsi="Calibri"/>
        </w:rPr>
        <w:t>Recommended practice:</w:t>
      </w:r>
    </w:p>
    <w:p>
      <w:pPr>
        <w:pStyle w:val="ListBullet"/>
      </w:pPr>
      <w:r>
        <w:rPr>
          <w:rFonts w:ascii="Calibri" w:hAnsi="Calibri"/>
        </w:rPr>
        <w:t>Create top-level spaces before onboarding users.</w:t>
      </w:r>
    </w:p>
    <w:p>
      <w:pPr>
        <w:pStyle w:val="ListBullet"/>
      </w:pPr>
      <w:r>
        <w:rPr>
          <w:rFonts w:ascii="Calibri" w:hAnsi="Calibri"/>
        </w:rPr>
        <w:t>Assign users only to the spaces they need.</w:t>
      </w:r>
    </w:p>
    <w:p>
      <w:pPr>
        <w:pStyle w:val="ListBullet"/>
      </w:pPr>
      <w:r>
        <w:rPr>
          <w:rFonts w:ascii="Calibri" w:hAnsi="Calibri"/>
        </w:rPr>
        <w:t>Use child spaces when access should be narrower than the parent department.</w:t>
      </w:r>
    </w:p>
    <w:p>
      <w:pPr>
        <w:pStyle w:val="ListBullet"/>
      </w:pPr>
      <w:r>
        <w:rPr>
          <w:rFonts w:ascii="Calibri" w:hAnsi="Calibri"/>
        </w:rPr>
        <w:t>Keep space names stable because users, documents, folder sources, and database scopes depend on them.</w:t>
      </w:r>
    </w:p>
    <w:p>
      <w:pPr>
        <w:pStyle w:val="Heading2"/>
      </w:pPr>
      <w:r>
        <w:rPr>
          <w:rFonts w:ascii="Calibri" w:hAnsi="Calibri"/>
        </w:rPr>
        <w:t>5. Clearance Levels</w:t>
      </w:r>
    </w:p>
    <w:p>
      <w:r>
        <w:rPr>
          <w:rFonts w:ascii="Calibri" w:hAnsi="Calibri"/>
        </w:rPr>
        <w:t>Documents and users can carry these clearance levels:</w:t>
      </w:r>
    </w:p>
    <w:p>
      <w:pPr>
        <w:pStyle w:val="ListBullet"/>
      </w:pPr>
      <w:r>
        <w:rPr>
          <w:rFonts w:ascii="Consolas" w:hAnsi="Consolas"/>
          <w:sz w:val="19"/>
        </w:rPr>
        <w:t>NATO_UNCLASSIFIED</w:t>
      </w:r>
    </w:p>
    <w:p>
      <w:pPr>
        <w:pStyle w:val="ListBullet"/>
      </w:pPr>
      <w:r>
        <w:rPr>
          <w:rFonts w:ascii="Consolas" w:hAnsi="Consolas"/>
          <w:sz w:val="19"/>
        </w:rPr>
        <w:t>NATO_RESTRICTED</w:t>
      </w:r>
    </w:p>
    <w:p>
      <w:pPr>
        <w:pStyle w:val="ListBullet"/>
      </w:pPr>
      <w:r>
        <w:rPr>
          <w:rFonts w:ascii="Consolas" w:hAnsi="Consolas"/>
          <w:sz w:val="19"/>
        </w:rPr>
        <w:t>NATO_CONFIDENTIAL</w:t>
      </w:r>
    </w:p>
    <w:p>
      <w:pPr>
        <w:pStyle w:val="ListBullet"/>
      </w:pPr>
      <w:r>
        <w:rPr>
          <w:rFonts w:ascii="Consolas" w:hAnsi="Consolas"/>
          <w:sz w:val="19"/>
        </w:rPr>
        <w:t>NATO_SECRET</w:t>
      </w:r>
    </w:p>
    <w:p>
      <w:pPr>
        <w:pStyle w:val="ListBullet"/>
      </w:pPr>
      <w:r>
        <w:rPr>
          <w:rFonts w:ascii="Consolas" w:hAnsi="Consolas"/>
          <w:sz w:val="19"/>
        </w:rPr>
        <w:t>COSMIC_TOP_SECRET</w:t>
      </w:r>
    </w:p>
    <w:p>
      <w:r>
        <w:rPr>
          <w:rFonts w:ascii="Calibri" w:hAnsi="Calibri"/>
        </w:rPr>
        <w:t>Users can access documents at or below their effective clearance level inside their allowed Knowledge Spaces. Do not assign higher clearance than the user is authorized to hold.</w:t>
      </w:r>
    </w:p>
    <w:p>
      <w:pPr>
        <w:pStyle w:val="Heading2"/>
      </w:pPr>
      <w:r>
        <w:rPr>
          <w:rFonts w:ascii="Calibri" w:hAnsi="Calibri"/>
        </w:rPr>
        <w:t>6. Document Governance</w:t>
      </w:r>
    </w:p>
    <w:p>
      <w:r>
        <w:rPr>
          <w:rFonts w:ascii="Calibri" w:hAnsi="Calibri"/>
        </w:rPr>
        <w:t xml:space="preserve">Use </w:t>
      </w:r>
      <w:r>
        <w:rPr>
          <w:rFonts w:ascii="Calibri" w:hAnsi="Calibri"/>
          <w:b/>
        </w:rPr>
        <w:t>Corpus &gt; Document Library</w:t>
      </w:r>
      <w:r>
        <w:rPr>
          <w:rFonts w:ascii="Calibri" w:hAnsi="Calibri"/>
        </w:rPr>
        <w:t xml:space="preserve"> to inspect and govern documents.</w:t>
      </w:r>
    </w:p>
    <w:p>
      <w:r>
        <w:rPr>
          <w:rFonts w:ascii="Calibri" w:hAnsi="Calibri"/>
        </w:rPr>
        <w:t>Common actions:</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Action</w:t>
            </w:r>
          </w:p>
        </w:tc>
        <w:tc>
          <w:tcPr>
            <w:tcW w:type="dxa" w:w="6660"/>
            <w:vAlign w:val="center"/>
            <w:tcMar>
              <w:top w:w="80" w:type="dxa"/>
              <w:bottom w:w="80" w:type="dxa"/>
              <w:start w:w="120" w:type="dxa"/>
              <w:end w:w="120" w:type="dxa"/>
            </w:tcMar>
            <w:shd w:fill="E8EEF5"/>
          </w:tcPr>
          <w:p>
            <w:pPr>
              <w:spacing w:after="0"/>
            </w:pPr>
            <w:r>
              <w:rPr>
                <w:rFonts w:ascii="Calibri" w:hAnsi="Calibri"/>
                <w:b/>
              </w:rPr>
              <w:t>Effect</w:t>
            </w:r>
          </w:p>
        </w:tc>
      </w:tr>
      <w:tr>
        <w:tc>
          <w:tcPr>
            <w:tcW w:type="dxa" w:w="2700"/>
            <w:vAlign w:val="center"/>
            <w:tcMar>
              <w:top w:w="80" w:type="dxa"/>
              <w:bottom w:w="80" w:type="dxa"/>
              <w:start w:w="120" w:type="dxa"/>
              <w:end w:w="120" w:type="dxa"/>
            </w:tcMar>
          </w:tcPr>
          <w:p>
            <w:pPr>
              <w:spacing w:after="0"/>
            </w:pPr>
            <w:r>
              <w:rPr>
                <w:rFonts w:ascii="Calibri" w:hAnsi="Calibri"/>
              </w:rPr>
              <w:t>Download</w:t>
            </w:r>
          </w:p>
        </w:tc>
        <w:tc>
          <w:tcPr>
            <w:tcW w:type="dxa" w:w="6660"/>
            <w:vAlign w:val="center"/>
            <w:tcMar>
              <w:top w:w="80" w:type="dxa"/>
              <w:bottom w:w="80" w:type="dxa"/>
              <w:start w:w="120" w:type="dxa"/>
              <w:end w:w="120" w:type="dxa"/>
            </w:tcMar>
          </w:tcPr>
          <w:p>
            <w:pPr>
              <w:spacing w:after="0"/>
            </w:pPr>
            <w:r>
              <w:rPr>
                <w:rFonts w:ascii="Calibri" w:hAnsi="Calibri"/>
              </w:rPr>
              <w:t>Opens or downloads the original source file.</w:t>
            </w:r>
          </w:p>
        </w:tc>
      </w:tr>
      <w:tr>
        <w:tc>
          <w:tcPr>
            <w:tcW w:type="dxa" w:w="2700"/>
            <w:vAlign w:val="center"/>
            <w:tcMar>
              <w:top w:w="80" w:type="dxa"/>
              <w:bottom w:w="80" w:type="dxa"/>
              <w:start w:w="120" w:type="dxa"/>
              <w:end w:w="120" w:type="dxa"/>
            </w:tcMar>
          </w:tcPr>
          <w:p>
            <w:pPr>
              <w:spacing w:after="0"/>
            </w:pPr>
            <w:r>
              <w:rPr>
                <w:rFonts w:ascii="Calibri" w:hAnsi="Calibri"/>
              </w:rPr>
              <w:t>Reingest</w:t>
            </w:r>
          </w:p>
        </w:tc>
        <w:tc>
          <w:tcPr>
            <w:tcW w:type="dxa" w:w="6660"/>
            <w:vAlign w:val="center"/>
            <w:tcMar>
              <w:top w:w="80" w:type="dxa"/>
              <w:bottom w:w="80" w:type="dxa"/>
              <w:start w:w="120" w:type="dxa"/>
              <w:end w:w="120" w:type="dxa"/>
            </w:tcMar>
          </w:tcPr>
          <w:p>
            <w:pPr>
              <w:spacing w:after="0"/>
            </w:pPr>
            <w:r>
              <w:rPr>
                <w:rFonts w:ascii="Calibri" w:hAnsi="Calibri"/>
              </w:rPr>
              <w:t>Queues a new ingestion job from the stored source file.</w:t>
            </w:r>
          </w:p>
        </w:tc>
      </w:tr>
      <w:tr>
        <w:tc>
          <w:tcPr>
            <w:tcW w:type="dxa" w:w="2700"/>
            <w:vAlign w:val="center"/>
            <w:tcMar>
              <w:top w:w="80" w:type="dxa"/>
              <w:bottom w:w="80" w:type="dxa"/>
              <w:start w:w="120" w:type="dxa"/>
              <w:end w:w="120" w:type="dxa"/>
            </w:tcMar>
          </w:tcPr>
          <w:p>
            <w:pPr>
              <w:spacing w:after="0"/>
            </w:pPr>
            <w:r>
              <w:rPr>
                <w:rFonts w:ascii="Calibri" w:hAnsi="Calibri"/>
              </w:rPr>
              <w:t>Move to Trash</w:t>
            </w:r>
          </w:p>
        </w:tc>
        <w:tc>
          <w:tcPr>
            <w:tcW w:type="dxa" w:w="6660"/>
            <w:vAlign w:val="center"/>
            <w:tcMar>
              <w:top w:w="80" w:type="dxa"/>
              <w:bottom w:w="80" w:type="dxa"/>
              <w:start w:w="120" w:type="dxa"/>
              <w:end w:w="120" w:type="dxa"/>
            </w:tcMar>
          </w:tcPr>
          <w:p>
            <w:pPr>
              <w:spacing w:after="0"/>
            </w:pPr>
            <w:r>
              <w:rPr>
                <w:rFonts w:ascii="Calibri" w:hAnsi="Calibri"/>
              </w:rPr>
              <w:t>Soft deletes the document and removes indexed vectors.</w:t>
            </w:r>
          </w:p>
        </w:tc>
      </w:tr>
      <w:tr>
        <w:tc>
          <w:tcPr>
            <w:tcW w:type="dxa" w:w="2700"/>
            <w:vAlign w:val="center"/>
            <w:tcMar>
              <w:top w:w="80" w:type="dxa"/>
              <w:bottom w:w="80" w:type="dxa"/>
              <w:start w:w="120" w:type="dxa"/>
              <w:end w:w="120" w:type="dxa"/>
            </w:tcMar>
          </w:tcPr>
          <w:p>
            <w:pPr>
              <w:spacing w:after="0"/>
            </w:pPr>
            <w:r>
              <w:rPr>
                <w:rFonts w:ascii="Calibri" w:hAnsi="Calibri"/>
              </w:rPr>
              <w:t>Restore</w:t>
            </w:r>
          </w:p>
        </w:tc>
        <w:tc>
          <w:tcPr>
            <w:tcW w:type="dxa" w:w="6660"/>
            <w:vAlign w:val="center"/>
            <w:tcMar>
              <w:top w:w="80" w:type="dxa"/>
              <w:bottom w:w="80" w:type="dxa"/>
              <w:start w:w="120" w:type="dxa"/>
              <w:end w:w="120" w:type="dxa"/>
            </w:tcMar>
          </w:tcPr>
          <w:p>
            <w:pPr>
              <w:spacing w:after="0"/>
            </w:pPr>
            <w:r>
              <w:rPr>
                <w:rFonts w:ascii="Calibri" w:hAnsi="Calibri"/>
              </w:rPr>
              <w:t>Restores a Trash document and queues reingestion.</w:t>
            </w:r>
          </w:p>
        </w:tc>
      </w:tr>
      <w:tr>
        <w:tc>
          <w:tcPr>
            <w:tcW w:type="dxa" w:w="2700"/>
            <w:vAlign w:val="center"/>
            <w:tcMar>
              <w:top w:w="80" w:type="dxa"/>
              <w:bottom w:w="80" w:type="dxa"/>
              <w:start w:w="120" w:type="dxa"/>
              <w:end w:w="120" w:type="dxa"/>
            </w:tcMar>
          </w:tcPr>
          <w:p>
            <w:pPr>
              <w:spacing w:after="0"/>
            </w:pPr>
            <w:r>
              <w:rPr>
                <w:rFonts w:ascii="Calibri" w:hAnsi="Calibri"/>
              </w:rPr>
              <w:t>Permanently Delete</w:t>
            </w:r>
          </w:p>
        </w:tc>
        <w:tc>
          <w:tcPr>
            <w:tcW w:type="dxa" w:w="6660"/>
            <w:vAlign w:val="center"/>
            <w:tcMar>
              <w:top w:w="80" w:type="dxa"/>
              <w:bottom w:w="80" w:type="dxa"/>
              <w:start w:w="120" w:type="dxa"/>
              <w:end w:w="120" w:type="dxa"/>
            </w:tcMar>
          </w:tcPr>
          <w:p>
            <w:pPr>
              <w:spacing w:after="0"/>
            </w:pPr>
            <w:r>
              <w:rPr>
                <w:rFonts w:ascii="Calibri" w:hAnsi="Calibri"/>
              </w:rPr>
              <w:t>Removes source file, image assets, vectors, and the document record where policy and role allow.</w:t>
            </w:r>
          </w:p>
        </w:tc>
      </w:tr>
    </w:tbl>
    <w:p>
      <w:pPr>
        <w:spacing w:after="120"/>
      </w:pPr>
    </w:p>
    <w:p>
      <w:r>
        <w:rPr>
          <w:rFonts w:ascii="Calibri" w:hAnsi="Calibri"/>
        </w:rPr>
        <w:t>Use permanent deletion only when retention policy allows it. Prefer Trash when an item should be hidden from retrieval but retained for review.</w:t>
      </w:r>
    </w:p>
    <w:p>
      <w:r>
        <w:rPr>
          <w:rFonts w:ascii="Calibri" w:hAnsi="Calibri"/>
        </w:rPr>
        <w:t>When replacing a document, use supersedes metadata so the previous version stays auditable.</w:t>
      </w:r>
    </w:p>
    <w:p>
      <w:pPr>
        <w:pStyle w:val="Heading2"/>
      </w:pPr>
      <w:r>
        <w:rPr>
          <w:rFonts w:ascii="Calibri" w:hAnsi="Calibri"/>
        </w:rPr>
        <w:t>7. Abbreviation Glossary</w:t>
      </w:r>
    </w:p>
    <w:p>
      <w:r>
        <w:rPr>
          <w:rFonts w:ascii="Calibri" w:hAnsi="Calibri"/>
        </w:rPr>
        <w:t xml:space="preserve">Platform Admins and System Admins can open </w:t>
      </w:r>
      <w:r>
        <w:rPr>
          <w:rFonts w:ascii="Calibri" w:hAnsi="Calibri"/>
          <w:b/>
        </w:rPr>
        <w:t>Corpus &gt; Document Intake &gt; Abbreviation Glossary</w:t>
      </w:r>
      <w:r>
        <w:rPr>
          <w:rFonts w:ascii="Calibri" w:hAnsi="Calibri"/>
        </w:rPr>
        <w:t xml:space="preserve"> and use </w:t>
      </w:r>
      <w:r>
        <w:rPr>
          <w:rFonts w:ascii="Calibri" w:hAnsi="Calibri"/>
          <w:b/>
        </w:rPr>
        <w:t>Terms in use</w:t>
      </w:r>
      <w:r>
        <w:rPr>
          <w:rFonts w:ascii="Calibri" w:hAnsi="Calibri"/>
        </w:rPr>
        <w:t xml:space="preserve"> to search, add, edit, or delete definitions. There is one global glossary; no Knowledge Space, sharing, or clearance selection is required. Saved changes become available to all queries immediately and do not re-index the document corpus.</w:t>
      </w:r>
    </w:p>
    <w:p>
      <w:r>
        <w:rPr>
          <w:rFonts w:ascii="Calibri" w:hAnsi="Calibri"/>
        </w:rPr>
        <w:t xml:space="preserve">To import governed sources, upload one or more PDFs containing abbreviation and expansion pairs, either in two-column tables—with or without headers—or as lines such as </w:t>
      </w:r>
      <w:r>
        <w:rPr>
          <w:rFonts w:ascii="Consolas" w:hAnsi="Consolas"/>
          <w:sz w:val="19"/>
        </w:rPr>
        <w:t>AD — Assistant Director</w:t>
      </w:r>
      <w:r>
        <w:rPr>
          <w:rFonts w:ascii="Calibri" w:hAnsi="Calibri"/>
        </w:rPr>
        <w:t xml:space="preserve">. Headerless rows may use whitespace between the abbreviation and expansion, such as </w:t>
      </w:r>
      <w:r>
        <w:rPr>
          <w:rFonts w:ascii="Consolas" w:hAnsi="Consolas"/>
          <w:sz w:val="19"/>
        </w:rPr>
        <w:t>AD Assistant Director</w:t>
      </w:r>
      <w:r>
        <w:rPr>
          <w:rFonts w:ascii="Calibri" w:hAnsi="Calibri"/>
        </w:rPr>
        <w:t xml:space="preserve">. Definitions from active PDFs merge into the global glossary. Each PDF can be replaced or moved to Trash independently, and replacements do not affect other sources. A single abbreviation can have multiple definitions; ambiguous abbreviations expand in Chat with each definition joined by </w:t>
      </w:r>
      <w:r>
        <w:rPr>
          <w:rFonts w:ascii="Consolas" w:hAnsi="Consolas"/>
          <w:sz w:val="19"/>
        </w:rPr>
        <w:t>OR</w:t>
      </w:r>
      <w:r>
        <w:rPr>
          <w:rFonts w:ascii="Calibri" w:hAnsi="Calibri"/>
        </w:rPr>
        <w:t>. Identical definitions may be shared by several PDFs. Source PDFs remain available for governance and audit, but are not embedded or searched as ordinary corpus documents. Their processing status stays in the Abbreviation Glossary workflow and does not appear in normal ingestion activity or health summaries.</w:t>
      </w:r>
    </w:p>
    <w:p>
      <w:r>
        <w:rPr>
          <w:rFonts w:ascii="Calibri" w:hAnsi="Calibri"/>
        </w:rPr>
        <w:t xml:space="preserve">Query expansion works in both directions: </w:t>
      </w:r>
      <w:r>
        <w:rPr>
          <w:rFonts w:ascii="Consolas" w:hAnsi="Consolas"/>
          <w:sz w:val="19"/>
        </w:rPr>
        <w:t>AD</w:t>
      </w:r>
      <w:r>
        <w:rPr>
          <w:rFonts w:ascii="Calibri" w:hAnsi="Calibri"/>
        </w:rPr>
        <w:t xml:space="preserve"> adds </w:t>
      </w:r>
      <w:r>
        <w:rPr>
          <w:rFonts w:ascii="Consolas" w:hAnsi="Consolas"/>
          <w:sz w:val="19"/>
        </w:rPr>
        <w:t>Assistant Director</w:t>
      </w:r>
      <w:r>
        <w:rPr>
          <w:rFonts w:ascii="Calibri" w:hAnsi="Calibri"/>
        </w:rPr>
        <w:t xml:space="preserve">, while </w:t>
      </w:r>
      <w:r>
        <w:rPr>
          <w:rFonts w:ascii="Consolas" w:hAnsi="Consolas"/>
          <w:sz w:val="19"/>
        </w:rPr>
        <w:t>Assistant Director</w:t>
      </w:r>
      <w:r>
        <w:rPr>
          <w:rFonts w:ascii="Calibri" w:hAnsi="Calibri"/>
        </w:rPr>
        <w:t xml:space="preserve"> adds </w:t>
      </w:r>
      <w:r>
        <w:rPr>
          <w:rFonts w:ascii="Consolas" w:hAnsi="Consolas"/>
          <w:sz w:val="19"/>
        </w:rPr>
        <w:t>AD</w:t>
      </w:r>
      <w:r>
        <w:rPr>
          <w:rFonts w:ascii="Calibri" w:hAnsi="Calibri"/>
        </w:rPr>
        <w:t xml:space="preserve">. The original user text remains unchanged for display and audit. Ambiguous abbreviations include every definition joined by </w:t>
      </w:r>
      <w:r>
        <w:rPr>
          <w:rFonts w:ascii="Consolas" w:hAnsi="Consolas"/>
          <w:sz w:val="19"/>
        </w:rPr>
        <w:t>OR</w:t>
      </w:r>
      <w:r>
        <w:rPr>
          <w:rFonts w:ascii="Calibri" w:hAnsi="Calibri"/>
        </w:rPr>
        <w:t>. When a PDF definition supports an answer, its evidence records the source PDF and page without exposing unrelated glossary content to retrieval.</w:t>
      </w:r>
    </w:p>
    <w:p>
      <w:r>
        <w:rPr>
          <w:rFonts w:ascii="Calibri" w:hAnsi="Calibri"/>
        </w:rPr>
        <w:t xml:space="preserve">Glossary PDFs and their processing status remain in the </w:t>
      </w:r>
      <w:r>
        <w:rPr>
          <w:rFonts w:ascii="Calibri" w:hAnsi="Calibri"/>
          <w:b/>
        </w:rPr>
        <w:t>Abbreviation Glossary</w:t>
      </w:r>
      <w:r>
        <w:rPr>
          <w:rFonts w:ascii="Calibri" w:hAnsi="Calibri"/>
        </w:rPr>
        <w:t xml:space="preserve"> workflow. Use </w:t>
      </w:r>
      <w:r>
        <w:rPr>
          <w:rFonts w:ascii="Calibri" w:hAnsi="Calibri"/>
          <w:b/>
        </w:rPr>
        <w:t>Terms &amp; sources</w:t>
      </w:r>
      <w:r>
        <w:rPr>
          <w:rFonts w:ascii="Calibri" w:hAnsi="Calibri"/>
        </w:rPr>
        <w:t xml:space="preserve"> for active definitions and source files, and </w:t>
      </w:r>
      <w:r>
        <w:rPr>
          <w:rFonts w:ascii="Calibri" w:hAnsi="Calibri"/>
          <w:b/>
        </w:rPr>
        <w:t>Activity</w:t>
      </w:r>
      <w:r>
        <w:rPr>
          <w:rFonts w:ascii="Calibri" w:hAnsi="Calibri"/>
        </w:rPr>
        <w:t xml:space="preserve"> for queued, running, completed, cancelled, or failed imports. They do not appear in the ordinary document list or normal ingestion Activity. Removed and failed sources appear in the shared </w:t>
      </w:r>
      <w:r>
        <w:rPr>
          <w:rFonts w:ascii="Calibri" w:hAnsi="Calibri"/>
          <w:b/>
        </w:rPr>
        <w:t>Trash</w:t>
      </w:r>
      <w:r>
        <w:rPr>
          <w:rFonts w:ascii="Calibri" w:hAnsi="Calibri"/>
        </w:rPr>
        <w:t>, where an authorized administrator can restore or permanently delete them.</w:t>
      </w:r>
    </w:p>
    <w:p>
      <w:pPr>
        <w:pStyle w:val="Heading2"/>
      </w:pPr>
      <w:r>
        <w:rPr>
          <w:rFonts w:ascii="Calibri" w:hAnsi="Calibri"/>
        </w:rPr>
        <w:t>8. Folder Sources</w:t>
      </w:r>
    </w:p>
    <w:p>
      <w:r>
        <w:rPr>
          <w:rFonts w:ascii="Calibri" w:hAnsi="Calibri"/>
        </w:rPr>
        <w:t xml:space="preserve">Open </w:t>
      </w:r>
      <w:r>
        <w:rPr>
          <w:rFonts w:ascii="Calibri" w:hAnsi="Calibri"/>
          <w:b/>
        </w:rPr>
        <w:t>Corpus &gt; Document Intake &gt; Folder Sources</w:t>
      </w:r>
      <w:r>
        <w:rPr>
          <w:rFonts w:ascii="Calibri" w:hAnsi="Calibri"/>
        </w:rPr>
        <w:t xml:space="preserve"> to upload local folder snapshots for bulk ingestion.</w:t>
      </w:r>
    </w:p>
    <w:p>
      <w:r>
        <w:rPr>
          <w:rFonts w:ascii="Calibri" w:hAnsi="Calibri"/>
        </w:rPr>
        <w:t>Folder snapshots are one-time schedules. They do not continuously watch the local folder. To ingest later file edits, choose the folder again and create a new snapshot.</w:t>
      </w:r>
    </w:p>
    <w:p>
      <w:r>
        <w:rPr>
          <w:rFonts w:ascii="Calibri" w:hAnsi="Calibri"/>
        </w:rPr>
        <w:t xml:space="preserve">PDF, DOCX, PPTX, CSV, XLSX, JPG, PNG, and JSON files are accepted. </w:t>
      </w:r>
      <w:r>
        <w:rPr>
          <w:rFonts w:ascii="Calibri" w:hAnsi="Calibri"/>
          <w:b/>
        </w:rPr>
        <w:t>Analyze slide visuals</w:t>
      </w:r>
      <w:r>
        <w:rPr>
          <w:rFonts w:ascii="Calibri" w:hAnsi="Calibri"/>
        </w:rPr>
        <w:t xml:space="preserve"> defaults to enabled and is saved with the schedule, so PPTX slides retain diagram, chart, image, and layout meaning during ingestion.</w:t>
      </w:r>
    </w:p>
    <w:p>
      <w:r>
        <w:rPr>
          <w:rFonts w:ascii="Calibri" w:hAnsi="Calibri"/>
        </w:rPr>
        <w:t xml:space="preserve">Spreadsheet ingestion detects title rows and grouped headers, indexes each visible, non-empty worksheet, and skips hidden worksheets. Authorized users can correct the result from the document inspector's </w:t>
      </w:r>
      <w:r>
        <w:rPr>
          <w:rFonts w:ascii="Calibri" w:hAnsi="Calibri"/>
          <w:b/>
        </w:rPr>
        <w:t>Tables</w:t>
      </w:r>
      <w:r>
        <w:rPr>
          <w:rFonts w:ascii="Calibri" w:hAnsi="Calibri"/>
        </w:rPr>
        <w:t xml:space="preserve"> tab; saving queues reindexing while preserving the original file. Spreadsheet formulas are preserved as source expressions and are never calculated by ingestion.</w:t>
      </w:r>
    </w:p>
    <w:p>
      <w:r>
        <w:rPr>
          <w:rFonts w:ascii="Calibri" w:hAnsi="Calibri"/>
        </w:rPr>
        <w:t>Use run details to review queued, skipped, cancelled, and failed files. Unsupported files are recorded as skipped.</w:t>
      </w:r>
    </w:p>
    <w:p>
      <w:pPr>
        <w:pStyle w:val="Heading3"/>
      </w:pPr>
      <w:r>
        <w:rPr>
          <w:rFonts w:ascii="Calibri" w:hAnsi="Calibri"/>
        </w:rPr>
        <w:t>Document Health Count Semantics</w:t>
      </w:r>
    </w:p>
    <w:p>
      <w:r>
        <w:rPr>
          <w:rFonts w:ascii="Calibri" w:hAnsi="Calibri"/>
        </w:rPr>
        <w:t>Document Overview, Knowledge Spaces, System Overview, and the Trash badge use the same access- and clearance-filtered document snapshot. Counts are grouped by persisted document identity, not by ingestion attempts or browser upload rows. Needs attention is the distinct set of visible current documents in failed, unknown, or human-review state. Processing is separate, cancelled is excluded, and superseded versions do not contribute current health.</w:t>
      </w:r>
    </w:p>
    <w:p>
      <w:r>
        <w:rPr>
          <w:rFonts w:ascii="Calibri" w:hAnsi="Calibri"/>
        </w:rPr>
        <w:t>A retry updates the existing document state, so failed becomes processing and does not stack another issue. A new unrelated upload is a different document and does not acknowledge the original failure. A replacement leaves the old version current until successful publication, then moves the old version to Superseded. Use Activity and Ingestion Health for run and attempt counts; their totals intentionally differ from document-health totals.</w:t>
      </w:r>
    </w:p>
    <w:p>
      <w:pPr>
        <w:pStyle w:val="Heading2"/>
      </w:pPr>
      <w:r>
        <w:rPr>
          <w:rFonts w:ascii="Calibri" w:hAnsi="Calibri"/>
        </w:rPr>
        <w:t>9. Database Connectors</w:t>
      </w:r>
    </w:p>
    <w:p>
      <w:r>
        <w:rPr>
          <w:rFonts w:ascii="Calibri" w:hAnsi="Calibri"/>
        </w:rPr>
        <w:t xml:space="preserve">Platform Admins, System Admins, and Space Admins can prepare governed live SQL access from </w:t>
      </w:r>
      <w:r>
        <w:rPr>
          <w:rFonts w:ascii="Calibri" w:hAnsi="Calibri"/>
          <w:b/>
        </w:rPr>
        <w:t>Document Intake &gt; Database Connectors</w:t>
      </w:r>
      <w:r>
        <w:rPr>
          <w:rFonts w:ascii="Calibri" w:hAnsi="Calibri"/>
        </w:rPr>
        <w:t>.</w:t>
      </w:r>
    </w:p>
    <w:p>
      <w:r>
        <w:rPr>
          <w:rFonts w:ascii="Calibri" w:hAnsi="Calibri"/>
        </w:rPr>
        <w:t>Supported source types:</w:t>
      </w:r>
    </w:p>
    <w:p>
      <w:pPr>
        <w:pStyle w:val="ListBullet"/>
      </w:pPr>
      <w:r>
        <w:rPr>
          <w:rFonts w:ascii="Calibri" w:hAnsi="Calibri"/>
        </w:rPr>
        <w:t>SQL Server</w:t>
      </w:r>
    </w:p>
    <w:p>
      <w:pPr>
        <w:pStyle w:val="ListBullet"/>
      </w:pPr>
      <w:r>
        <w:rPr>
          <w:rFonts w:ascii="Calibri" w:hAnsi="Calibri"/>
        </w:rPr>
        <w:t>PostgreSQL</w:t>
      </w:r>
    </w:p>
    <w:p>
      <w:r>
        <w:rPr>
          <w:rFonts w:ascii="Calibri" w:hAnsi="Calibri"/>
        </w:rPr>
        <w:t>Database connectors do not copy database rows into the document corpus. At question time, Prudentia generates a read-only SQL query, validates it against an approved schema catalog, applies result limits and a timeout, and uses the returned rows as answer evidence.</w:t>
      </w:r>
    </w:p>
    <w:p>
      <w:pPr>
        <w:pStyle w:val="Heading3"/>
      </w:pPr>
      <w:r>
        <w:rPr>
          <w:rFonts w:ascii="Calibri" w:hAnsi="Calibri"/>
        </w:rPr>
        <w:t>Connector Approval Workflow</w:t>
      </w:r>
    </w:p>
    <w:p>
      <w:r>
        <w:rPr>
          <w:rFonts w:ascii="Calibri" w:hAnsi="Calibri"/>
        </w:rPr>
        <w:t xml:space="preserve">Selecting an action for a saved connection activates its guided setup. Each successful stage advances to the next workspace automatically; completed stages remain selectable for review, and </w:t>
      </w:r>
      <w:r>
        <w:rPr>
          <w:rFonts w:ascii="Calibri" w:hAnsi="Calibri"/>
          <w:b/>
        </w:rPr>
        <w:t>All Connections</w:t>
      </w:r>
      <w:r>
        <w:rPr>
          <w:rFonts w:ascii="Calibri" w:hAnsi="Calibri"/>
        </w:rPr>
        <w:t xml:space="preserve"> returns to the overview.</w:t>
      </w:r>
    </w:p>
    <w:p>
      <w:pPr>
        <w:pStyle w:val="ListNumber"/>
      </w:pPr>
      <w:r>
        <w:rPr>
          <w:rFonts w:ascii="Calibri" w:hAnsi="Calibri"/>
        </w:rPr>
        <w:t>Add and save a connection with a least-privilege read-only database account.</w:t>
      </w:r>
    </w:p>
    <w:p>
      <w:pPr>
        <w:pStyle w:val="ListNumber"/>
      </w:pPr>
      <w:r>
        <w:rPr>
          <w:rFonts w:ascii="Calibri" w:hAnsi="Calibri"/>
        </w:rPr>
        <w:t xml:space="preserve">Follow the connection's primary action to </w:t>
      </w:r>
      <w:r>
        <w:rPr>
          <w:rFonts w:ascii="Calibri" w:hAnsi="Calibri"/>
          <w:b/>
        </w:rPr>
        <w:t>Test Connection</w:t>
      </w:r>
      <w:r>
        <w:rPr>
          <w:rFonts w:ascii="Calibri" w:hAnsi="Calibri"/>
        </w:rPr>
        <w:t>.</w:t>
      </w:r>
    </w:p>
    <w:p>
      <w:pPr>
        <w:pStyle w:val="ListNumber"/>
      </w:pPr>
      <w:r>
        <w:rPr>
          <w:rFonts w:ascii="Calibri" w:hAnsi="Calibri"/>
        </w:rPr>
        <w:t xml:space="preserve">After a successful test, select </w:t>
      </w:r>
      <w:r>
        <w:rPr>
          <w:rFonts w:ascii="Calibri" w:hAnsi="Calibri"/>
          <w:b/>
        </w:rPr>
        <w:t>Read Schema</w:t>
      </w:r>
      <w:r>
        <w:rPr>
          <w:rFonts w:ascii="Calibri" w:hAnsi="Calibri"/>
        </w:rPr>
        <w:t xml:space="preserve"> to capture schema metadata.</w:t>
      </w:r>
    </w:p>
    <w:p>
      <w:pPr>
        <w:pStyle w:val="ListNumber"/>
      </w:pPr>
      <w:r>
        <w:rPr>
          <w:rFonts w:ascii="Calibri" w:hAnsi="Calibri"/>
        </w:rPr>
        <w:t xml:space="preserve">Inspect the snapshot, explicitly select its owner Knowledge Space and clearance, and choose </w:t>
      </w:r>
      <w:r>
        <w:rPr>
          <w:rFonts w:ascii="Calibri" w:hAnsi="Calibri"/>
          <w:b/>
        </w:rPr>
        <w:t>Prepare AI-assisted review</w:t>
      </w:r>
      <w:r>
        <w:rPr>
          <w:rFonts w:ascii="Calibri" w:hAnsi="Calibri"/>
        </w:rPr>
        <w:t>.</w:t>
      </w:r>
    </w:p>
    <w:p>
      <w:pPr>
        <w:pStyle w:val="ListNumber"/>
      </w:pPr>
      <w:r>
        <w:rPr>
          <w:rFonts w:ascii="Calibri" w:hAnsi="Calibri"/>
        </w:rPr>
        <w:t xml:space="preserve">Prudentia creates an editable review and proposes descriptions, synonyms, join context, and business rules from schema metadata, one table at a time. Completed tables are saved; use </w:t>
      </w:r>
      <w:r>
        <w:rPr>
          <w:rFonts w:ascii="Calibri" w:hAnsi="Calibri"/>
          <w:b/>
        </w:rPr>
        <w:t>Continue AI Enrichment</w:t>
      </w:r>
      <w:r>
        <w:rPr>
          <w:rFonts w:ascii="Calibri" w:hAnsi="Calibri"/>
        </w:rPr>
        <w:t xml:space="preserve"> after an interruption.</w:t>
      </w:r>
    </w:p>
    <w:p>
      <w:pPr>
        <w:pStyle w:val="ListNumber"/>
      </w:pPr>
      <w:r>
        <w:rPr>
          <w:rFonts w:ascii="Calibri" w:hAnsi="Calibri"/>
        </w:rPr>
        <w:t>Follow the guided Summary, Tables, Joins, and Access review. Add a clear database description, business domains, entities, metrics, synonyms, representative questions, and exclusions. Correct table and column descriptions, relationships, business rules, allowed fields, and sensitivity flags. Add verified exact-question/read-only-SQL pairs for recurring canonical questions that should bypass model SQL generation.</w:t>
      </w:r>
    </w:p>
    <w:p>
      <w:pPr>
        <w:pStyle w:val="ListNumber"/>
      </w:pPr>
      <w:r>
        <w:rPr>
          <w:rFonts w:ascii="Calibri" w:hAnsi="Calibri"/>
        </w:rPr>
        <w:t>Assign the owner Knowledge Space, optional shared Knowledge Spaces, and clearance.</w:t>
      </w:r>
    </w:p>
    <w:p>
      <w:pPr>
        <w:pStyle w:val="ListNumber"/>
      </w:pPr>
      <w:r>
        <w:rPr>
          <w:rFonts w:ascii="Calibri" w:hAnsi="Calibri"/>
        </w:rPr>
        <w:t xml:space="preserve">Select </w:t>
      </w:r>
      <w:r>
        <w:rPr>
          <w:rFonts w:ascii="Calibri" w:hAnsi="Calibri"/>
          <w:b/>
        </w:rPr>
        <w:t>Save Review</w:t>
      </w:r>
      <w:r>
        <w:rPr>
          <w:rFonts w:ascii="Calibri" w:hAnsi="Calibri"/>
        </w:rPr>
        <w:t xml:space="preserve"> to preserve the current review state.</w:t>
      </w:r>
    </w:p>
    <w:p>
      <w:pPr>
        <w:pStyle w:val="ListNumber"/>
      </w:pPr>
      <w:r>
        <w:rPr>
          <w:rFonts w:ascii="Calibri" w:hAnsi="Calibri"/>
        </w:rPr>
        <w:t xml:space="preserve">Select </w:t>
      </w:r>
      <w:r>
        <w:rPr>
          <w:rFonts w:ascii="Calibri" w:hAnsi="Calibri"/>
          <w:b/>
        </w:rPr>
        <w:t>Enable Live DB Access</w:t>
      </w:r>
      <w:r>
        <w:rPr>
          <w:rFonts w:ascii="Calibri" w:hAnsi="Calibri"/>
        </w:rPr>
        <w:t xml:space="preserve"> only after human review is complete. A successful approval advances the workspace to </w:t>
      </w:r>
      <w:r>
        <w:rPr>
          <w:rFonts w:ascii="Calibri" w:hAnsi="Calibri"/>
          <w:b/>
        </w:rPr>
        <w:t>Live Access</w:t>
      </w:r>
      <w:r>
        <w:rPr>
          <w:rFonts w:ascii="Calibri" w:hAnsi="Calibri"/>
        </w:rPr>
        <w:t>.</w:t>
      </w:r>
    </w:p>
    <w:p>
      <w:r>
        <w:rPr>
          <w:rFonts w:ascii="Calibri" w:hAnsi="Calibri"/>
        </w:rPr>
        <w:t>AI enrichment supplies editable suggestions only and does not inspect row values. It cannot approve a catalog, change its access scope, or enable Live DB access.</w:t>
      </w:r>
    </w:p>
    <w:p>
      <w:r>
        <w:rPr>
          <w:rFonts w:ascii="Calibri" w:hAnsi="Calibri"/>
        </w:rPr>
        <w:t>Only approved, non-sensitive tables, columns, and relationships can be queried. Write statements, wildcard column selection, unapproved joins, system schemas, and chained SQL statements are blocked.</w:t>
      </w:r>
    </w:p>
    <w:p>
      <w:r>
        <w:rPr>
          <w:rFonts w:ascii="Calibri" w:hAnsi="Calibri"/>
        </w:rPr>
        <w:t>Live DB routes only across sources already authorized for the requesting user and selects one catalog before SQL generation. The configured Routing role may use a cloud model, vLLM, or Ollama. Generated filter values are bound as query parameters. A request performs one SQL generation and one execution; there is no automatic SQL repair or result-verifier loop.</w:t>
      </w:r>
    </w:p>
    <w:p>
      <w:pPr>
        <w:pStyle w:val="Heading2"/>
      </w:pPr>
      <w:r>
        <w:rPr>
          <w:rFonts w:ascii="Calibri" w:hAnsi="Calibri"/>
        </w:rPr>
        <w:t>10. Review Queue Administration</w:t>
      </w:r>
    </w:p>
    <w:p>
      <w:r>
        <w:rPr>
          <w:rFonts w:ascii="Calibri" w:hAnsi="Calibri"/>
        </w:rPr>
        <w:t xml:space="preserve">Document Contributors, Space Admins, System Admins, and Platform Admins can open </w:t>
      </w:r>
      <w:r>
        <w:rPr>
          <w:rFonts w:ascii="Calibri" w:hAnsi="Calibri"/>
          <w:b/>
        </w:rPr>
        <w:t>Review Queue</w:t>
      </w:r>
      <w:r>
        <w:rPr>
          <w:rFonts w:ascii="Calibri" w:hAnsi="Calibri"/>
        </w:rPr>
        <w:t>.</w:t>
      </w:r>
    </w:p>
    <w:p>
      <w:r>
        <w:rPr>
          <w:rFonts w:ascii="Calibri" w:hAnsi="Calibri"/>
        </w:rPr>
        <w:t xml:space="preserve">The sidebar badge counts distinct, visible documents with pending OCR or PDF image review work. It does not count individual blocks or images, and partial decisions keep the document counted. The document leaves the count when its last pending review item is approved, rejected, skipped, or closed by cancellation. </w:t>
      </w:r>
      <w:r>
        <w:rPr>
          <w:rFonts w:ascii="Calibri" w:hAnsi="Calibri"/>
          <w:b/>
        </w:rPr>
        <w:t>Activity</w:t>
      </w:r>
      <w:r>
        <w:rPr>
          <w:rFonts w:ascii="Calibri" w:hAnsi="Calibri"/>
        </w:rPr>
        <w:t xml:space="preserve"> remains an unbadged operational history.</w:t>
      </w:r>
    </w:p>
    <w:p>
      <w:r>
        <w:rPr>
          <w:rFonts w:ascii="Calibri" w:hAnsi="Calibri"/>
        </w:rPr>
        <w:t xml:space="preserve">If many documents pause in </w:t>
      </w:r>
      <w:r>
        <w:rPr>
          <w:rFonts w:ascii="Calibri" w:hAnsi="Calibri"/>
          <w:b/>
        </w:rPr>
        <w:t>Needs review</w:t>
      </w:r>
      <w:r>
        <w:rPr>
          <w:rFonts w:ascii="Calibri" w:hAnsi="Calibri"/>
        </w:rPr>
        <w:t>:</w:t>
      </w:r>
    </w:p>
    <w:p>
      <w:pPr>
        <w:pStyle w:val="ListNumber"/>
      </w:pPr>
      <w:r>
        <w:rPr>
          <w:rFonts w:ascii="Calibri" w:hAnsi="Calibri"/>
        </w:rPr>
        <w:t xml:space="preserve">Review the OCR and PDF image thresholds in </w:t>
      </w:r>
      <w:r>
        <w:rPr>
          <w:rFonts w:ascii="Calibri" w:hAnsi="Calibri"/>
          <w:b/>
        </w:rPr>
        <w:t>Runtime Settings &gt; Ingestion Controls</w:t>
      </w:r>
      <w:r>
        <w:rPr>
          <w:rFonts w:ascii="Calibri" w:hAnsi="Calibri"/>
        </w:rPr>
        <w:t>.</w:t>
      </w:r>
    </w:p>
    <w:p>
      <w:pPr>
        <w:pStyle w:val="ListNumber"/>
      </w:pPr>
      <w:r>
        <w:rPr>
          <w:rFonts w:ascii="Calibri" w:hAnsi="Calibri"/>
        </w:rPr>
        <w:t xml:space="preserve">Confirm the ingestion worker is healthy in </w:t>
      </w:r>
      <w:r>
        <w:rPr>
          <w:rFonts w:ascii="Calibri" w:hAnsi="Calibri"/>
          <w:b/>
        </w:rPr>
        <w:t>Ingestion Health</w:t>
      </w:r>
      <w:r>
        <w:rPr>
          <w:rFonts w:ascii="Calibri" w:hAnsi="Calibri"/>
        </w:rPr>
        <w:t>.</w:t>
      </w:r>
    </w:p>
    <w:p>
      <w:pPr>
        <w:pStyle w:val="ListNumber"/>
      </w:pPr>
      <w:r>
        <w:rPr>
          <w:rFonts w:ascii="Calibri" w:hAnsi="Calibri"/>
        </w:rPr>
        <w:t>Have Document Contributors or admins resolve the oldest OCR blocks and PDF image batches first.</w:t>
      </w:r>
    </w:p>
    <w:p>
      <w:pPr>
        <w:pStyle w:val="ListNumber"/>
      </w:pPr>
      <w:r>
        <w:rPr>
          <w:rFonts w:ascii="Calibri" w:hAnsi="Calibri"/>
        </w:rPr>
        <w:t>Re-check Activity after approvals or skip decisions to confirm ingestion continues.</w:t>
      </w:r>
    </w:p>
    <w:p>
      <w:pPr>
        <w:pStyle w:val="Heading2"/>
      </w:pPr>
      <w:r>
        <w:rPr>
          <w:rFonts w:ascii="Calibri" w:hAnsi="Calibri"/>
        </w:rPr>
        <w:t>11. RAG Evaluation</w:t>
      </w:r>
    </w:p>
    <w:p>
      <w:r>
        <w:rPr>
          <w:rFonts w:ascii="Calibri" w:hAnsi="Calibri"/>
        </w:rPr>
        <w:t>RAG Evaluation is Platform Admin-only. Use it to measure answer quality with repeatable datasets.</w:t>
      </w:r>
    </w:p>
    <w:p>
      <w:r>
        <w:rPr>
          <w:rFonts w:ascii="Calibri" w:hAnsi="Calibri"/>
        </w:rPr>
        <w:t xml:space="preserve">Dataset cases should include a </w:t>
      </w:r>
      <w:r>
        <w:rPr>
          <w:rFonts w:ascii="Consolas" w:hAnsi="Consolas"/>
          <w:sz w:val="19"/>
        </w:rPr>
        <w:t>question</w:t>
      </w:r>
      <w:r>
        <w:rPr>
          <w:rFonts w:ascii="Calibri" w:hAnsi="Calibri"/>
        </w:rPr>
        <w:t xml:space="preserve"> or </w:t>
      </w:r>
      <w:r>
        <w:rPr>
          <w:rFonts w:ascii="Consolas" w:hAnsi="Consolas"/>
          <w:sz w:val="19"/>
        </w:rPr>
        <w:t>query</w:t>
      </w:r>
      <w:r>
        <w:rPr>
          <w:rFonts w:ascii="Calibri" w:hAnsi="Calibri"/>
        </w:rPr>
        <w:t xml:space="preserve">. Recommended fields include stable IDs, </w:t>
      </w:r>
      <w:r>
        <w:rPr>
          <w:rFonts w:ascii="Consolas" w:hAnsi="Consolas"/>
          <w:sz w:val="19"/>
        </w:rPr>
        <w:t>expected_answer</w:t>
      </w:r>
      <w:r>
        <w:rPr>
          <w:rFonts w:ascii="Calibri" w:hAnsi="Calibri"/>
        </w:rPr>
        <w:t>, expected source documents, acceptable source pages, minimum source count, degradation policy, must-include text, must-not-include text, citation requirements, faithfulness threshold, and latency threshold.</w:t>
      </w:r>
    </w:p>
    <w:p>
      <w:r>
        <w:rPr>
          <w:rFonts w:ascii="Calibri" w:hAnsi="Calibri"/>
        </w:rPr>
        <w:t xml:space="preserve">Supported optional expectation fields include </w:t>
      </w:r>
      <w:r>
        <w:rPr>
          <w:rFonts w:ascii="Consolas" w:hAnsi="Consolas"/>
          <w:sz w:val="19"/>
        </w:rPr>
        <w:t>expected_source_docs</w:t>
      </w:r>
      <w:r>
        <w:rPr>
          <w:rFonts w:ascii="Calibri" w:hAnsi="Calibri"/>
        </w:rPr>
        <w:t xml:space="preserve">, </w:t>
      </w:r>
      <w:r>
        <w:rPr>
          <w:rFonts w:ascii="Consolas" w:hAnsi="Consolas"/>
          <w:sz w:val="19"/>
        </w:rPr>
        <w:t>acceptable_source_pages</w:t>
      </w:r>
      <w:r>
        <w:rPr>
          <w:rFonts w:ascii="Calibri" w:hAnsi="Calibri"/>
        </w:rPr>
        <w:t xml:space="preserve">, </w:t>
      </w:r>
      <w:r>
        <w:rPr>
          <w:rFonts w:ascii="Consolas" w:hAnsi="Consolas"/>
          <w:sz w:val="19"/>
        </w:rPr>
        <w:t>min_sources</w:t>
      </w:r>
      <w:r>
        <w:rPr>
          <w:rFonts w:ascii="Calibri" w:hAnsi="Calibri"/>
        </w:rPr>
        <w:t xml:space="preserve">, </w:t>
      </w:r>
      <w:r>
        <w:rPr>
          <w:rFonts w:ascii="Consolas" w:hAnsi="Consolas"/>
          <w:sz w:val="19"/>
        </w:rPr>
        <w:t>must_include</w:t>
      </w:r>
      <w:r>
        <w:rPr>
          <w:rFonts w:ascii="Calibri" w:hAnsi="Calibri"/>
        </w:rPr>
        <w:t xml:space="preserve">, </w:t>
      </w:r>
      <w:r>
        <w:rPr>
          <w:rFonts w:ascii="Consolas" w:hAnsi="Consolas"/>
          <w:sz w:val="19"/>
        </w:rPr>
        <w:t>must_not_include</w:t>
      </w:r>
      <w:r>
        <w:rPr>
          <w:rFonts w:ascii="Calibri" w:hAnsi="Calibri"/>
        </w:rPr>
        <w:t xml:space="preserve">, </w:t>
      </w:r>
      <w:r>
        <w:rPr>
          <w:rFonts w:ascii="Consolas" w:hAnsi="Consolas"/>
          <w:sz w:val="19"/>
        </w:rPr>
        <w:t>must_cite_source</w:t>
      </w:r>
      <w:r>
        <w:rPr>
          <w:rFonts w:ascii="Calibri" w:hAnsi="Calibri"/>
        </w:rPr>
        <w:t xml:space="preserve"> or </w:t>
      </w:r>
      <w:r>
        <w:rPr>
          <w:rFonts w:ascii="Consolas" w:hAnsi="Consolas"/>
          <w:sz w:val="19"/>
        </w:rPr>
        <w:t>requires_citations</w:t>
      </w:r>
      <w:r>
        <w:rPr>
          <w:rFonts w:ascii="Calibri" w:hAnsi="Calibri"/>
        </w:rPr>
        <w:t xml:space="preserve">, </w:t>
      </w:r>
      <w:r>
        <w:rPr>
          <w:rFonts w:ascii="Consolas" w:hAnsi="Consolas"/>
          <w:sz w:val="19"/>
        </w:rPr>
        <w:t>min_faithfulness_score</w:t>
      </w:r>
      <w:r>
        <w:rPr>
          <w:rFonts w:ascii="Calibri" w:hAnsi="Calibri"/>
        </w:rPr>
        <w:t xml:space="preserve">, </w:t>
      </w:r>
      <w:r>
        <w:rPr>
          <w:rFonts w:ascii="Consolas" w:hAnsi="Consolas"/>
          <w:sz w:val="19"/>
        </w:rPr>
        <w:t>allow_degraded</w:t>
      </w:r>
      <w:r>
        <w:rPr>
          <w:rFonts w:ascii="Calibri" w:hAnsi="Calibri"/>
        </w:rPr>
        <w:t xml:space="preserve">, and </w:t>
      </w:r>
      <w:r>
        <w:rPr>
          <w:rFonts w:ascii="Consolas" w:hAnsi="Consolas"/>
          <w:sz w:val="19"/>
        </w:rPr>
        <w:t>latency_threshold_ms</w:t>
      </w:r>
      <w:r>
        <w:rPr>
          <w:rFonts w:ascii="Calibri" w:hAnsi="Calibri"/>
        </w:rPr>
        <w:t>.</w:t>
      </w:r>
    </w:p>
    <w:p>
      <w:r>
        <w:rPr>
          <w:rFonts w:ascii="Calibri" w:hAnsi="Calibri"/>
        </w:rPr>
        <w:t>Basic workflow:</w:t>
      </w:r>
    </w:p>
    <w:p>
      <w:pPr>
        <w:pStyle w:val="ListNumber"/>
      </w:pPr>
      <w:r>
        <w:rPr>
          <w:rFonts w:ascii="Calibri" w:hAnsi="Calibri"/>
        </w:rPr>
        <w:t xml:space="preserve">Open </w:t>
      </w:r>
      <w:r>
        <w:rPr>
          <w:rFonts w:ascii="Calibri" w:hAnsi="Calibri"/>
          <w:b/>
        </w:rPr>
        <w:t>Evaluate &gt; RAG Evaluation</w:t>
      </w:r>
      <w:r>
        <w:rPr>
          <w:rFonts w:ascii="Calibri" w:hAnsi="Calibri"/>
        </w:rPr>
        <w:t>.</w:t>
      </w:r>
    </w:p>
    <w:p>
      <w:pPr>
        <w:pStyle w:val="ListNumber"/>
      </w:pPr>
      <w:r>
        <w:rPr>
          <w:rFonts w:ascii="Calibri" w:hAnsi="Calibri"/>
        </w:rPr>
        <w:t>Import a JSON or JSONL dataset.</w:t>
      </w:r>
    </w:p>
    <w:p>
      <w:pPr>
        <w:pStyle w:val="ListNumber"/>
      </w:pPr>
      <w:r>
        <w:rPr>
          <w:rFonts w:ascii="Calibri" w:hAnsi="Calibri"/>
        </w:rPr>
        <w:t>Choose the dataset.</w:t>
      </w:r>
    </w:p>
    <w:p>
      <w:pPr>
        <w:pStyle w:val="ListNumber"/>
      </w:pPr>
      <w:r>
        <w:rPr>
          <w:rFonts w:ascii="Calibri" w:hAnsi="Calibri"/>
        </w:rPr>
        <w:t>Optionally set Knowledge Space, document IDs, case IDs, or a numeric limit.</w:t>
      </w:r>
    </w:p>
    <w:p>
      <w:pPr>
        <w:pStyle w:val="ListNumber"/>
      </w:pPr>
      <w:r>
        <w:rPr>
          <w:rFonts w:ascii="Calibri" w:hAnsi="Calibri"/>
        </w:rPr>
        <w:t xml:space="preserve">Select </w:t>
      </w:r>
      <w:r>
        <w:rPr>
          <w:rFonts w:ascii="Calibri" w:hAnsi="Calibri"/>
          <w:b/>
        </w:rPr>
        <w:t>Run evaluation</w:t>
      </w:r>
      <w:r>
        <w:rPr>
          <w:rFonts w:ascii="Calibri" w:hAnsi="Calibri"/>
        </w:rPr>
        <w:t>.</w:t>
      </w:r>
    </w:p>
    <w:p>
      <w:pPr>
        <w:pStyle w:val="ListNumber"/>
      </w:pPr>
      <w:r>
        <w:rPr>
          <w:rFonts w:ascii="Calibri" w:hAnsi="Calibri"/>
        </w:rPr>
        <w:t>Review pass rate, retrieval, reranking, citation, faithfulness, fallback, and latency metrics.</w:t>
      </w:r>
    </w:p>
    <w:p>
      <w:pPr>
        <w:pStyle w:val="ListNumber"/>
      </w:pPr>
      <w:r>
        <w:rPr>
          <w:rFonts w:ascii="Calibri" w:hAnsi="Calibri"/>
        </w:rPr>
        <w:t>Inspect failed cases and retry after fixing data, ingestion, runtime, or expectations.</w:t>
      </w:r>
    </w:p>
    <w:p>
      <w:r>
        <w:rPr>
          <w:rFonts w:ascii="Calibri" w:hAnsi="Calibri"/>
        </w:rPr>
        <w:t>Active runs can be cancelled. Failed, partial, or cancelled runs can be retried.</w:t>
      </w:r>
    </w:p>
    <w:p>
      <w:r>
        <w:rPr>
          <w:rFonts w:ascii="Calibri" w:hAnsi="Calibri"/>
        </w:rPr>
        <w:t xml:space="preserve">Answer-content checks first use deterministic literal matching. When the evaluation answer LLM verifier is enabled, a failed literal must-include check can be reviewed semantically by the configured model. The verdict is recorded in the case </w:t>
      </w:r>
      <w:r>
        <w:rPr>
          <w:rFonts w:ascii="Calibri" w:hAnsi="Calibri"/>
          <w:b/>
        </w:rPr>
        <w:t>Checks and diagnostic JSON</w:t>
      </w:r>
      <w:r>
        <w:rPr>
          <w:rFonts w:ascii="Calibri" w:hAnsi="Calibri"/>
        </w:rPr>
        <w:t xml:space="preserve"> as </w:t>
      </w:r>
      <w:r>
        <w:rPr>
          <w:rFonts w:ascii="Consolas" w:hAnsi="Consolas"/>
          <w:sz w:val="19"/>
        </w:rPr>
        <w:t>answer_content.llm_verifier</w:t>
      </w:r>
      <w:r>
        <w:rPr>
          <w:rFonts w:ascii="Calibri" w:hAnsi="Calibri"/>
        </w:rPr>
        <w:t>.</w:t>
      </w:r>
    </w:p>
    <w:p>
      <w:pPr>
        <w:pStyle w:val="Heading2"/>
      </w:pPr>
      <w:r>
        <w:rPr>
          <w:rFonts w:ascii="Calibri" w:hAnsi="Calibri"/>
        </w:rPr>
        <w:t>12. Runtime Settings</w:t>
      </w:r>
    </w:p>
    <w:p>
      <w:r>
        <w:rPr>
          <w:rFonts w:ascii="Calibri" w:hAnsi="Calibri"/>
        </w:rPr>
        <w:t xml:space="preserve">Runtime Settings is Platform Admin-only under </w:t>
      </w:r>
      <w:r>
        <w:rPr>
          <w:rFonts w:ascii="Calibri" w:hAnsi="Calibri"/>
          <w:b/>
        </w:rPr>
        <w:t>Govern &gt; Runtime Settings</w:t>
      </w:r>
      <w:r>
        <w:rPr>
          <w:rFonts w:ascii="Calibri" w:hAnsi="Calibri"/>
        </w:rPr>
        <w:t xml:space="preserve">. It includes </w:t>
      </w:r>
      <w:r>
        <w:rPr>
          <w:rFonts w:ascii="Calibri" w:hAnsi="Calibri"/>
          <w:b/>
        </w:rPr>
        <w:t>Models &amp; Roles</w:t>
      </w:r>
      <w:r>
        <w:rPr>
          <w:rFonts w:ascii="Calibri" w:hAnsi="Calibri"/>
        </w:rPr>
        <w:t xml:space="preserve">, </w:t>
      </w:r>
      <w:r>
        <w:rPr>
          <w:rFonts w:ascii="Calibri" w:hAnsi="Calibri"/>
          <w:b/>
        </w:rPr>
        <w:t>Inference Services</w:t>
      </w:r>
      <w:r>
        <w:rPr>
          <w:rFonts w:ascii="Calibri" w:hAnsi="Calibri"/>
        </w:rPr>
        <w:t xml:space="preserve">, </w:t>
      </w:r>
      <w:r>
        <w:rPr>
          <w:rFonts w:ascii="Calibri" w:hAnsi="Calibri"/>
          <w:b/>
        </w:rPr>
        <w:t>Ingestion Controls</w:t>
      </w:r>
      <w:r>
        <w:rPr>
          <w:rFonts w:ascii="Calibri" w:hAnsi="Calibri"/>
        </w:rPr>
        <w:t xml:space="preserve">, and </w:t>
      </w:r>
      <w:r>
        <w:rPr>
          <w:rFonts w:ascii="Calibri" w:hAnsi="Calibri"/>
          <w:b/>
        </w:rPr>
        <w:t>Branding</w:t>
      </w:r>
      <w:r>
        <w:rPr>
          <w:rFonts w:ascii="Calibri" w:hAnsi="Calibri"/>
        </w:rPr>
        <w:t>.</w:t>
      </w:r>
    </w:p>
    <w:p>
      <w:pPr>
        <w:pStyle w:val="Heading3"/>
      </w:pPr>
      <w:r>
        <w:rPr>
          <w:rFonts w:ascii="Calibri" w:hAnsi="Calibri"/>
        </w:rPr>
        <w:t>Branding</w:t>
      </w:r>
    </w:p>
    <w:p>
      <w:r>
        <w:rPr>
          <w:rFonts w:ascii="Calibri" w:hAnsi="Calibri"/>
        </w:rPr>
        <w:t xml:space="preserve">Use </w:t>
      </w:r>
      <w:r>
        <w:rPr>
          <w:rFonts w:ascii="Calibri" w:hAnsi="Calibri"/>
          <w:b/>
        </w:rPr>
        <w:t>Branding</w:t>
      </w:r>
      <w:r>
        <w:rPr>
          <w:rFonts w:ascii="Calibri" w:hAnsi="Calibri"/>
        </w:rPr>
        <w:t xml:space="preserve"> to set the workspace application name, primary and accent colors, theme background tint, sign-in message, optional support URL, and a PNG or JPEG logo (up to 1 MB). You can let users choose their theme or force light or dark mode for the whole workspace. Choose compact, standard, or large presets for workspace H1, H2, and body text, with semibold, bold, or extra-bold heading weights. The live preview shows the selected colors, headings, body text, primary action, link, selected navigation, and keyboard focus treatment; it warns when primary or focus colors may be hard to see in dark mode. You can optionally set a separate color for H1 and H2, or keep either heading on its theme default. Changes apply immediately to the sign-in screen, navigation, page labels, assistant labels, browser title, and application icon. </w:t>
      </w:r>
      <w:r>
        <w:rPr>
          <w:rFonts w:ascii="Calibri" w:hAnsi="Calibri"/>
          <w:b/>
        </w:rPr>
        <w:t>Use default logo</w:t>
      </w:r>
      <w:r>
        <w:rPr>
          <w:rFonts w:ascii="Calibri" w:hAnsi="Calibri"/>
        </w:rPr>
        <w:t xml:space="preserve"> removes only the custom logo; </w:t>
      </w:r>
      <w:r>
        <w:rPr>
          <w:rFonts w:ascii="Calibri" w:hAnsi="Calibri"/>
          <w:b/>
        </w:rPr>
        <w:t>Restore defaults</w:t>
      </w:r>
      <w:r>
        <w:rPr>
          <w:rFonts w:ascii="Calibri" w:hAnsi="Calibri"/>
        </w:rPr>
        <w:t xml:space="preserve"> removes every workspace branding override. Each branding change is recorded in System Audit.</w:t>
      </w:r>
    </w:p>
    <w:p>
      <w:r>
        <w:rPr>
          <w:rFonts w:ascii="Calibri" w:hAnsi="Calibri"/>
        </w:rPr>
        <w:t xml:space="preserve">The Evidence token budget is a workspace maximum. Query routes use smaller source-count and token limits for factual, comparison, and multi-hop answers to bound latency while preserving one available result per planned subquery. Confident factual routes rerank up to 12 candidates; uncertain implicit hybrid source routes widen that pool to 20 under the operator ceiling. Deployment operators can additionally bound local cross-encoder work with </w:t>
      </w:r>
      <w:r>
        <w:rPr>
          <w:rFonts w:ascii="Consolas" w:hAnsi="Consolas"/>
          <w:sz w:val="19"/>
        </w:rPr>
        <w:t>RAG_RERANKER_MAX_CANDIDATES</w:t>
      </w:r>
      <w:r>
        <w:rPr>
          <w:rFonts w:ascii="Calibri" w:hAnsi="Calibri"/>
        </w:rPr>
        <w:t xml:space="preserve"> and </w:t>
      </w:r>
      <w:r>
        <w:rPr>
          <w:rFonts w:ascii="Consolas" w:hAnsi="Consolas"/>
          <w:sz w:val="19"/>
        </w:rPr>
        <w:t>RAG_RERANKER_TIMEOUT_SECONDS</w:t>
      </w:r>
      <w:r>
        <w:rPr>
          <w:rFonts w:ascii="Calibri" w:hAnsi="Calibri"/>
        </w:rPr>
        <w:t>. Exhaustive queries use a larger bounded budget and report partial coverage rather than claiming completeness when the available budget is insufficient.</w:t>
      </w:r>
    </w:p>
    <w:p>
      <w:pPr>
        <w:pStyle w:val="Heading3"/>
      </w:pPr>
      <w:r>
        <w:rPr>
          <w:rFonts w:ascii="Calibri" w:hAnsi="Calibri"/>
        </w:rPr>
        <w:t>Models &amp; Roles</w:t>
      </w:r>
    </w:p>
    <w:p>
      <w:r>
        <w:rPr>
          <w:rFonts w:ascii="Calibri" w:hAnsi="Calibri"/>
        </w:rPr>
        <w:t>Use the guided flow in order:</w:t>
      </w:r>
    </w:p>
    <w:p>
      <w:pPr>
        <w:pStyle w:val="ListNumber"/>
      </w:pPr>
      <w:r>
        <w:rPr>
          <w:rFonts w:ascii="Calibri" w:hAnsi="Calibri"/>
        </w:rPr>
        <w:t xml:space="preserve">Choose a starting stack: </w:t>
      </w:r>
      <w:r>
        <w:rPr>
          <w:rFonts w:ascii="Calibri" w:hAnsi="Calibri"/>
          <w:b/>
        </w:rPr>
        <w:t>Ollama local</w:t>
      </w:r>
      <w:r>
        <w:rPr>
          <w:rFonts w:ascii="Calibri" w:hAnsi="Calibri"/>
        </w:rPr>
        <w:t xml:space="preserve"> or </w:t>
      </w:r>
      <w:r>
        <w:rPr>
          <w:rFonts w:ascii="Calibri" w:hAnsi="Calibri"/>
          <w:b/>
        </w:rPr>
        <w:t>vLLM text stack</w:t>
      </w:r>
      <w:r>
        <w:rPr>
          <w:rFonts w:ascii="Calibri" w:hAnsi="Calibri"/>
        </w:rPr>
        <w:t>.</w:t>
      </w:r>
    </w:p>
    <w:p>
      <w:pPr>
        <w:pStyle w:val="ListNumber"/>
      </w:pPr>
      <w:r>
        <w:rPr>
          <w:rFonts w:ascii="Calibri" w:hAnsi="Calibri"/>
        </w:rPr>
        <w:t>Check service discovery for language, vision, embedding, and reranker providers.</w:t>
      </w:r>
    </w:p>
    <w:p>
      <w:pPr>
        <w:pStyle w:val="ListNumber"/>
      </w:pPr>
      <w:r>
        <w:rPr>
          <w:rFonts w:ascii="Calibri" w:hAnsi="Calibri"/>
        </w:rPr>
        <w:t>Assign runtime roles:</w:t>
      </w:r>
    </w:p>
    <w:tbl>
      <w:tblPr>
        <w:tblW w:type="dxa" w:w="9360"/>
        <w:jc w:val="left"/>
        <w:tblLayout w:type="fixed"/>
        <w:tblLook w:firstColumn="1" w:firstRow="1" w:lastColumn="0" w:lastRow="0" w:noHBand="0" w:noVBand="1" w:val="04A0"/>
        <w:tblInd w:w="120" w:type="dxa"/>
      </w:tblPr>
      <w:tblGrid>
        <w:gridCol w:w="4680"/>
        <w:gridCol w:w="4680"/>
      </w:tblGrid>
      <w:tr>
        <w:tc>
          <w:tcPr>
            <w:tcW w:type="dxa" w:w="2700"/>
            <w:vAlign w:val="center"/>
            <w:tcMar>
              <w:top w:w="80" w:type="dxa"/>
              <w:bottom w:w="80" w:type="dxa"/>
              <w:start w:w="120" w:type="dxa"/>
              <w:end w:w="120" w:type="dxa"/>
            </w:tcMar>
            <w:shd w:fill="E8EEF5"/>
          </w:tcPr>
          <w:p>
            <w:pPr>
              <w:spacing w:after="0"/>
            </w:pPr>
            <w:r>
              <w:rPr>
                <w:rFonts w:ascii="Calibri" w:hAnsi="Calibri"/>
                <w:b/>
              </w:rPr>
              <w:t>Runtime role</w:t>
            </w:r>
          </w:p>
        </w:tc>
        <w:tc>
          <w:tcPr>
            <w:tcW w:type="dxa" w:w="6660"/>
            <w:vAlign w:val="center"/>
            <w:tcMar>
              <w:top w:w="80" w:type="dxa"/>
              <w:bottom w:w="80" w:type="dxa"/>
              <w:start w:w="120" w:type="dxa"/>
              <w:end w:w="120" w:type="dxa"/>
            </w:tcMar>
            <w:shd w:fill="E8EEF5"/>
          </w:tcPr>
          <w:p>
            <w:pPr>
              <w:spacing w:after="0"/>
            </w:pPr>
            <w:r>
              <w:rPr>
                <w:rFonts w:ascii="Calibri" w:hAnsi="Calibri"/>
                <w:b/>
              </w:rPr>
              <w:t>Purpose</w:t>
            </w:r>
          </w:p>
        </w:tc>
      </w:tr>
      <w:tr>
        <w:tc>
          <w:tcPr>
            <w:tcW w:type="dxa" w:w="2700"/>
            <w:vAlign w:val="center"/>
            <w:tcMar>
              <w:top w:w="80" w:type="dxa"/>
              <w:bottom w:w="80" w:type="dxa"/>
              <w:start w:w="120" w:type="dxa"/>
              <w:end w:w="120" w:type="dxa"/>
            </w:tcMar>
          </w:tcPr>
          <w:p>
            <w:pPr>
              <w:spacing w:after="0"/>
            </w:pPr>
            <w:r>
              <w:rPr>
                <w:rFonts w:ascii="Calibri" w:hAnsi="Calibri"/>
              </w:rPr>
              <w:t>Answer synthesis</w:t>
            </w:r>
          </w:p>
        </w:tc>
        <w:tc>
          <w:tcPr>
            <w:tcW w:type="dxa" w:w="6660"/>
            <w:vAlign w:val="center"/>
            <w:tcMar>
              <w:top w:w="80" w:type="dxa"/>
              <w:bottom w:w="80" w:type="dxa"/>
              <w:start w:w="120" w:type="dxa"/>
              <w:end w:w="120" w:type="dxa"/>
            </w:tcMar>
          </w:tcPr>
          <w:p>
            <w:pPr>
              <w:spacing w:after="0"/>
            </w:pPr>
            <w:r>
              <w:rPr>
                <w:rFonts w:ascii="Calibri" w:hAnsi="Calibri"/>
              </w:rPr>
              <w:t>Produces the final grounded response.</w:t>
            </w:r>
          </w:p>
        </w:tc>
      </w:tr>
      <w:tr>
        <w:tc>
          <w:tcPr>
            <w:tcW w:type="dxa" w:w="2700"/>
            <w:vAlign w:val="center"/>
            <w:tcMar>
              <w:top w:w="80" w:type="dxa"/>
              <w:bottom w:w="80" w:type="dxa"/>
              <w:start w:w="120" w:type="dxa"/>
              <w:end w:w="120" w:type="dxa"/>
            </w:tcMar>
          </w:tcPr>
          <w:p>
            <w:pPr>
              <w:spacing w:after="0"/>
            </w:pPr>
            <w:r>
              <w:rPr>
                <w:rFonts w:ascii="Calibri" w:hAnsi="Calibri"/>
              </w:rPr>
              <w:t>Reasoning</w:t>
            </w:r>
          </w:p>
        </w:tc>
        <w:tc>
          <w:tcPr>
            <w:tcW w:type="dxa" w:w="6660"/>
            <w:vAlign w:val="center"/>
            <w:tcMar>
              <w:top w:w="80" w:type="dxa"/>
              <w:bottom w:w="80" w:type="dxa"/>
              <w:start w:w="120" w:type="dxa"/>
              <w:end w:w="120" w:type="dxa"/>
            </w:tcMar>
          </w:tcPr>
          <w:p>
            <w:pPr>
              <w:spacing w:after="0"/>
            </w:pPr>
            <w:r>
              <w:rPr>
                <w:rFonts w:ascii="Calibri" w:hAnsi="Calibri"/>
              </w:rPr>
              <w:t>Supports planning, rewrites, dates, and complex retrieval.</w:t>
            </w:r>
          </w:p>
        </w:tc>
      </w:tr>
      <w:tr>
        <w:tc>
          <w:tcPr>
            <w:tcW w:type="dxa" w:w="2700"/>
            <w:vAlign w:val="center"/>
            <w:tcMar>
              <w:top w:w="80" w:type="dxa"/>
              <w:bottom w:w="80" w:type="dxa"/>
              <w:start w:w="120" w:type="dxa"/>
              <w:end w:w="120" w:type="dxa"/>
            </w:tcMar>
          </w:tcPr>
          <w:p>
            <w:pPr>
              <w:spacing w:after="0"/>
            </w:pPr>
            <w:r>
              <w:rPr>
                <w:rFonts w:ascii="Calibri" w:hAnsi="Calibri"/>
              </w:rPr>
              <w:t>Router</w:t>
            </w:r>
          </w:p>
        </w:tc>
        <w:tc>
          <w:tcPr>
            <w:tcW w:type="dxa" w:w="6660"/>
            <w:vAlign w:val="center"/>
            <w:tcMar>
              <w:top w:w="80" w:type="dxa"/>
              <w:bottom w:w="80" w:type="dxa"/>
              <w:start w:w="120" w:type="dxa"/>
              <w:end w:w="120" w:type="dxa"/>
            </w:tcMar>
          </w:tcPr>
          <w:p>
            <w:pPr>
              <w:spacing w:after="0"/>
            </w:pPr>
            <w:r>
              <w:rPr>
                <w:rFonts w:ascii="Calibri" w:hAnsi="Calibri"/>
              </w:rPr>
              <w:t>Checks ambiguous routes before retrieval or file generation.</w:t>
            </w:r>
          </w:p>
        </w:tc>
      </w:tr>
      <w:tr>
        <w:tc>
          <w:tcPr>
            <w:tcW w:type="dxa" w:w="2700"/>
            <w:vAlign w:val="center"/>
            <w:tcMar>
              <w:top w:w="80" w:type="dxa"/>
              <w:bottom w:w="80" w:type="dxa"/>
              <w:start w:w="120" w:type="dxa"/>
              <w:end w:w="120" w:type="dxa"/>
            </w:tcMar>
          </w:tcPr>
          <w:p>
            <w:pPr>
              <w:spacing w:after="0"/>
            </w:pPr>
            <w:r>
              <w:rPr>
                <w:rFonts w:ascii="Calibri" w:hAnsi="Calibri"/>
              </w:rPr>
              <w:t>Faithfulness</w:t>
            </w:r>
          </w:p>
        </w:tc>
        <w:tc>
          <w:tcPr>
            <w:tcW w:type="dxa" w:w="6660"/>
            <w:vAlign w:val="center"/>
            <w:tcMar>
              <w:top w:w="80" w:type="dxa"/>
              <w:bottom w:w="80" w:type="dxa"/>
              <w:start w:w="120" w:type="dxa"/>
              <w:end w:w="120" w:type="dxa"/>
            </w:tcMar>
          </w:tcPr>
          <w:p>
            <w:pPr>
              <w:spacing w:after="0"/>
            </w:pPr>
            <w:r>
              <w:rPr>
                <w:rFonts w:ascii="Calibri" w:hAnsi="Calibri"/>
              </w:rPr>
              <w:t>Checks whether generated answers are grounded.</w:t>
            </w:r>
          </w:p>
        </w:tc>
      </w:tr>
      <w:tr>
        <w:tc>
          <w:tcPr>
            <w:tcW w:type="dxa" w:w="2700"/>
            <w:vAlign w:val="center"/>
            <w:tcMar>
              <w:top w:w="80" w:type="dxa"/>
              <w:bottom w:w="80" w:type="dxa"/>
              <w:start w:w="120" w:type="dxa"/>
              <w:end w:w="120" w:type="dxa"/>
            </w:tcMar>
          </w:tcPr>
          <w:p>
            <w:pPr>
              <w:spacing w:after="0"/>
            </w:pPr>
            <w:r>
              <w:rPr>
                <w:rFonts w:ascii="Calibri" w:hAnsi="Calibri"/>
              </w:rPr>
              <w:t>Ingestion metadata</w:t>
            </w:r>
          </w:p>
        </w:tc>
        <w:tc>
          <w:tcPr>
            <w:tcW w:type="dxa" w:w="6660"/>
            <w:vAlign w:val="center"/>
            <w:tcMar>
              <w:top w:w="80" w:type="dxa"/>
              <w:bottom w:w="80" w:type="dxa"/>
              <w:start w:w="120" w:type="dxa"/>
              <w:end w:w="120" w:type="dxa"/>
            </w:tcMar>
          </w:tcPr>
          <w:p>
            <w:pPr>
              <w:spacing w:after="0"/>
            </w:pPr>
            <w:r>
              <w:rPr>
                <w:rFonts w:ascii="Calibri" w:hAnsi="Calibri"/>
              </w:rPr>
              <w:t>Generates summaries, topics, document types, and claims.</w:t>
            </w:r>
          </w:p>
        </w:tc>
      </w:tr>
      <w:tr>
        <w:tc>
          <w:tcPr>
            <w:tcW w:type="dxa" w:w="2700"/>
            <w:vAlign w:val="center"/>
            <w:tcMar>
              <w:top w:w="80" w:type="dxa"/>
              <w:bottom w:w="80" w:type="dxa"/>
              <w:start w:w="120" w:type="dxa"/>
              <w:end w:w="120" w:type="dxa"/>
            </w:tcMar>
          </w:tcPr>
          <w:p>
            <w:pPr>
              <w:spacing w:after="0"/>
            </w:pPr>
            <w:r>
              <w:rPr>
                <w:rFonts w:ascii="Calibri" w:hAnsi="Calibri"/>
              </w:rPr>
              <w:t>Vision</w:t>
            </w:r>
          </w:p>
        </w:tc>
        <w:tc>
          <w:tcPr>
            <w:tcW w:type="dxa" w:w="6660"/>
            <w:vAlign w:val="center"/>
            <w:tcMar>
              <w:top w:w="80" w:type="dxa"/>
              <w:bottom w:w="80" w:type="dxa"/>
              <w:start w:w="120" w:type="dxa"/>
              <w:end w:w="120" w:type="dxa"/>
            </w:tcMar>
          </w:tcPr>
          <w:p>
            <w:pPr>
              <w:spacing w:after="0"/>
            </w:pPr>
            <w:r>
              <w:rPr>
                <w:rFonts w:ascii="Calibri" w:hAnsi="Calibri"/>
              </w:rPr>
              <w:t>Performs image OCR, captions, and optional PDF layout repair.</w:t>
            </w:r>
          </w:p>
        </w:tc>
      </w:tr>
      <w:tr>
        <w:tc>
          <w:tcPr>
            <w:tcW w:type="dxa" w:w="2700"/>
            <w:vAlign w:val="center"/>
            <w:tcMar>
              <w:top w:w="80" w:type="dxa"/>
              <w:bottom w:w="80" w:type="dxa"/>
              <w:start w:w="120" w:type="dxa"/>
              <w:end w:w="120" w:type="dxa"/>
            </w:tcMar>
          </w:tcPr>
          <w:p>
            <w:pPr>
              <w:spacing w:after="0"/>
            </w:pPr>
            <w:r>
              <w:rPr>
                <w:rFonts w:ascii="Calibri" w:hAnsi="Calibri"/>
              </w:rPr>
              <w:t>Embeddings</w:t>
            </w:r>
          </w:p>
        </w:tc>
        <w:tc>
          <w:tcPr>
            <w:tcW w:type="dxa" w:w="6660"/>
            <w:vAlign w:val="center"/>
            <w:tcMar>
              <w:top w:w="80" w:type="dxa"/>
              <w:bottom w:w="80" w:type="dxa"/>
              <w:start w:w="120" w:type="dxa"/>
              <w:end w:w="120" w:type="dxa"/>
            </w:tcMar>
          </w:tcPr>
          <w:p>
            <w:pPr>
              <w:spacing w:after="0"/>
            </w:pPr>
            <w:r>
              <w:rPr>
                <w:rFonts w:ascii="Calibri" w:hAnsi="Calibri"/>
              </w:rPr>
              <w:t>Creates dense vectors.</w:t>
            </w:r>
          </w:p>
        </w:tc>
      </w:tr>
      <w:tr>
        <w:tc>
          <w:tcPr>
            <w:tcW w:type="dxa" w:w="2700"/>
            <w:vAlign w:val="center"/>
            <w:tcMar>
              <w:top w:w="80" w:type="dxa"/>
              <w:bottom w:w="80" w:type="dxa"/>
              <w:start w:w="120" w:type="dxa"/>
              <w:end w:w="120" w:type="dxa"/>
            </w:tcMar>
          </w:tcPr>
          <w:p>
            <w:pPr>
              <w:spacing w:after="0"/>
            </w:pPr>
            <w:r>
              <w:rPr>
                <w:rFonts w:ascii="Calibri" w:hAnsi="Calibri"/>
              </w:rPr>
              <w:t>Reranker</w:t>
            </w:r>
          </w:p>
        </w:tc>
        <w:tc>
          <w:tcPr>
            <w:tcW w:type="dxa" w:w="6660"/>
            <w:vAlign w:val="center"/>
            <w:tcMar>
              <w:top w:w="80" w:type="dxa"/>
              <w:bottom w:w="80" w:type="dxa"/>
              <w:start w:w="120" w:type="dxa"/>
              <w:end w:w="120" w:type="dxa"/>
            </w:tcMar>
          </w:tcPr>
          <w:p>
            <w:pPr>
              <w:spacing w:after="0"/>
            </w:pPr>
            <w:r>
              <w:rPr>
                <w:rFonts w:ascii="Calibri" w:hAnsi="Calibri"/>
              </w:rPr>
              <w:t>Reorders retrieved evidence before synthesis.</w:t>
            </w:r>
          </w:p>
        </w:tc>
      </w:tr>
    </w:tbl>
    <w:p>
      <w:pPr>
        <w:spacing w:after="120"/>
      </w:pPr>
    </w:p>
    <w:p>
      <w:pPr>
        <w:pStyle w:val="ListNumber"/>
      </w:pPr>
      <w:r>
        <w:rPr>
          <w:rFonts w:ascii="Calibri" w:hAnsi="Calibri"/>
        </w:rPr>
        <w:t>Tune budgets, model thinking, the query planner, and the separate timeouts for answer synthesis, reasoning, routing, faithfulness, and embeddings.</w:t>
      </w:r>
    </w:p>
    <w:p>
      <w:pPr>
        <w:pStyle w:val="ListNumber"/>
      </w:pPr>
      <w:r>
        <w:rPr>
          <w:rFonts w:ascii="Calibri" w:hAnsi="Calibri"/>
        </w:rPr>
        <w:t xml:space="preserve">Select </w:t>
      </w:r>
      <w:r>
        <w:rPr>
          <w:rFonts w:ascii="Calibri" w:hAnsi="Calibri"/>
          <w:b/>
        </w:rPr>
        <w:t>Test draft</w:t>
      </w:r>
      <w:r>
        <w:rPr>
          <w:rFonts w:ascii="Calibri" w:hAnsi="Calibri"/>
        </w:rPr>
        <w:t>.</w:t>
      </w:r>
    </w:p>
    <w:p>
      <w:pPr>
        <w:pStyle w:val="ListNumber"/>
      </w:pPr>
      <w:r>
        <w:rPr>
          <w:rFonts w:ascii="Calibri" w:hAnsi="Calibri"/>
        </w:rPr>
        <w:t xml:space="preserve">Select </w:t>
      </w:r>
      <w:r>
        <w:rPr>
          <w:rFonts w:ascii="Calibri" w:hAnsi="Calibri"/>
          <w:b/>
        </w:rPr>
        <w:t>Save &amp; activate</w:t>
      </w:r>
      <w:r>
        <w:rPr>
          <w:rFonts w:ascii="Calibri" w:hAnsi="Calibri"/>
        </w:rPr>
        <w:t xml:space="preserve"> only after validation succeeds.</w:t>
      </w:r>
    </w:p>
    <w:p>
      <w:r>
        <w:rPr>
          <w:rFonts w:ascii="Calibri" w:hAnsi="Calibri"/>
        </w:rPr>
        <w:t>Changing the embedding provider or embedding model requires reindexing existing documents so stored vectors match the active embedding model.</w:t>
      </w:r>
    </w:p>
    <w:p>
      <w:r>
        <w:rPr>
          <w:rFonts w:ascii="Calibri" w:hAnsi="Calibri"/>
        </w:rPr>
        <w:t xml:space="preserve">To run without LLM-based answer judging, set both </w:t>
      </w:r>
      <w:r>
        <w:rPr>
          <w:rFonts w:ascii="Calibri" w:hAnsi="Calibri"/>
          <w:b/>
        </w:rPr>
        <w:t>Evidence Gate</w:t>
      </w:r>
      <w:r>
        <w:rPr>
          <w:rFonts w:ascii="Calibri" w:hAnsi="Calibri"/>
        </w:rPr>
        <w:t xml:space="preserve"> and </w:t>
      </w:r>
      <w:r>
        <w:rPr>
          <w:rFonts w:ascii="Calibri" w:hAnsi="Calibri"/>
          <w:b/>
        </w:rPr>
        <w:t>Faithfulness checker</w:t>
      </w:r>
      <w:r>
        <w:rPr>
          <w:rFonts w:ascii="Calibri" w:hAnsi="Calibri"/>
        </w:rPr>
        <w:t xml:space="preserve"> to </w:t>
      </w:r>
      <w:r>
        <w:rPr>
          <w:rFonts w:ascii="Calibri" w:hAnsi="Calibri"/>
          <w:b/>
        </w:rPr>
        <w:t>Never</w:t>
      </w:r>
      <w:r>
        <w:rPr>
          <w:rFonts w:ascii="Calibri" w:hAnsi="Calibri"/>
        </w:rPr>
        <w:t>. The deterministic retrieval verifier, reranker, citation checks, and access controls still run, but uncertain evidence and generated claims are no longer reviewed by an LLM. Use this lower-latency mode only when that quality tradeoff is acceptable. Evaluation jobs may explicitly force faithfulness checking to measure answer quality.</w:t>
      </w:r>
    </w:p>
    <w:p>
      <w:pPr>
        <w:pStyle w:val="Heading3"/>
      </w:pPr>
      <w:r>
        <w:rPr>
          <w:rFonts w:ascii="Calibri" w:hAnsi="Calibri"/>
        </w:rPr>
        <w:t>Inference Services</w:t>
      </w:r>
    </w:p>
    <w:p>
      <w:r>
        <w:rPr>
          <w:rFonts w:ascii="Calibri" w:hAnsi="Calibri"/>
        </w:rPr>
        <w:t xml:space="preserve">Use </w:t>
      </w:r>
      <w:r>
        <w:rPr>
          <w:rFonts w:ascii="Calibri" w:hAnsi="Calibri"/>
          <w:b/>
        </w:rPr>
        <w:t>Inference Services</w:t>
      </w:r>
      <w:r>
        <w:rPr>
          <w:rFonts w:ascii="Calibri" w:hAnsi="Calibri"/>
        </w:rPr>
        <w:t xml:space="preserve"> to check provider availability and manage vLLM launch limits. Applying vLLM limits restarts only the selected vLLM service and interrupts requests using that service.</w:t>
      </w:r>
    </w:p>
    <w:p>
      <w:r>
        <w:rPr>
          <w:rFonts w:ascii="Calibri" w:hAnsi="Calibri"/>
        </w:rPr>
        <w:t>Do not switch the active provider to vLLM unless the vLLM services and model caches are actually available. In the default Windows airgapped rollout, Ollama is the expected provider until vLLM is deliberately enabled.</w:t>
      </w:r>
    </w:p>
    <w:p>
      <w:pPr>
        <w:pStyle w:val="Heading3"/>
      </w:pPr>
      <w:r>
        <w:rPr>
          <w:rFonts w:ascii="Calibri" w:hAnsi="Calibri"/>
        </w:rPr>
        <w:t>Ingestion Controls</w:t>
      </w:r>
    </w:p>
    <w:p>
      <w:r>
        <w:rPr>
          <w:rFonts w:ascii="Calibri" w:hAnsi="Calibri"/>
        </w:rPr>
        <w:t xml:space="preserve">Use </w:t>
      </w:r>
      <w:r>
        <w:rPr>
          <w:rFonts w:ascii="Calibri" w:hAnsi="Calibri"/>
          <w:b/>
        </w:rPr>
        <w:t>Ingestion Controls</w:t>
      </w:r>
      <w:r>
        <w:rPr>
          <w:rFonts w:ascii="Calibri" w:hAnsi="Calibri"/>
        </w:rPr>
        <w:t xml:space="preserve"> to set worker concurrency, the browser-folder snapshot file limit, OCR review threshold, PDF image review threshold, vision layout repair, and graph-enrichment visibility for new ingestion jobs. Folder snapshots retain the separate 5 GB total-size limit.</w:t>
      </w:r>
    </w:p>
    <w:p>
      <w:r>
        <w:rPr>
          <w:rFonts w:ascii="Calibri" w:hAnsi="Calibri"/>
        </w:rPr>
        <w:t>One worker-concurrency slot is recommended for the default 8 GB Docker environment. Increasing concurrency can improve throughput only if CPU, memory, OCR, model, and storage capacity can support it.</w:t>
      </w:r>
    </w:p>
    <w:p>
      <w:r>
        <w:rPr>
          <w:rFonts w:ascii="Calibri" w:hAnsi="Calibri"/>
        </w:rPr>
        <w:t>The PDF image review threshold pauses unusually large image-analysis batches in Review Queue before vision analysis runs. Set it to 0 only when policy allows the image-review gate to be skipped. Graph enrichment controls whether the completed-document graph enrichment action is visible; keep it off for faster bulk ingestion when corpus-level graph analysis is not needed.</w:t>
      </w:r>
    </w:p>
    <w:p>
      <w:pPr>
        <w:pStyle w:val="Heading2"/>
      </w:pPr>
      <w:r>
        <w:rPr>
          <w:rFonts w:ascii="Calibri" w:hAnsi="Calibri"/>
        </w:rPr>
        <w:t>13. System Audit</w:t>
      </w:r>
    </w:p>
    <w:p>
      <w:r>
        <w:rPr>
          <w:rFonts w:ascii="Calibri" w:hAnsi="Calibri"/>
        </w:rPr>
        <w:t xml:space="preserve">Open </w:t>
      </w:r>
      <w:r>
        <w:rPr>
          <w:rFonts w:ascii="Calibri" w:hAnsi="Calibri"/>
          <w:b/>
        </w:rPr>
        <w:t>Govern &gt; System Audit</w:t>
      </w:r>
      <w:r>
        <w:rPr>
          <w:rFonts w:ascii="Calibri" w:hAnsi="Calibri"/>
        </w:rPr>
        <w:t xml:space="preserve"> to review append-only activity visible to your account.</w:t>
      </w:r>
    </w:p>
    <w:p>
      <w:r>
        <w:rPr>
          <w:rFonts w:ascii="Calibri" w:hAnsi="Calibri"/>
        </w:rPr>
        <w:t>You can filter by:</w:t>
      </w:r>
    </w:p>
    <w:p>
      <w:pPr>
        <w:pStyle w:val="ListBullet"/>
      </w:pPr>
      <w:r>
        <w:rPr>
          <w:rFonts w:ascii="Calibri" w:hAnsi="Calibri"/>
        </w:rPr>
        <w:t>Search text.</w:t>
      </w:r>
    </w:p>
    <w:p>
      <w:pPr>
        <w:pStyle w:val="ListBullet"/>
      </w:pPr>
      <w:r>
        <w:rPr>
          <w:rFonts w:ascii="Calibri" w:hAnsi="Calibri"/>
        </w:rPr>
        <w:t>Category.</w:t>
      </w:r>
    </w:p>
    <w:p>
      <w:pPr>
        <w:pStyle w:val="ListBullet"/>
      </w:pPr>
      <w:r>
        <w:rPr>
          <w:rFonts w:ascii="Calibri" w:hAnsi="Calibri"/>
        </w:rPr>
        <w:t>Event type.</w:t>
      </w:r>
    </w:p>
    <w:p>
      <w:pPr>
        <w:pStyle w:val="ListBullet"/>
      </w:pPr>
      <w:r>
        <w:rPr>
          <w:rFonts w:ascii="Calibri" w:hAnsi="Calibri"/>
        </w:rPr>
        <w:t>Actor ID or email.</w:t>
      </w:r>
    </w:p>
    <w:p>
      <w:pPr>
        <w:pStyle w:val="ListBullet"/>
      </w:pPr>
      <w:r>
        <w:rPr>
          <w:rFonts w:ascii="Calibri" w:hAnsi="Calibri"/>
        </w:rPr>
        <w:t>Target type.</w:t>
      </w:r>
    </w:p>
    <w:p>
      <w:pPr>
        <w:pStyle w:val="ListBullet"/>
      </w:pPr>
      <w:r>
        <w:rPr>
          <w:rFonts w:ascii="Calibri" w:hAnsi="Calibri"/>
        </w:rPr>
        <w:t>Target ID.</w:t>
      </w:r>
    </w:p>
    <w:p>
      <w:pPr>
        <w:pStyle w:val="ListBullet"/>
      </w:pPr>
      <w:r>
        <w:rPr>
          <w:rFonts w:ascii="Calibri" w:hAnsi="Calibri"/>
        </w:rPr>
        <w:t>Knowledge Space.</w:t>
      </w:r>
    </w:p>
    <w:p>
      <w:pPr>
        <w:pStyle w:val="ListBullet"/>
      </w:pPr>
      <w:r>
        <w:rPr>
          <w:rFonts w:ascii="Calibri" w:hAnsi="Calibri"/>
        </w:rPr>
        <w:t>Date range.</w:t>
      </w:r>
    </w:p>
    <w:p>
      <w:r>
        <w:rPr>
          <w:rFonts w:ascii="Calibri" w:hAnsi="Calibri"/>
        </w:rPr>
        <w:t xml:space="preserve">Use </w:t>
      </w:r>
      <w:r>
        <w:rPr>
          <w:rFonts w:ascii="Calibri" w:hAnsi="Calibri"/>
          <w:b/>
        </w:rPr>
        <w:t>Export CSV</w:t>
      </w:r>
      <w:r>
        <w:rPr>
          <w:rFonts w:ascii="Calibri" w:hAnsi="Calibri"/>
        </w:rPr>
        <w:t xml:space="preserve"> to preserve a filtered audit set. The exported file should be handled according to your organization's sensitive-data policy.</w:t>
      </w:r>
    </w:p>
    <w:p>
      <w:pPr>
        <w:pStyle w:val="Heading2"/>
      </w:pPr>
      <w:r>
        <w:rPr>
          <w:rFonts w:ascii="Calibri" w:hAnsi="Calibri"/>
        </w:rPr>
        <w:t>14. Admin Troubleshooting</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2100"/>
            <w:vAlign w:val="center"/>
            <w:tcMar>
              <w:top w:w="80" w:type="dxa"/>
              <w:bottom w:w="80" w:type="dxa"/>
              <w:start w:w="120" w:type="dxa"/>
              <w:end w:w="120" w:type="dxa"/>
            </w:tcMar>
            <w:shd w:fill="E8EEF5"/>
          </w:tcPr>
          <w:p>
            <w:pPr>
              <w:spacing w:after="0"/>
            </w:pPr>
            <w:r>
              <w:rPr>
                <w:rFonts w:ascii="Calibri" w:hAnsi="Calibri"/>
                <w:b/>
              </w:rPr>
              <w:t>Problem</w:t>
            </w:r>
          </w:p>
        </w:tc>
        <w:tc>
          <w:tcPr>
            <w:tcW w:type="dxa" w:w="3260"/>
            <w:vAlign w:val="center"/>
            <w:tcMar>
              <w:top w:w="80" w:type="dxa"/>
              <w:bottom w:w="80" w:type="dxa"/>
              <w:start w:w="120" w:type="dxa"/>
              <w:end w:w="120" w:type="dxa"/>
            </w:tcMar>
            <w:shd w:fill="E8EEF5"/>
          </w:tcPr>
          <w:p>
            <w:pPr>
              <w:spacing w:after="0"/>
            </w:pPr>
            <w:r>
              <w:rPr>
                <w:rFonts w:ascii="Calibri" w:hAnsi="Calibri"/>
                <w:b/>
              </w:rPr>
              <w:t>Likely cause</w:t>
            </w:r>
          </w:p>
        </w:tc>
        <w:tc>
          <w:tcPr>
            <w:tcW w:type="dxa" w:w="4000"/>
            <w:vAlign w:val="center"/>
            <w:tcMar>
              <w:top w:w="80" w:type="dxa"/>
              <w:bottom w:w="80" w:type="dxa"/>
              <w:start w:w="120" w:type="dxa"/>
              <w:end w:w="120" w:type="dxa"/>
            </w:tcMar>
            <w:shd w:fill="E8EEF5"/>
          </w:tcPr>
          <w:p>
            <w:pPr>
              <w:spacing w:after="0"/>
            </w:pPr>
            <w:r>
              <w:rPr>
                <w:rFonts w:ascii="Calibri" w:hAnsi="Calibri"/>
                <w:b/>
              </w:rPr>
              <w:t>Admin action</w:t>
            </w:r>
          </w:p>
        </w:tc>
      </w:tr>
      <w:tr>
        <w:tc>
          <w:tcPr>
            <w:tcW w:type="dxa" w:w="2100"/>
            <w:vAlign w:val="center"/>
            <w:tcMar>
              <w:top w:w="80" w:type="dxa"/>
              <w:bottom w:w="80" w:type="dxa"/>
              <w:start w:w="120" w:type="dxa"/>
              <w:end w:w="120" w:type="dxa"/>
            </w:tcMar>
          </w:tcPr>
          <w:p>
            <w:pPr>
              <w:spacing w:after="0"/>
            </w:pPr>
            <w:r>
              <w:rPr>
                <w:rFonts w:ascii="Calibri" w:hAnsi="Calibri"/>
              </w:rPr>
              <w:t>User cannot sign in</w:t>
            </w:r>
          </w:p>
        </w:tc>
        <w:tc>
          <w:tcPr>
            <w:tcW w:type="dxa" w:w="3260"/>
            <w:vAlign w:val="center"/>
            <w:tcMar>
              <w:top w:w="80" w:type="dxa"/>
              <w:bottom w:w="80" w:type="dxa"/>
              <w:start w:w="120" w:type="dxa"/>
              <w:end w:w="120" w:type="dxa"/>
            </w:tcMar>
          </w:tcPr>
          <w:p>
            <w:pPr>
              <w:spacing w:after="0"/>
            </w:pPr>
            <w:r>
              <w:rPr>
                <w:rFonts w:ascii="Calibri" w:hAnsi="Calibri"/>
              </w:rPr>
              <w:t>Wrong password, inactive account, forced password change</w:t>
            </w:r>
          </w:p>
        </w:tc>
        <w:tc>
          <w:tcPr>
            <w:tcW w:type="dxa" w:w="4000"/>
            <w:vAlign w:val="center"/>
            <w:tcMar>
              <w:top w:w="80" w:type="dxa"/>
              <w:bottom w:w="80" w:type="dxa"/>
              <w:start w:w="120" w:type="dxa"/>
              <w:end w:w="120" w:type="dxa"/>
            </w:tcMar>
          </w:tcPr>
          <w:p>
            <w:pPr>
              <w:spacing w:after="0"/>
            </w:pPr>
            <w:r>
              <w:rPr>
                <w:rFonts w:ascii="Calibri" w:hAnsi="Calibri"/>
              </w:rPr>
              <w:t>Reset password, confirm active state, ask user to change temporary password.</w:t>
            </w:r>
          </w:p>
        </w:tc>
      </w:tr>
      <w:tr>
        <w:tc>
          <w:tcPr>
            <w:tcW w:type="dxa" w:w="2100"/>
            <w:vAlign w:val="center"/>
            <w:tcMar>
              <w:top w:w="80" w:type="dxa"/>
              <w:bottom w:w="80" w:type="dxa"/>
              <w:start w:w="120" w:type="dxa"/>
              <w:end w:w="120" w:type="dxa"/>
            </w:tcMar>
          </w:tcPr>
          <w:p>
            <w:pPr>
              <w:spacing w:after="0"/>
            </w:pPr>
            <w:r>
              <w:rPr>
                <w:rFonts w:ascii="Calibri" w:hAnsi="Calibri"/>
              </w:rPr>
              <w:t>User cannot see a page</w:t>
            </w:r>
          </w:p>
        </w:tc>
        <w:tc>
          <w:tcPr>
            <w:tcW w:type="dxa" w:w="3260"/>
            <w:vAlign w:val="center"/>
            <w:tcMar>
              <w:top w:w="80" w:type="dxa"/>
              <w:bottom w:w="80" w:type="dxa"/>
              <w:start w:w="120" w:type="dxa"/>
              <w:end w:w="120" w:type="dxa"/>
            </w:tcMar>
          </w:tcPr>
          <w:p>
            <w:pPr>
              <w:spacing w:after="0"/>
            </w:pPr>
            <w:r>
              <w:rPr>
                <w:rFonts w:ascii="Calibri" w:hAnsi="Calibri"/>
              </w:rPr>
              <w:t>Role does not include the route</w:t>
            </w:r>
          </w:p>
        </w:tc>
        <w:tc>
          <w:tcPr>
            <w:tcW w:type="dxa" w:w="4000"/>
            <w:vAlign w:val="center"/>
            <w:tcMar>
              <w:top w:w="80" w:type="dxa"/>
              <w:bottom w:w="80" w:type="dxa"/>
              <w:start w:w="120" w:type="dxa"/>
              <w:end w:w="120" w:type="dxa"/>
            </w:tcMar>
          </w:tcPr>
          <w:p>
            <w:pPr>
              <w:spacing w:after="0"/>
            </w:pPr>
            <w:r>
              <w:rPr>
                <w:rFonts w:ascii="Calibri" w:hAnsi="Calibri"/>
              </w:rPr>
              <w:t>Confirm account type and assign the correct role only if justified.</w:t>
            </w:r>
          </w:p>
        </w:tc>
      </w:tr>
      <w:tr>
        <w:tc>
          <w:tcPr>
            <w:tcW w:type="dxa" w:w="2100"/>
            <w:vAlign w:val="center"/>
            <w:tcMar>
              <w:top w:w="80" w:type="dxa"/>
              <w:bottom w:w="80" w:type="dxa"/>
              <w:start w:w="120" w:type="dxa"/>
              <w:end w:w="120" w:type="dxa"/>
            </w:tcMar>
          </w:tcPr>
          <w:p>
            <w:pPr>
              <w:spacing w:after="0"/>
            </w:pPr>
            <w:r>
              <w:rPr>
                <w:rFonts w:ascii="Calibri" w:hAnsi="Calibri"/>
              </w:rPr>
              <w:t>User cannot see documents</w:t>
            </w:r>
          </w:p>
        </w:tc>
        <w:tc>
          <w:tcPr>
            <w:tcW w:type="dxa" w:w="3260"/>
            <w:vAlign w:val="center"/>
            <w:tcMar>
              <w:top w:w="80" w:type="dxa"/>
              <w:bottom w:w="80" w:type="dxa"/>
              <w:start w:w="120" w:type="dxa"/>
              <w:end w:w="120" w:type="dxa"/>
            </w:tcMar>
          </w:tcPr>
          <w:p>
            <w:pPr>
              <w:spacing w:after="0"/>
            </w:pPr>
            <w:r>
              <w:rPr>
                <w:rFonts w:ascii="Calibri" w:hAnsi="Calibri"/>
              </w:rPr>
              <w:t>Wrong space, low clearance, lifecycle filter</w:t>
            </w:r>
          </w:p>
        </w:tc>
        <w:tc>
          <w:tcPr>
            <w:tcW w:type="dxa" w:w="4000"/>
            <w:vAlign w:val="center"/>
            <w:tcMar>
              <w:top w:w="80" w:type="dxa"/>
              <w:bottom w:w="80" w:type="dxa"/>
              <w:start w:w="120" w:type="dxa"/>
              <w:end w:w="120" w:type="dxa"/>
            </w:tcMar>
          </w:tcPr>
          <w:p>
            <w:pPr>
              <w:spacing w:after="0"/>
            </w:pPr>
            <w:r>
              <w:rPr>
                <w:rFonts w:ascii="Calibri" w:hAnsi="Calibri"/>
              </w:rPr>
              <w:t>Check Knowledge Space memberships, clearance, and document lifecycle.</w:t>
            </w:r>
          </w:p>
        </w:tc>
      </w:tr>
      <w:tr>
        <w:tc>
          <w:tcPr>
            <w:tcW w:type="dxa" w:w="2100"/>
            <w:vAlign w:val="center"/>
            <w:tcMar>
              <w:top w:w="80" w:type="dxa"/>
              <w:bottom w:w="80" w:type="dxa"/>
              <w:start w:w="120" w:type="dxa"/>
              <w:end w:w="120" w:type="dxa"/>
            </w:tcMar>
          </w:tcPr>
          <w:p>
            <w:pPr>
              <w:spacing w:after="0"/>
            </w:pPr>
            <w:r>
              <w:rPr>
                <w:rFonts w:ascii="Calibri" w:hAnsi="Calibri"/>
              </w:rPr>
              <w:t>Upload stuck in queued</w:t>
            </w:r>
          </w:p>
        </w:tc>
        <w:tc>
          <w:tcPr>
            <w:tcW w:type="dxa" w:w="3260"/>
            <w:vAlign w:val="center"/>
            <w:tcMar>
              <w:top w:w="80" w:type="dxa"/>
              <w:bottom w:w="80" w:type="dxa"/>
              <w:start w:w="120" w:type="dxa"/>
              <w:end w:w="120" w:type="dxa"/>
            </w:tcMar>
          </w:tcPr>
          <w:p>
            <w:pPr>
              <w:spacing w:after="0"/>
            </w:pPr>
            <w:r>
              <w:rPr>
                <w:rFonts w:ascii="Calibri" w:hAnsi="Calibri"/>
              </w:rPr>
              <w:t>Worker unavailable or capacity saturated</w:t>
            </w:r>
          </w:p>
        </w:tc>
        <w:tc>
          <w:tcPr>
            <w:tcW w:type="dxa" w:w="4000"/>
            <w:vAlign w:val="center"/>
            <w:tcMar>
              <w:top w:w="80" w:type="dxa"/>
              <w:bottom w:w="80" w:type="dxa"/>
              <w:start w:w="120" w:type="dxa"/>
              <w:end w:w="120" w:type="dxa"/>
            </w:tcMar>
          </w:tcPr>
          <w:p>
            <w:pPr>
              <w:spacing w:after="0"/>
            </w:pPr>
            <w:r>
              <w:rPr>
                <w:rFonts w:ascii="Calibri" w:hAnsi="Calibri"/>
              </w:rPr>
              <w:t>Check Ingestion Health and ask operator to inspect worker logs if needed.</w:t>
            </w:r>
          </w:p>
        </w:tc>
      </w:tr>
      <w:tr>
        <w:tc>
          <w:tcPr>
            <w:tcW w:type="dxa" w:w="2100"/>
            <w:vAlign w:val="center"/>
            <w:tcMar>
              <w:top w:w="80" w:type="dxa"/>
              <w:bottom w:w="80" w:type="dxa"/>
              <w:start w:w="120" w:type="dxa"/>
              <w:end w:w="120" w:type="dxa"/>
            </w:tcMar>
          </w:tcPr>
          <w:p>
            <w:pPr>
              <w:spacing w:after="0"/>
            </w:pPr>
            <w:r>
              <w:rPr>
                <w:rFonts w:ascii="Calibri" w:hAnsi="Calibri"/>
              </w:rPr>
              <w:t>Many Needs review jobs</w:t>
            </w:r>
          </w:p>
        </w:tc>
        <w:tc>
          <w:tcPr>
            <w:tcW w:type="dxa" w:w="3260"/>
            <w:vAlign w:val="center"/>
            <w:tcMar>
              <w:top w:w="80" w:type="dxa"/>
              <w:bottom w:w="80" w:type="dxa"/>
              <w:start w:w="120" w:type="dxa"/>
              <w:end w:w="120" w:type="dxa"/>
            </w:tcMar>
          </w:tcPr>
          <w:p>
            <w:pPr>
              <w:spacing w:after="0"/>
            </w:pPr>
            <w:r>
              <w:rPr>
                <w:rFonts w:ascii="Calibri" w:hAnsi="Calibri"/>
              </w:rPr>
              <w:t>OCR threshold, PDF image threshold, or low-quality scans</w:t>
            </w:r>
          </w:p>
        </w:tc>
        <w:tc>
          <w:tcPr>
            <w:tcW w:type="dxa" w:w="4000"/>
            <w:vAlign w:val="center"/>
            <w:tcMar>
              <w:top w:w="80" w:type="dxa"/>
              <w:bottom w:w="80" w:type="dxa"/>
              <w:start w:w="120" w:type="dxa"/>
              <w:end w:w="120" w:type="dxa"/>
            </w:tcMar>
          </w:tcPr>
          <w:p>
            <w:pPr>
              <w:spacing w:after="0"/>
            </w:pPr>
            <w:r>
              <w:rPr>
                <w:rFonts w:ascii="Calibri" w:hAnsi="Calibri"/>
              </w:rPr>
              <w:t>Assign Document Contributors or admins to clear review work, or tune thresholds after policy review.</w:t>
            </w:r>
          </w:p>
        </w:tc>
      </w:tr>
      <w:tr>
        <w:tc>
          <w:tcPr>
            <w:tcW w:type="dxa" w:w="2100"/>
            <w:vAlign w:val="center"/>
            <w:tcMar>
              <w:top w:w="80" w:type="dxa"/>
              <w:bottom w:w="80" w:type="dxa"/>
              <w:start w:w="120" w:type="dxa"/>
              <w:end w:w="120" w:type="dxa"/>
            </w:tcMar>
          </w:tcPr>
          <w:p>
            <w:pPr>
              <w:spacing w:after="0"/>
            </w:pPr>
            <w:r>
              <w:rPr>
                <w:rFonts w:ascii="Calibri" w:hAnsi="Calibri"/>
              </w:rPr>
              <w:t>Live DB source missing</w:t>
            </w:r>
          </w:p>
        </w:tc>
        <w:tc>
          <w:tcPr>
            <w:tcW w:type="dxa" w:w="3260"/>
            <w:vAlign w:val="center"/>
            <w:tcMar>
              <w:top w:w="80" w:type="dxa"/>
              <w:bottom w:w="80" w:type="dxa"/>
              <w:start w:w="120" w:type="dxa"/>
              <w:end w:w="120" w:type="dxa"/>
            </w:tcMar>
          </w:tcPr>
          <w:p>
            <w:pPr>
              <w:spacing w:after="0"/>
            </w:pPr>
            <w:r>
              <w:rPr>
                <w:rFonts w:ascii="Calibri" w:hAnsi="Calibri"/>
              </w:rPr>
              <w:t>Catalog not approved or outside user's scope</w:t>
            </w:r>
          </w:p>
        </w:tc>
        <w:tc>
          <w:tcPr>
            <w:tcW w:type="dxa" w:w="4000"/>
            <w:vAlign w:val="center"/>
            <w:tcMar>
              <w:top w:w="80" w:type="dxa"/>
              <w:bottom w:w="80" w:type="dxa"/>
              <w:start w:w="120" w:type="dxa"/>
              <w:end w:w="120" w:type="dxa"/>
            </w:tcMar>
          </w:tcPr>
          <w:p>
            <w:pPr>
              <w:spacing w:after="0"/>
            </w:pPr>
            <w:r>
              <w:rPr>
                <w:rFonts w:ascii="Calibri" w:hAnsi="Calibri"/>
              </w:rPr>
              <w:t>Review connector catalog, Knowledge Space, clearance, and disabled state.</w:t>
            </w:r>
          </w:p>
        </w:tc>
      </w:tr>
      <w:tr>
        <w:tc>
          <w:tcPr>
            <w:tcW w:type="dxa" w:w="2100"/>
            <w:vAlign w:val="center"/>
            <w:tcMar>
              <w:top w:w="80" w:type="dxa"/>
              <w:bottom w:w="80" w:type="dxa"/>
              <w:start w:w="120" w:type="dxa"/>
              <w:end w:w="120" w:type="dxa"/>
            </w:tcMar>
          </w:tcPr>
          <w:p>
            <w:pPr>
              <w:spacing w:after="0"/>
            </w:pPr>
            <w:r>
              <w:rPr>
                <w:rFonts w:ascii="Calibri" w:hAnsi="Calibri"/>
              </w:rPr>
              <w:t>Query answers degrade</w:t>
            </w:r>
          </w:p>
        </w:tc>
        <w:tc>
          <w:tcPr>
            <w:tcW w:type="dxa" w:w="3260"/>
            <w:vAlign w:val="center"/>
            <w:tcMar>
              <w:top w:w="80" w:type="dxa"/>
              <w:bottom w:w="80" w:type="dxa"/>
              <w:start w:w="120" w:type="dxa"/>
              <w:end w:w="120" w:type="dxa"/>
            </w:tcMar>
          </w:tcPr>
          <w:p>
            <w:pPr>
              <w:spacing w:after="0"/>
            </w:pPr>
            <w:r>
              <w:rPr>
                <w:rFonts w:ascii="Calibri" w:hAnsi="Calibri"/>
              </w:rPr>
              <w:t>Runtime provider, retrieval, or source availability issue</w:t>
            </w:r>
          </w:p>
        </w:tc>
        <w:tc>
          <w:tcPr>
            <w:tcW w:type="dxa" w:w="4000"/>
            <w:vAlign w:val="center"/>
            <w:tcMar>
              <w:top w:w="80" w:type="dxa"/>
              <w:bottom w:w="80" w:type="dxa"/>
              <w:start w:w="120" w:type="dxa"/>
              <w:end w:w="120" w:type="dxa"/>
            </w:tcMar>
          </w:tcPr>
          <w:p>
            <w:pPr>
              <w:spacing w:after="0"/>
            </w:pPr>
            <w:r>
              <w:rPr>
                <w:rFonts w:ascii="Calibri" w:hAnsi="Calibri"/>
              </w:rPr>
              <w:t>Check Runtime Settings health, document indexing, and source mode.</w:t>
            </w:r>
          </w:p>
        </w:tc>
      </w:tr>
      <w:tr>
        <w:tc>
          <w:tcPr>
            <w:tcW w:type="dxa" w:w="2100"/>
            <w:vAlign w:val="center"/>
            <w:tcMar>
              <w:top w:w="80" w:type="dxa"/>
              <w:bottom w:w="80" w:type="dxa"/>
              <w:start w:w="120" w:type="dxa"/>
              <w:end w:w="120" w:type="dxa"/>
            </w:tcMar>
          </w:tcPr>
          <w:p>
            <w:pPr>
              <w:spacing w:after="0"/>
            </w:pPr>
            <w:r>
              <w:rPr>
                <w:rFonts w:ascii="Calibri" w:hAnsi="Calibri"/>
              </w:rPr>
              <w:t>GraphRAG unavailable</w:t>
            </w:r>
          </w:p>
        </w:tc>
        <w:tc>
          <w:tcPr>
            <w:tcW w:type="dxa" w:w="3260"/>
            <w:vAlign w:val="center"/>
            <w:tcMar>
              <w:top w:w="80" w:type="dxa"/>
              <w:bottom w:w="80" w:type="dxa"/>
              <w:start w:w="120" w:type="dxa"/>
              <w:end w:w="120" w:type="dxa"/>
            </w:tcMar>
          </w:tcPr>
          <w:p>
            <w:pPr>
              <w:spacing w:after="0"/>
            </w:pPr>
            <w:r>
              <w:rPr>
                <w:rFonts w:ascii="Calibri" w:hAnsi="Calibri"/>
              </w:rPr>
              <w:t>Graph worker or Neo4j unavailable, or docs not opted in</w:t>
            </w:r>
          </w:p>
        </w:tc>
        <w:tc>
          <w:tcPr>
            <w:tcW w:type="dxa" w:w="4000"/>
            <w:vAlign w:val="center"/>
            <w:tcMar>
              <w:top w:w="80" w:type="dxa"/>
              <w:bottom w:w="80" w:type="dxa"/>
              <w:start w:w="120" w:type="dxa"/>
              <w:end w:w="120" w:type="dxa"/>
            </w:tcMar>
          </w:tcPr>
          <w:p>
            <w:pPr>
              <w:spacing w:after="0"/>
            </w:pPr>
            <w:r>
              <w:rPr>
                <w:rFonts w:ascii="Calibri" w:hAnsi="Calibri"/>
              </w:rPr>
              <w:t>Check Ingestion Health and operator runtime status.</w:t>
            </w:r>
          </w:p>
        </w:tc>
      </w:tr>
    </w:tbl>
    <w:p>
      <w:pPr>
        <w:spacing w:after="120"/>
      </w:pPr>
    </w:p>
    <w:p>
      <w:pPr>
        <w:pStyle w:val="Heading2"/>
      </w:pPr>
      <w:r>
        <w:rPr>
          <w:rFonts w:ascii="Calibri" w:hAnsi="Calibri"/>
        </w:rPr>
        <w:t>15. Admin Safety Rules</w:t>
      </w:r>
    </w:p>
    <w:p>
      <w:pPr>
        <w:pStyle w:val="ListBullet"/>
      </w:pPr>
      <w:r>
        <w:rPr>
          <w:rFonts w:ascii="Calibri" w:hAnsi="Calibri"/>
        </w:rPr>
        <w:t>Use least privilege for roles, Knowledge Spaces, database scopes, and clearance.</w:t>
      </w:r>
    </w:p>
    <w:p>
      <w:pPr>
        <w:pStyle w:val="ListBullet"/>
      </w:pPr>
      <w:r>
        <w:rPr>
          <w:rFonts w:ascii="Calibri" w:hAnsi="Calibri"/>
        </w:rPr>
        <w:t>Do not approve database catalogs without human review.</w:t>
      </w:r>
    </w:p>
    <w:p>
      <w:pPr>
        <w:pStyle w:val="ListBullet"/>
      </w:pPr>
      <w:r>
        <w:rPr>
          <w:rFonts w:ascii="Calibri" w:hAnsi="Calibri"/>
        </w:rPr>
        <w:t>Do not broaden access just to make a query work.</w:t>
      </w:r>
    </w:p>
    <w:p>
      <w:pPr>
        <w:pStyle w:val="ListBullet"/>
      </w:pPr>
      <w:r>
        <w:rPr>
          <w:rFonts w:ascii="Calibri" w:hAnsi="Calibri"/>
        </w:rPr>
        <w:t>Do not change model provider or embedding model without a reindex plan.</w:t>
      </w:r>
    </w:p>
    <w:p>
      <w:pPr>
        <w:pStyle w:val="ListBullet"/>
      </w:pPr>
      <w:r>
        <w:rPr>
          <w:rFonts w:ascii="Calibri" w:hAnsi="Calibri"/>
        </w:rPr>
        <w:t>Do not permanently delete documents unless retention policy allows it.</w:t>
      </w:r>
    </w:p>
    <w:p>
      <w:pPr>
        <w:pStyle w:val="ListBullet"/>
      </w:pPr>
      <w:r>
        <w:rPr>
          <w:rFonts w:ascii="Calibri" w:hAnsi="Calibri"/>
        </w:rPr>
        <w:t>Document operational incidents with timestamps, job IDs, user IDs, document IDs, and screenshots where appropriate.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8"/>
      </w:rPr>
      <w:t>Prudentia AI manuals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8"/>
      </w:rPr>
      <w:t>Prudentia AI Administrator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25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spacing w:after="240" w:line="264" w:lineRule="auto"/>
    </w:pPr>
    <w:rPr>
      <w:rFonts w:ascii="Calibri" w:hAnsi="Calibri"/>
      <w:b/>
      <w:color w:val="1F4D78"/>
      <w:sz w:val="48"/>
    </w:rPr>
  </w:style>
  <w:style w:type="paragraph" w:customStyle="1" w:styleId="ManualCode">
    <w:name w:val="Manual Code"/>
    <w:pPr>
      <w:spacing w:after="0" w:line="252" w:lineRule="auto"/>
      <w:ind w:left="360"/>
    </w:pPr>
    <w:rPr>
      <w:rFonts w:ascii="Consolas" w:hAnsi="Consolas"/>
      <w:color w:val="1E2D3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