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Arial" w:cs="Arial" w:eastAsia="Arial" w:hAnsi="Arial"/>
          <w:b/>
          <w:bCs/>
          <w:color w:val="1E3A5F"/>
          <w:sz w:val="56"/>
          <w:szCs w:val="56"/>
        </w:rPr>
        <w:t xml:space="preserve">WC-Memory v7</w:t>
      </w:r>
    </w:p>
    <w:p>
      <w:pPr>
        <w:spacing w:after="200"/>
        <w:jc w:val="center"/>
      </w:pPr>
      <w:r>
        <w:rPr>
          <w:rFonts w:ascii="Arial" w:cs="Arial" w:eastAsia="Arial" w:hAnsi="Arial"/>
          <w:i/>
          <w:iCs/>
          <w:color w:val="444444"/>
          <w:sz w:val="28"/>
          <w:szCs w:val="28"/>
        </w:rPr>
        <w:t xml:space="preserve">Mémoire Oscillatoire Transitoire par Synchronisation de Phase</w:t>
      </w:r>
    </w:p>
    <w:p>
      <w:pPr>
        <w:spacing w:after="80"/>
        <w:jc w:val="center"/>
      </w:pPr>
      <w:r>
        <w:rPr>
          <w:rFonts w:ascii="Arial" w:cs="Arial" w:eastAsia="Arial" w:hAnsi="Arial"/>
          <w:color w:val="2563EB"/>
          <w:sz w:val="24"/>
          <w:szCs w:val="24"/>
        </w:rPr>
        <w:t xml:space="preserve">Technical Report — Rapport de Recherche Complet</w:t>
      </w:r>
    </w:p>
    <w:p>
      <w:pPr>
        <w:spacing w:after="60"/>
        <w:jc w:val="center"/>
      </w:pPr>
      <w:r>
        <w:rPr>
          <w:rFonts w:ascii="Arial" w:cs="Arial" w:eastAsia="Arial" w:hAnsi="Arial"/>
          <w:color w:val="555555"/>
          <w:sz w:val="22"/>
          <w:szCs w:val="22"/>
        </w:rPr>
        <w:t xml:space="preserve">Hedi Ben Amor &amp; Claude Sonnet 4.6 (Anthropic)</w:t>
      </w:r>
    </w:p>
    <w:p>
      <w:pPr>
        <w:spacing w:after="300"/>
        <w:jc w:val="center"/>
      </w:pPr>
      <w:r>
        <w:rPr>
          <w:rFonts w:ascii="Arial" w:cs="Arial" w:eastAsia="Arial" w:hAnsi="Arial"/>
          <w:color w:val="888888"/>
          <w:sz w:val="20"/>
          <w:szCs w:val="20"/>
        </w:rPr>
        <w:t xml:space="preserve">Mai 2026  ·  Basé sur Wilson-Cowan (1972)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none" w:color="FFFFFF" w:sz="0"/>
              <w:bottom w:val="single" w:color="2563EB" w:sz="6"/>
              <w:right w:val="none" w:color="FFFFFF" w:sz="0"/>
            </w:tcBorders>
            <w:shd w:fill="EEF2FF" w:val="clear"/>
            <w:tcMar>
              <w:top w:type="dxa" w:w="160"/>
              <w:left w:type="dxa" w:w="200"/>
              <w:bottom w:type="dxa" w:w="160"/>
              <w:right w:type="dxa" w:w="200"/>
            </w:tcMar>
          </w:tcPr>
          <w:p>
            <w:pPr>
              <w:spacing w:after="80"/>
            </w:pPr>
            <w:r>
              <w:rPr>
                <w:rFonts w:ascii="Arial" w:cs="Arial" w:eastAsia="Arial" w:hAnsi="Arial"/>
                <w:b/>
                <w:bCs/>
                <w:caps/>
                <w:color w:val="2563EB"/>
                <w:sz w:val="22"/>
                <w:szCs w:val="22"/>
              </w:rPr>
              <w:t xml:space="preserve">RÉSUMÉ EXÉCUTIF</w:t>
            </w:r>
          </w:p>
          <w:p>
            <w:pPr>
              <w:spacing w:after="0"/>
            </w:pPr>
            <w:r>
              <w:rPr>
                <w:rFonts w:ascii="Arial" w:cs="Arial" w:eastAsia="Arial" w:hAnsi="Arial"/>
                <w:color w:val="1A1A2E"/>
                <w:sz w:val="21"/>
                <w:szCs w:val="21"/>
              </w:rPr>
              <w:t xml:space="preserve">WC-Memory v7 est un système de mémoire oscillatoire transitoire basé sur des oscillateurs de Wilson-Cowan couplés. Il réalise trois propriétés simultanément absentes des modèles existants : (1) silence physiquement garanti au repos (foyer stable), (2) évocation par fragment via bifurcation de Hopf auto-induite par l'input, (3) désynchronisation spontanée après évocation. Son mécanisme central — τ_k = (1−ε + γ·input_k)/λ — est une équation unique sans branchement qui implémente la plasticité computationnelle inspirée de l'ADP neuronal. Ce document présente le modèle complet, le journal de développement, les expériences menées, et la vision prospective vers une architecture Oscillatory Attention Layer (OAL) compatible Transformer.</w:t>
            </w:r>
          </w:p>
        </w:tc>
      </w:tr>
    </w:tbl>
    <w:p>
      <w:r>
        <w:br w:type="page"/>
      </w:r>
    </w:p>
    <w:p>
      <w:pPr>
        <w:pStyle w:val="Heading1"/>
        <w:spacing w:after="160" w:before="400"/>
      </w:pPr>
      <w:r>
        <w:rPr>
          <w:rFonts w:ascii="Arial" w:cs="Arial" w:eastAsia="Arial" w:hAnsi="Arial"/>
          <w:b/>
          <w:bCs/>
          <w:color w:val="1E3A5F"/>
          <w:sz w:val="34"/>
          <w:szCs w:val="34"/>
        </w:rPr>
        <w:t xml:space="preserve">1. Motivation et objectifs</w:t>
      </w:r>
    </w:p>
    <w:p>
      <w:pPr>
        <w:spacing w:after="120"/>
      </w:pPr>
      <w:r>
        <w:rPr>
          <w:rFonts w:ascii="Arial" w:cs="Arial" w:eastAsia="Arial" w:hAnsi="Arial"/>
          <w:b/>
          <w:bCs/>
          <w:sz w:val="22"/>
          <w:szCs w:val="22"/>
        </w:rPr>
        <w:t xml:space="preserve">Objectif fondamental : </w:t>
      </w:r>
      <w:r>
        <w:rPr>
          <w:rFonts w:ascii="Arial" w:cs="Arial" w:eastAsia="Arial" w:hAnsi="Arial"/>
          <w:sz w:val="22"/>
          <w:szCs w:val="22"/>
        </w:rPr>
        <w:t xml:space="preserve">réaliser computationnellement le binding oscillatoire — la capacité du cerveau à regrouper des informations distribuées en une percept unifié via la synchronisation temporelle de neurones distants (Singer &amp; Gray, 1989 ; Varela et al., 2001).</w:t>
      </w:r>
    </w:p>
    <w:p>
      <w:pPr>
        <w:spacing w:after="120"/>
      </w:pPr>
      <w:r>
        <w:rPr>
          <w:rFonts w:ascii="Arial" w:cs="Arial" w:eastAsia="Arial" w:hAnsi="Arial"/>
          <w:sz w:val="22"/>
          <w:szCs w:val="22"/>
        </w:rPr>
        <w:t xml:space="preserve">Trois propriétés doivent coexister dans un même modèle formel :</w:t>
      </w:r>
    </w:p>
    <w:p>
      <w:pPr>
        <w:pStyle w:val="ListParagraph"/>
        <w:numPr>
          <w:ilvl w:val="0"/>
          <w:numId w:val="2"/>
        </w:numPr>
        <w:spacing w:after="80"/>
      </w:pPr>
      <w:r>
        <w:rPr>
          <w:rFonts w:ascii="Arial" w:cs="Arial" w:eastAsia="Arial" w:hAnsi="Arial"/>
          <w:b/>
          <w:bCs/>
          <w:sz w:val="22"/>
          <w:szCs w:val="22"/>
        </w:rPr>
        <w:t xml:space="preserve">Apprentissage associatif : </w:t>
      </w:r>
      <w:r>
        <w:rPr>
          <w:rFonts w:ascii="Arial" w:cs="Arial" w:eastAsia="Arial" w:hAnsi="Arial"/>
          <w:sz w:val="22"/>
          <w:szCs w:val="22"/>
        </w:rPr>
        <w:t xml:space="preserve">encoder plusieurs motifs distincts dans la structure des connexions synaptiques via une règle de Hebb continue</w:t>
      </w:r>
    </w:p>
    <w:p>
      <w:pPr>
        <w:pStyle w:val="ListParagraph"/>
        <w:numPr>
          <w:ilvl w:val="0"/>
          <w:numId w:val="2"/>
        </w:numPr>
        <w:spacing w:after="80"/>
      </w:pPr>
      <w:r>
        <w:rPr>
          <w:rFonts w:ascii="Arial" w:cs="Arial" w:eastAsia="Arial" w:hAnsi="Arial"/>
          <w:b/>
          <w:bCs/>
          <w:sz w:val="22"/>
          <w:szCs w:val="22"/>
        </w:rPr>
        <w:t xml:space="preserve">Évocation par fragment : </w:t>
      </w:r>
      <w:r>
        <w:rPr>
          <w:rFonts w:ascii="Arial" w:cs="Arial" w:eastAsia="Arial" w:hAnsi="Arial"/>
          <w:sz w:val="22"/>
          <w:szCs w:val="22"/>
        </w:rPr>
        <w:t xml:space="preserve">à partir d'un indice partiel (50% du motif), reconstituer le motif complet par propagation de synchronisation</w:t>
      </w:r>
    </w:p>
    <w:p>
      <w:pPr>
        <w:pStyle w:val="ListParagraph"/>
        <w:numPr>
          <w:ilvl w:val="0"/>
          <w:numId w:val="2"/>
        </w:numPr>
        <w:spacing w:after="80"/>
      </w:pPr>
      <w:r>
        <w:rPr>
          <w:rFonts w:ascii="Arial" w:cs="Arial" w:eastAsia="Arial" w:hAnsi="Arial"/>
          <w:b/>
          <w:bCs/>
          <w:sz w:val="22"/>
          <w:szCs w:val="22"/>
        </w:rPr>
        <w:t xml:space="preserve">Désynchronisation spontanée : </w:t>
      </w:r>
      <w:r>
        <w:rPr>
          <w:rFonts w:ascii="Arial" w:cs="Arial" w:eastAsia="Arial" w:hAnsi="Arial"/>
          <w:sz w:val="22"/>
          <w:szCs w:val="22"/>
        </w:rPr>
        <w:t xml:space="preserve">après l'évocation, le réseau retourne au silence sans intervention externe — la mémoire est transitoire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EEF2FF"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Propriété centrale</w:t>
            </w:r>
          </w:p>
          <w:p>
            <w:pPr>
              <w:spacing w:after="0"/>
            </w:pPr>
            <w:r>
              <w:rPr>
                <w:rFonts w:ascii="Arial" w:cs="Arial" w:eastAsia="Arial" w:hAnsi="Arial"/>
                <w:color w:val="1A1A2E"/>
                <w:sz w:val="21"/>
                <w:szCs w:val="21"/>
              </w:rPr>
              <w:t xml:space="preserve">La mémoire n'est pas encodée dans des états stationnaires (comme Hopfield) mais dans des relations de phase entre oscillateurs. Le souvenir existe le temps d'une synchronisation transitoire, puis disparaît. Le silence est l'état par défaut, physiquement garanti par la dynamique du foyer stable.</w:t>
            </w:r>
          </w:p>
        </w:tc>
      </w:tr>
    </w:tbl>
    <w:p>
      <w:pPr>
        <w:spacing w:after="120"/>
      </w:pPr>
    </w:p>
    <w:p>
      <w:pPr>
        <w:spacing w:after="120"/>
      </w:pPr>
      <w:r>
        <w:rPr>
          <w:rFonts w:ascii="Arial" w:cs="Arial" w:eastAsia="Arial" w:hAnsi="Arial"/>
          <w:b/>
          <w:bCs/>
          <w:sz w:val="22"/>
          <w:szCs w:val="22"/>
        </w:rPr>
        <w:t xml:space="preserve">Contexte : gap avec le modèle Ben Amor (thèse). </w:t>
      </w:r>
      <w:r>
        <w:rPr>
          <w:rFonts w:ascii="Arial" w:cs="Arial" w:eastAsia="Arial" w:hAnsi="Arial"/>
          <w:sz w:val="22"/>
          <w:szCs w:val="22"/>
        </w:rPr>
        <w:t xml:space="preserve">Le modèle original de la thèse utilisait des oscillateurs WC en cycle limite permanent (λτ &gt; 1 toujours actifs). Ce travail part de cette base et introduit un régime foyer stable comme état de repos — une différence fondamentale qui donne naissance aux propriétés d'extinction et de désynchronisation émergentes.</w:t>
      </w:r>
    </w:p>
    <w:p>
      <w:r>
        <w:br w:type="page"/>
      </w:r>
    </w:p>
    <w:p>
      <w:pPr>
        <w:pStyle w:val="Heading1"/>
        <w:spacing w:after="160" w:before="400"/>
      </w:pPr>
      <w:r>
        <w:rPr>
          <w:rFonts w:ascii="Arial" w:cs="Arial" w:eastAsia="Arial" w:hAnsi="Arial"/>
          <w:b/>
          <w:bCs/>
          <w:color w:val="1E3A5F"/>
          <w:sz w:val="34"/>
          <w:szCs w:val="34"/>
        </w:rPr>
        <w:t xml:space="preserve">2. Modèle mathématique complet</w:t>
      </w:r>
    </w:p>
    <w:p>
      <w:pPr>
        <w:pStyle w:val="Heading2"/>
        <w:pBdr>
          <w:bottom w:val="single" w:color="2563EB" w:sz="2"/>
        </w:pBdr>
        <w:spacing w:after="120" w:before="320"/>
      </w:pPr>
      <w:r>
        <w:rPr>
          <w:rFonts w:ascii="Arial" w:cs="Arial" w:eastAsia="Arial" w:hAnsi="Arial"/>
          <w:b/>
          <w:bCs/>
          <w:color w:val="2563EB"/>
          <w:sz w:val="28"/>
          <w:szCs w:val="28"/>
        </w:rPr>
        <w:t xml:space="preserve">2.1 Équations dynamiques Wilson-Cowan modifiées</w:t>
      </w:r>
    </w:p>
    <w:p>
      <w:pPr>
        <w:spacing w:after="120"/>
      </w:pPr>
      <w:r>
        <w:rPr>
          <w:rFonts w:ascii="Arial" w:cs="Arial" w:eastAsia="Arial" w:hAnsi="Arial"/>
          <w:sz w:val="22"/>
          <w:szCs w:val="22"/>
        </w:rPr>
        <w:t xml:space="preserve">Le modèle de base (Wilson &amp; Cowan, 1972) décrit la dynamique couplée d'une population excitatrice x et inhibitrice y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dx_k/dt = −x_k/τ_k + tanh(λ·x_k) − tanh(λ·y_k) + input_k    (WC-1)</w:t>
            </w:r>
          </w:p>
          <w:p>
            <w:pPr>
              <w:spacing w:after="60"/>
            </w:pPr>
            <w:r>
              <w:rPr>
                <w:rFonts w:ascii="Courier New" w:cs="Courier New" w:eastAsia="Courier New" w:hAnsi="Courier New"/>
                <w:color w:val="1A1A2E"/>
                <w:sz w:val="21"/>
                <w:szCs w:val="21"/>
              </w:rPr>
              <w:t xml:space="preserve">dy_k/dt = −y_k/τ_k + tanh(λ·x_k) + tanh(λ·y_k)               (WC-2)</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où k ∈ {1,...,N²} indexe les oscillateurs sur une grille N×N</w:t>
            </w:r>
          </w:p>
        </w:tc>
      </w:tr>
    </w:tbl>
    <w:p>
      <w:pPr>
        <w:spacing w:after="120"/>
      </w:pPr>
      <w:r>
        <w:rPr>
          <w:rFonts w:ascii="Arial" w:cs="Arial" w:eastAsia="Arial" w:hAnsi="Arial"/>
          <w:sz w:val="22"/>
          <w:szCs w:val="22"/>
        </w:rPr>
        <w:t xml:space="preserve">Le couplage synaptique entre oscillateurs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input_k = (1/N²) · Σ_{j≠k} w_{kj} · x_j · tanh(4·r_j)        (COUP)</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r_j = sqrt(x_j² + y_j²)  [amplitude de l'oscillateur j]</w:t>
            </w:r>
          </w:p>
          <w:p>
            <w:pPr>
              <w:spacing w:after="60"/>
            </w:pPr>
            <w:r>
              <w:rPr>
                <w:rFonts w:ascii="Courier New" w:cs="Courier New" w:eastAsia="Courier New" w:hAnsi="Courier New"/>
                <w:color w:val="1A1A2E"/>
                <w:sz w:val="21"/>
                <w:szCs w:val="21"/>
              </w:rPr>
              <w:t xml:space="preserve">tanh(4·r_j) : gate d'amplitude — seuls les oscillateurs actifs transmettent</w:t>
            </w:r>
          </w:p>
          <w:p>
            <w:pPr>
              <w:spacing w:after="60"/>
            </w:pPr>
            <w:r>
              <w:rPr>
                <w:rFonts w:ascii="Courier New" w:cs="Courier New" w:eastAsia="Courier New" w:hAnsi="Courier New"/>
                <w:color w:val="1A1A2E"/>
                <w:sz w:val="21"/>
                <w:szCs w:val="21"/>
              </w:rPr>
              <w:t xml:space="preserve">1/N²        : normalisation — évite la divergence N-to-N</w:t>
            </w:r>
          </w:p>
        </w:tc>
      </w:tr>
    </w:tbl>
    <w:p>
      <w:pPr>
        <w:pStyle w:val="Heading2"/>
        <w:pBdr>
          <w:bottom w:val="single" w:color="2563EB" w:sz="2"/>
        </w:pBdr>
        <w:spacing w:after="120" w:before="320"/>
      </w:pPr>
      <w:r>
        <w:rPr>
          <w:rFonts w:ascii="Arial" w:cs="Arial" w:eastAsia="Arial" w:hAnsi="Arial"/>
          <w:b/>
          <w:bCs/>
          <w:color w:val="2563EB"/>
          <w:sz w:val="28"/>
          <w:szCs w:val="28"/>
        </w:rPr>
        <w:t xml:space="preserve">2.2 Bifurcation de Hopf auto-induite — mécanisme central</w:t>
      </w:r>
    </w:p>
    <w:p>
      <w:pPr>
        <w:spacing w:after="120"/>
      </w:pPr>
      <w:r>
        <w:rPr>
          <w:rFonts w:ascii="Arial" w:cs="Arial" w:eastAsia="Arial" w:hAnsi="Arial"/>
          <w:b/>
          <w:bCs/>
          <w:sz w:val="22"/>
          <w:szCs w:val="22"/>
        </w:rPr>
        <w:t xml:space="preserve">C'est l'innovation principale de v7.</w:t>
      </w:r>
      <w:r>
        <w:rPr>
          <w:rFonts w:ascii="Arial" w:cs="Arial" w:eastAsia="Arial" w:hAnsi="Arial"/>
          <w:sz w:val="22"/>
          <w:szCs w:val="22"/>
        </w:rPr>
        <w:t xml:space="preserve"> La constante de temps τ_k n'est plus fixe — elle dépend de l'input reçu par l'oscillateur k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τ_k = (1 − ε + γ · max(0, input_k)) / λ             (BIFURC)</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  λτ_k = (1−ε) + γ · max(0, input_k)</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Règle de bifurcation :</w:t>
            </w:r>
          </w:p>
          <w:p>
            <w:pPr>
              <w:spacing w:after="60"/>
            </w:pPr>
            <w:r>
              <w:rPr>
                <w:rFonts w:ascii="Courier New" w:cs="Courier New" w:eastAsia="Courier New" w:hAnsi="Courier New"/>
                <w:color w:val="1A1A2E"/>
                <w:sz w:val="21"/>
                <w:szCs w:val="21"/>
              </w:rPr>
              <w:t xml:space="preserve">  λτ_k &lt; 1 → foyer stable  → oscillateur s'éteint (SILENCE)</w:t>
            </w:r>
          </w:p>
          <w:p>
            <w:pPr>
              <w:spacing w:after="60"/>
            </w:pPr>
            <w:r>
              <w:rPr>
                <w:rFonts w:ascii="Courier New" w:cs="Courier New" w:eastAsia="Courier New" w:hAnsi="Courier New"/>
                <w:color w:val="1A1A2E"/>
                <w:sz w:val="21"/>
                <w:szCs w:val="21"/>
              </w:rPr>
              <w:t xml:space="preserve">  λτ_k = 1 → bifurcation de Hopf (seuil)</w:t>
            </w:r>
          </w:p>
          <w:p>
            <w:pPr>
              <w:spacing w:after="60"/>
            </w:pPr>
            <w:r>
              <w:rPr>
                <w:rFonts w:ascii="Courier New" w:cs="Courier New" w:eastAsia="Courier New" w:hAnsi="Courier New"/>
                <w:color w:val="1A1A2E"/>
                <w:sz w:val="21"/>
                <w:szCs w:val="21"/>
              </w:rPr>
              <w:t xml:space="preserve">  λτ_k &gt; 1 → cycle limite  → oscillations auto-entretenues (ÉVOCATION)</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Au repos : input_k ≈ 0  →  λτ = 1−ε = 0.97  → foyer stable garanti</w:t>
            </w:r>
          </w:p>
          <w:p>
            <w:pPr>
              <w:spacing w:after="60"/>
            </w:pPr>
            <w:r>
              <w:rPr>
                <w:rFonts w:ascii="Courier New" w:cs="Courier New" w:eastAsia="Courier New" w:hAnsi="Courier New"/>
                <w:color w:val="1A1A2E"/>
                <w:sz w:val="21"/>
                <w:szCs w:val="21"/>
              </w:rPr>
              <w:t xml:space="preserve">En évocation : input &gt; 0  →  λτ &gt; 1  → cycle limite  → propagation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Analogie biologique — ADP (After-Depolarization Potential)</w:t>
            </w:r>
          </w:p>
          <w:p>
            <w:pPr>
              <w:spacing w:after="0"/>
            </w:pPr>
            <w:r>
              <w:rPr>
                <w:rFonts w:ascii="Arial" w:cs="Arial" w:eastAsia="Arial" w:hAnsi="Arial"/>
                <w:color w:val="1A1A2E"/>
                <w:sz w:val="21"/>
                <w:szCs w:val="21"/>
              </w:rPr>
              <w:t xml:space="preserve">Quand un neurone reçoit un input synaptique suffisant, un courant entrant lent (ICAN, courant ADP) dépolarise la membrane et réduit la conductance de fuite — équivalent à augmenter τ. L'oscillateur se rapproche de son seuil d'oscillation en réponse à ce qu'il reçoit, pas à ce qu'il fait. C'est précisément la formule τ_k = (1−ε + γ·input_k)/λ.</w:t>
            </w:r>
          </w:p>
        </w:tc>
      </w:tr>
    </w:tbl>
    <w:p>
      <w:pPr>
        <w:pStyle w:val="Heading2"/>
        <w:pBdr>
          <w:bottom w:val="single" w:color="2563EB" w:sz="2"/>
        </w:pBdr>
        <w:spacing w:after="120" w:before="320"/>
      </w:pPr>
      <w:r>
        <w:rPr>
          <w:rFonts w:ascii="Arial" w:cs="Arial" w:eastAsia="Arial" w:hAnsi="Arial"/>
          <w:b/>
          <w:bCs/>
          <w:color w:val="2563EB"/>
          <w:sz w:val="28"/>
          <w:szCs w:val="28"/>
        </w:rPr>
        <w:t xml:space="preserve">2.3 Règle d'apprentissage Hebb bilatéral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dw_{kj}/dt = η_{kj} · (C_{kj} · w_max − w_{kj})        (HEBB)</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η_{kj} = lr · ρ · f(r_k) · f(r_j)</w:t>
            </w:r>
          </w:p>
          <w:p>
            <w:pPr>
              <w:spacing w:after="60"/>
            </w:pPr>
            <w:r>
              <w:rPr>
                <w:rFonts w:ascii="Courier New" w:cs="Courier New" w:eastAsia="Courier New" w:hAnsi="Courier New"/>
                <w:color w:val="1A1A2E"/>
                <w:sz w:val="21"/>
                <w:szCs w:val="21"/>
              </w:rPr>
              <w:t xml:space="preserve">f(r)   = max(0, (r − r_s) / (1 − r_s))^α   [f(1)=1, f(r_s)=0]</w:t>
            </w:r>
          </w:p>
          <w:p>
            <w:pPr>
              <w:spacing w:after="60"/>
            </w:pPr>
            <w:r>
              <w:rPr>
                <w:rFonts w:ascii="Courier New" w:cs="Courier New" w:eastAsia="Courier New" w:hAnsi="Courier New"/>
                <w:color w:val="1A1A2E"/>
                <w:sz w:val="21"/>
                <w:szCs w:val="21"/>
              </w:rPr>
              <w:t xml:space="preserve">C_{kj} = (x_k·x_j + y_k·y_j) / (r_k · r_j)  [cos(Δφ_{kj})]</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Propriété clé : η_{kj} = 0  si  r_k ≤ r_s  OU  r_j ≤ r_s</w:t>
            </w:r>
          </w:p>
          <w:p>
            <w:pPr>
              <w:spacing w:after="60"/>
            </w:pPr>
            <w:r>
              <w:rPr>
                <w:rFonts w:ascii="Courier New" w:cs="Courier New" w:eastAsia="Courier New" w:hAnsi="Courier New"/>
                <w:color w:val="1A1A2E"/>
                <w:sz w:val="21"/>
                <w:szCs w:val="21"/>
              </w:rPr>
              <w:t xml:space="preserve">→ Seules les paires d'oscillateurs simultanément actifs apprennent</w:t>
            </w:r>
          </w:p>
          <w:p>
            <w:pPr>
              <w:spacing w:after="60"/>
            </w:pPr>
            <w:r>
              <w:rPr>
                <w:rFonts w:ascii="Courier New" w:cs="Courier New" w:eastAsia="Courier New" w:hAnsi="Courier New"/>
                <w:color w:val="1A1A2E"/>
                <w:sz w:val="21"/>
                <w:szCs w:val="21"/>
              </w:rPr>
              <w:t xml:space="preserve">→ Protection naturelle des poids des motifs déjà appris</w:t>
            </w:r>
          </w:p>
        </w:tc>
      </w:tr>
    </w:tbl>
    <w:p>
      <w:pPr>
        <w:pStyle w:val="Heading2"/>
        <w:pBdr>
          <w:bottom w:val="single" w:color="2563EB" w:sz="2"/>
        </w:pBdr>
        <w:spacing w:after="120" w:before="320"/>
      </w:pPr>
      <w:r>
        <w:rPr>
          <w:rFonts w:ascii="Arial" w:cs="Arial" w:eastAsia="Arial" w:hAnsi="Arial"/>
          <w:b/>
          <w:bCs/>
          <w:color w:val="2563EB"/>
          <w:sz w:val="28"/>
          <w:szCs w:val="28"/>
        </w:rPr>
        <w:t xml:space="preserve">2.4 Encodage bipolaire (impression) et fragment unipolaire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IMPRESSION — encodage bipolaire de la grille entière :</w:t>
            </w:r>
          </w:p>
          <w:p>
            <w:pPr>
              <w:spacing w:after="60"/>
            </w:pPr>
            <w:r>
              <w:rPr>
                <w:rFonts w:ascii="Courier New" w:cs="Courier New" w:eastAsia="Courier New" w:hAnsi="Courier New"/>
                <w:color w:val="1A1A2E"/>
                <w:sz w:val="21"/>
                <w:szCs w:val="21"/>
              </w:rPr>
              <w:t xml:space="preserve">  x_k(t₀) = +s          si k ∈ motif P    (pixels actifs)</w:t>
            </w:r>
          </w:p>
          <w:p>
            <w:pPr>
              <w:spacing w:after="60"/>
            </w:pPr>
            <w:r>
              <w:rPr>
                <w:rFonts w:ascii="Courier New" w:cs="Courier New" w:eastAsia="Courier New" w:hAnsi="Courier New"/>
                <w:color w:val="1A1A2E"/>
                <w:sz w:val="21"/>
                <w:szCs w:val="21"/>
              </w:rPr>
              <w:t xml:space="preserve">  x_k(t₀) = −s · fond   si k ∉ motif P    (fond, fond=0.6)</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ÉVOCATION — fragment unipolaire :</w:t>
            </w:r>
          </w:p>
          <w:p>
            <w:pPr>
              <w:spacing w:after="60"/>
            </w:pPr>
            <w:r>
              <w:rPr>
                <w:rFonts w:ascii="Courier New" w:cs="Courier New" w:eastAsia="Courier New" w:hAnsi="Courier New"/>
                <w:color w:val="1A1A2E"/>
                <w:sz w:val="21"/>
                <w:szCs w:val="21"/>
              </w:rPr>
              <w:t xml:space="preserve">  x_k(t₀) = IMP_REF=1.0  si k ∈ sous-ensemble aléatoire du motif</w:t>
            </w:r>
          </w:p>
          <w:p>
            <w:pPr>
              <w:spacing w:after="60"/>
            </w:pPr>
            <w:r>
              <w:rPr>
                <w:rFonts w:ascii="Courier New" w:cs="Courier New" w:eastAsia="Courier New" w:hAnsi="Courier New"/>
                <w:color w:val="1A1A2E"/>
                <w:sz w:val="21"/>
                <w:szCs w:val="21"/>
              </w:rPr>
              <w:t xml:space="preserve">  x_k(t₀) = 0             sinon (fond reste silencieux)</w:t>
            </w:r>
          </w:p>
        </w:tc>
      </w:tr>
    </w:tbl>
    <w:p>
      <w:pPr>
        <w:pStyle w:val="Heading2"/>
        <w:pBdr>
          <w:bottom w:val="single" w:color="2563EB" w:sz="2"/>
        </w:pBdr>
        <w:spacing w:after="120" w:before="320"/>
      </w:pPr>
      <w:r>
        <w:rPr>
          <w:rFonts w:ascii="Arial" w:cs="Arial" w:eastAsia="Arial" w:hAnsi="Arial"/>
          <w:b/>
          <w:bCs/>
          <w:color w:val="2563EB"/>
          <w:sz w:val="28"/>
          <w:szCs w:val="28"/>
        </w:rPr>
        <w:t xml:space="preserve">2.5 Tableau des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3200"/>
        <w:gridCol w:w="3426"/>
      </w:tblGrid>
      <w:tr>
        <w:trPr>
          <w:tblHeader/>
        </w:trPr>
        <w:tc>
          <w:tcPr>
            <w:tcW w:type="dxa" w:w="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Symbole</w:t>
            </w:r>
          </w:p>
        </w:tc>
        <w:tc>
          <w:tcPr>
            <w:tcW w:type="dxa" w:w="7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Défaut</w:t>
            </w:r>
          </w:p>
        </w:tc>
        <w:tc>
          <w:tcPr>
            <w:tcW w:type="dxa" w:w="9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Plage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Effet si ↑</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λ</w:t>
            </w:r>
          </w:p>
        </w:tc>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2.0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[1.5, 3.0]</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Gain sigmoïde — pente tanh à l'origine</w:t>
            </w:r>
          </w:p>
        </w:tc>
        <w:tc>
          <w:tcPr>
            <w:tcW w:type="dxa" w:w="3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Fréquence plus haute, nonlinéarité plus forte</w:t>
            </w:r>
          </w:p>
        </w:tc>
      </w:tr>
      <w:tr>
        <w:tc>
          <w:tcPr>
            <w:tcW w:type="dxa" w:w="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ε</w:t>
            </w:r>
          </w:p>
        </w:tc>
        <w:tc>
          <w:tcPr>
            <w:tcW w:type="dxa" w:w="7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0.03</w:t>
            </w:r>
          </w:p>
        </w:tc>
        <w:tc>
          <w:tcPr>
            <w:tcW w:type="dxa" w:w="9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[0.01, 0.15]</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Distance bifurcation au repos : λτ = 1−ε</w:t>
            </w:r>
          </w:p>
        </w:tc>
        <w:tc>
          <w:tcPr>
            <w:tcW w:type="dxa" w:w="3426"/>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Foyer plus fort → extinction rapide, propagation difficile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γ</w:t>
            </w:r>
          </w:p>
        </w:tc>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10.0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 30]</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Gain de bifurcation par input</w:t>
            </w:r>
          </w:p>
        </w:tc>
        <w:tc>
          <w:tcPr>
            <w:tcW w:type="dxa" w:w="3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Évocation plus longue et plus forte. γ=0 = pas d'évocation</w:t>
            </w:r>
          </w:p>
        </w:tc>
      </w:tr>
      <w:tr>
        <w:tc>
          <w:tcPr>
            <w:tcW w:type="dxa" w:w="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lr (η_max)</w:t>
            </w:r>
          </w:p>
        </w:tc>
        <w:tc>
          <w:tcPr>
            <w:tcW w:type="dxa" w:w="7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8.0</w:t>
            </w:r>
          </w:p>
        </w:tc>
        <w:tc>
          <w:tcPr>
            <w:tcW w:type="dxa" w:w="9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[1, 20]</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Taux d'apprentissage maximal</w:t>
            </w:r>
          </w:p>
        </w:tc>
        <w:tc>
          <w:tcPr>
            <w:tcW w:type="dxa" w:w="3426"/>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Poids forts en une impression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ρ</w:t>
            </w:r>
          </w:p>
        </w:tc>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 1]</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Run=lecture (ρ=0) / consolidation (ρ&gt;0)</w:t>
            </w:r>
          </w:p>
        </w:tc>
        <w:tc>
          <w:tcPr>
            <w:tcW w:type="dxa" w:w="3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Renforcement pendant évocation (risque drift)</w:t>
            </w:r>
          </w:p>
        </w:tc>
      </w:tr>
      <w:tr>
        <w:tc>
          <w:tcPr>
            <w:tcW w:type="dxa" w:w="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α</w:t>
            </w:r>
          </w:p>
        </w:tc>
        <w:tc>
          <w:tcPr>
            <w:tcW w:type="dxa" w:w="7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2.5</w:t>
            </w:r>
          </w:p>
        </w:tc>
        <w:tc>
          <w:tcPr>
            <w:tcW w:type="dxa" w:w="9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[1.5, 5]</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Exposant η : sélectivité apprentissage</w:t>
            </w:r>
          </w:p>
        </w:tc>
        <w:tc>
          <w:tcPr>
            <w:tcW w:type="dxa" w:w="3426"/>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Seules impressions fortes apprennent</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w_max</w:t>
            </w:r>
          </w:p>
        </w:tc>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0.8</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[0.3, 2.0]</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Saturation poids synaptiques</w:t>
            </w:r>
          </w:p>
        </w:tc>
        <w:tc>
          <w:tcPr>
            <w:tcW w:type="dxa" w:w="3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Couplage plus fort → propagation robuste</w:t>
            </w:r>
          </w:p>
        </w:tc>
      </w:tr>
      <w:tr>
        <w:tc>
          <w:tcPr>
            <w:tcW w:type="dxa" w:w="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r_s</w:t>
            </w:r>
          </w:p>
        </w:tc>
        <w:tc>
          <w:tcPr>
            <w:tcW w:type="dxa" w:w="7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0.03</w:t>
            </w:r>
          </w:p>
        </w:tc>
        <w:tc>
          <w:tcPr>
            <w:tcW w:type="dxa" w:w="9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[0.01, 0.1]</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Seuil activité minimal pour η &gt; 0</w:t>
            </w:r>
          </w:p>
        </w:tc>
        <w:tc>
          <w:tcPr>
            <w:tcW w:type="dxa" w:w="3426"/>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Zone silence élargie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fond</w:t>
            </w:r>
          </w:p>
        </w:tc>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0.6</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 1]</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Ratio fond/motif impression bipolaire</w:t>
            </w:r>
          </w:p>
        </w:tc>
        <w:tc>
          <w:tcPr>
            <w:tcW w:type="dxa" w:w="3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Inhibition inter-motifs plus forte</w:t>
            </w:r>
          </w:p>
        </w:tc>
      </w:tr>
      <w:tr>
        <w:tc>
          <w:tcPr>
            <w:tcW w:type="dxa" w:w="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N</w:t>
            </w:r>
          </w:p>
        </w:tc>
        <w:tc>
          <w:tcPr>
            <w:tcW w:type="dxa" w:w="7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14</w:t>
            </w:r>
          </w:p>
        </w:tc>
        <w:tc>
          <w:tcPr>
            <w:tcW w:type="dxa" w:w="9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[6, 18]</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Taille grille N×N oscillateurs</w:t>
            </w:r>
          </w:p>
        </w:tc>
        <w:tc>
          <w:tcPr>
            <w:tcW w:type="dxa" w:w="3426"/>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Capacité ≈ 0.14·N² motifs</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dt</w:t>
            </w:r>
          </w:p>
        </w:tc>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0.01</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[0.005, 0.02]</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Pas d'intégration Euler</w:t>
            </w:r>
          </w:p>
        </w:tc>
        <w:tc>
          <w:tcPr>
            <w:tcW w:type="dxa" w:w="3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Moins précis mais plus rapide</w:t>
            </w:r>
          </w:p>
        </w:tc>
      </w:tr>
    </w:tbl>
    <w:p>
      <w:r>
        <w:br w:type="page"/>
      </w:r>
    </w:p>
    <w:p>
      <w:pPr>
        <w:pStyle w:val="Heading1"/>
        <w:spacing w:after="160" w:before="400"/>
      </w:pPr>
      <w:r>
        <w:rPr>
          <w:rFonts w:ascii="Arial" w:cs="Arial" w:eastAsia="Arial" w:hAnsi="Arial"/>
          <w:b/>
          <w:bCs/>
          <w:color w:val="1E3A5F"/>
          <w:sz w:val="34"/>
          <w:szCs w:val="34"/>
        </w:rPr>
        <w:t xml:space="preserve">3. Journal de développement — Expériences et itérations</w:t>
      </w:r>
    </w:p>
    <w:p>
      <w:pPr>
        <w:pStyle w:val="Heading2"/>
        <w:pBdr>
          <w:bottom w:val="single" w:color="2563EB" w:sz="2"/>
        </w:pBdr>
        <w:spacing w:after="120" w:before="320"/>
      </w:pPr>
      <w:r>
        <w:rPr>
          <w:rFonts w:ascii="Arial" w:cs="Arial" w:eastAsia="Arial" w:hAnsi="Arial"/>
          <w:b/>
          <w:bCs/>
          <w:color w:val="2563EB"/>
          <w:sz w:val="28"/>
          <w:szCs w:val="28"/>
        </w:rPr>
        <w:t xml:space="preserve">3.1 Chronologie des hypothèses testées</w:t>
      </w:r>
    </w:p>
    <w:p>
      <w:pPr>
        <w:spacing w:after="120"/>
      </w:pPr>
      <w:r>
        <w:rPr>
          <w:rFonts w:ascii="Arial" w:cs="Arial" w:eastAsia="Arial" w:hAnsi="Arial"/>
          <w:b/>
          <w:bCs/>
          <w:sz w:val="22"/>
          <w:szCs w:val="22"/>
        </w:rPr>
        <w:t xml:space="preserve">Approche : </w:t>
      </w:r>
      <w:r>
        <w:rPr>
          <w:rFonts w:ascii="Arial" w:cs="Arial" w:eastAsia="Arial" w:hAnsi="Arial"/>
          <w:sz w:val="22"/>
          <w:szCs w:val="22"/>
        </w:rPr>
        <w:t xml:space="preserve">développement en itérations courtes, chaque décision de design testée empiriquement via simulation Python (N=8, dt=0.01) avant implémentation JavaScript.</w:t>
      </w:r>
    </w:p>
    <w:p>
      <w:pPr>
        <w:pStyle w:val="Heading3"/>
        <w:spacing w:after="80" w:before="240"/>
      </w:pPr>
      <w:r>
        <w:rPr>
          <w:rFonts w:ascii="Arial" w:cs="Arial" w:eastAsia="Arial" w:hAnsi="Arial"/>
          <w:b/>
          <w:bCs/>
          <w:color w:val="7C3AED"/>
          <w:sz w:val="24"/>
          <w:szCs w:val="24"/>
        </w:rPr>
        <w:t xml:space="preserve">Expérience 1 — Couplage diffusif vs injectif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1200"/>
      </w:tblGrid>
      <w:tr>
        <w:trPr>
          <w:tblHeader/>
        </w:trPr>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Couplage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Diffusif : dxi += w·(xj−xi)·gate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Ne peut PAS déclencher un oscillateur au repos dans un foyer stable. La force de rappel -x/τ annule toute perturbation.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Abandonné</w:t>
            </w:r>
          </w:p>
        </w:tc>
      </w:tr>
      <w:tr>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Couplage</w:t>
            </w:r>
          </w:p>
        </w:tc>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Injectif : dxi += w·xj·gate</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Injection positive soutenue → peut déclencher la spirale. Mais diverge sans normalisation.</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Retenu avec /N²</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Couplage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Injectif /N² : dxi += w·xj·gate/N²</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Injection ≈ rappel WC → stable. N-to-N sans divergence.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Implémenté ✓</w:t>
            </w:r>
          </w:p>
        </w:tc>
      </w:tr>
    </w:tbl>
    <w:p>
      <w:pPr>
        <w:spacing w:after="120"/>
      </w:pPr>
    </w:p>
    <w:p>
      <w:pPr>
        <w:pStyle w:val="Heading3"/>
        <w:spacing w:after="80" w:before="240"/>
      </w:pPr>
      <w:r>
        <w:rPr>
          <w:rFonts w:ascii="Arial" w:cs="Arial" w:eastAsia="Arial" w:hAnsi="Arial"/>
          <w:b/>
          <w:bCs/>
          <w:color w:val="7C3AED"/>
          <w:sz w:val="24"/>
          <w:szCs w:val="24"/>
        </w:rPr>
        <w:t xml:space="preserve">Expérience 2 — Normalisation de η (apprentissage)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3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Problème détecté</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η ∝ r_global/r_max glissant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r_max augmente à chaque impression → η diminue progressivement → les 2e et 3e motifs apprennent de moins en moins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IMP_REF = 1.0 constant</w:t>
            </w:r>
          </w:p>
        </w:tc>
      </w:tr>
      <w:tr>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C_ij = (xi·xj)/(ri·rj + ε), ε=1e-4</w:t>
            </w:r>
          </w:p>
        </w:tc>
        <w:tc>
          <w:tcPr>
            <w:tcW w:type="dxa" w:w="3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À faibles amplitudes (r=0.05), C = 0.0025/(0.0025+0.0001) ≈ 0.96 — biais artificiel vers +1</w:t>
            </w:r>
          </w:p>
        </w:tc>
        <w:tc>
          <w:tcPr>
            <w:tcW w:type="dxa" w:w="3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C_ij = (xi·xj)/(ri·rj) exact, protection par fi·fj→0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η basé sur r_global</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Pendant impression M2, les oscillateurs de M1 sont au repos. Mais η_global &gt; 0 → dw/dt = −η·w → les poids M1 sont effacés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η_ij = lr·f(ri)·f(rj) bilatéral local</w:t>
            </w:r>
          </w:p>
        </w:tc>
      </w:tr>
    </w:tbl>
    <w:p>
      <w:pPr>
        <w:spacing w:after="120"/>
      </w:pPr>
    </w:p>
    <w:p>
      <w:pPr>
        <w:pStyle w:val="Heading3"/>
        <w:spacing w:after="80" w:before="240"/>
      </w:pPr>
      <w:r>
        <w:rPr>
          <w:rFonts w:ascii="Arial" w:cs="Arial" w:eastAsia="Arial" w:hAnsi="Arial"/>
          <w:b/>
          <w:bCs/>
          <w:color w:val="7C3AED"/>
          <w:sz w:val="24"/>
          <w:szCs w:val="24"/>
        </w:rPr>
        <w:t xml:space="preserve">Expérience 3 — Fragment bipolaire vs unipolaire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4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Analyse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Fragment bipolaire (fond=−0.6 comme impression)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 Pas d'extinction : Rg stagne à 0.04 indéfiniment</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Le fond (178 oscillateurs) oscille via w(F,F)&gt;0 → point fixe non-nul. Même avec ρ=0, le couplage maintient le fond actif.</w:t>
            </w:r>
          </w:p>
        </w:tc>
      </w:tr>
      <w:tr>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Fragment unipolaire (fond=0)</w:t>
            </w:r>
          </w:p>
        </w:tc>
        <w:tc>
          <w:tcPr>
            <w:tcW w:type="dxa" w:w="1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 Extinction naturelle en ~3-10s</w:t>
            </w:r>
          </w:p>
        </w:tc>
        <w:tc>
          <w:tcPr>
            <w:tcW w:type="dxa" w:w="4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Sans fond actif, seul le motif reçoit de l'injection. Quand input diminue, λτ &lt; 1 → foyer stable → silence garanti.</w:t>
            </w:r>
          </w:p>
        </w:tc>
      </w:tr>
    </w:tbl>
    <w:p>
      <w:pPr>
        <w:spacing w:after="120"/>
      </w:pPr>
    </w:p>
    <w:p>
      <w:pPr>
        <w:pStyle w:val="Heading3"/>
        <w:spacing w:after="80" w:before="240"/>
      </w:pPr>
      <w:r>
        <w:rPr>
          <w:rFonts w:ascii="Arial" w:cs="Arial" w:eastAsia="Arial" w:hAnsi="Arial"/>
          <w:b/>
          <w:bCs/>
          <w:color w:val="7C3AED"/>
          <w:sz w:val="24"/>
          <w:szCs w:val="24"/>
        </w:rPr>
        <w:t xml:space="preserve">Expérience 4 — ρ=0 vs ρ=1 pendant le run</w:t>
      </w:r>
    </w:p>
    <w:p>
      <w:pPr>
        <w:spacing w:after="120"/>
      </w:pPr>
      <w:r>
        <w:rPr>
          <w:rFonts w:ascii="Arial" w:cs="Arial" w:eastAsia="Arial" w:hAnsi="Arial"/>
          <w:b/>
          <w:bCs/>
          <w:sz w:val="22"/>
          <w:szCs w:val="22"/>
        </w:rPr>
        <w:t xml:space="preserve">Observation : </w:t>
      </w:r>
      <w:r>
        <w:rPr>
          <w:rFonts w:ascii="Arial" w:cs="Arial" w:eastAsia="Arial" w:hAnsi="Arial"/>
          <w:sz w:val="22"/>
          <w:szCs w:val="22"/>
        </w:rPr>
        <w:t xml:space="preserve">avec ρ=1 (défaut initial), les poids w(H,H) continuaient à augmenter pendant l'évocation (Hebb renforce ce qu'il est en train de lire). Résultat : boucle runaway lente → le système ne s'éteignait jamais (Rg montait progressivement de 0.04 à 0.85 en 30s).</w:t>
      </w:r>
    </w:p>
    <w:p>
      <w:pPr>
        <w:spacing w:after="120"/>
      </w:pPr>
      <w:r>
        <w:rPr>
          <w:rFonts w:ascii="Arial" w:cs="Arial" w:eastAsia="Arial" w:hAnsi="Arial"/>
          <w:b/>
          <w:bCs/>
          <w:sz w:val="22"/>
          <w:szCs w:val="22"/>
        </w:rPr>
        <w:t xml:space="preserve">Correction : </w:t>
      </w:r>
      <w:r>
        <w:rPr>
          <w:rFonts w:ascii="Arial" w:cs="Arial" w:eastAsia="Arial" w:hAnsi="Arial"/>
          <w:sz w:val="22"/>
          <w:szCs w:val="22"/>
        </w:rPr>
        <w:t xml:space="preserve">ρ=0 par défaut. Le run est lecture pure. L'impression force ρ=1 via override local dans doImprintOffline(). Le slider ρ permet la consolidation volontaire.</w:t>
      </w:r>
    </w:p>
    <w:p>
      <w:pPr>
        <w:spacing w:after="120"/>
      </w:pPr>
    </w:p>
    <w:p>
      <w:pPr>
        <w:pStyle w:val="Heading3"/>
        <w:spacing w:after="80" w:before="240"/>
      </w:pPr>
      <w:r>
        <w:rPr>
          <w:rFonts w:ascii="Arial" w:cs="Arial" w:eastAsia="Arial" w:hAnsi="Arial"/>
          <w:b/>
          <w:bCs/>
          <w:color w:val="7C3AED"/>
          <w:sz w:val="24"/>
          <w:szCs w:val="24"/>
        </w:rPr>
        <w:t xml:space="preserve">Expérience 5 — Hétérogénéité σ_λ vs réseau homogène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40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Avantage</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Inconvénient</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σ_λ = 0.04 (hétérogène)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Supercritiques amplifient propagation. Désynchro naturelle.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Comportement non-reproductible (random seed dépendant). Complexité inutile.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Abandonné</w:t>
            </w:r>
          </w:p>
        </w:tc>
      </w:tr>
      <w:tr>
        <w:tc>
          <w:tcPr>
            <w:tcW w:type="dxa" w:w="1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σ_λ = 0 (homogène) + γ</w:t>
            </w:r>
          </w:p>
        </w:tc>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Comportement déterministe. γ contrôle explicitement la bifurcation.</w:t>
            </w:r>
          </w:p>
        </w:tc>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Aucun — γ remplace σ_λ avec plus de contrôle.</w:t>
            </w:r>
          </w:p>
        </w:tc>
        <w:tc>
          <w:tcPr>
            <w:tcW w:type="dxa" w:w="1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Retenu ✓</w:t>
            </w:r>
          </w:p>
        </w:tc>
      </w:tr>
    </w:tbl>
    <w:p>
      <w:pPr>
        <w:spacing w:after="120"/>
      </w:pPr>
    </w:p>
    <w:p>
      <w:pPr>
        <w:pStyle w:val="Heading3"/>
        <w:spacing w:after="80" w:before="240"/>
      </w:pPr>
      <w:r>
        <w:rPr>
          <w:rFonts w:ascii="Arial" w:cs="Arial" w:eastAsia="Arial" w:hAnsi="Arial"/>
          <w:b/>
          <w:bCs/>
          <w:color w:val="7C3AED"/>
          <w:sz w:val="24"/>
          <w:szCs w:val="24"/>
        </w:rPr>
        <w:t xml:space="preserve">Expérience 6 — Voie C (bascule globale) vs bifurcation auto-induite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50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Approche</w:t>
            </w:r>
          </w:p>
        </w:tc>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1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Voie C — bascule globale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evocPhase='run' : ε_evoc &lt; 0 (tout en cycle). evocPhase='decay' : g décroît exponentiellement.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Contrôle exogène : qui décide du passage ? Perte d'émergence pure. ChatGPT et auteur ont identifié ce problème.</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 Abandonné</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Bifurcation auto-induite γ</w:t>
            </w:r>
          </w:p>
        </w:tc>
        <w:tc>
          <w:tcPr>
            <w:tcW w:type="dxa" w:w="2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τ_k = (1−ε + γ·input_k)/λ. Une seule équation. Pas de scheduler.</w:t>
            </w:r>
          </w:p>
        </w:tc>
        <w:tc>
          <w:tcPr>
            <w:tcW w:type="dxa" w:w="2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Peak_H ≈ 0.37 (propagation partielle). Système non finalisé.</w:t>
            </w:r>
          </w:p>
        </w:tc>
        <w:tc>
          <w:tcPr>
            <w:tcW w:type="dxa" w:w="1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 Retenu — en cours de calibration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État actuel du système</w:t>
            </w:r>
          </w:p>
          <w:p>
            <w:pPr>
              <w:spacing w:after="0"/>
            </w:pPr>
            <w:r>
              <w:rPr>
                <w:rFonts w:ascii="Arial" w:cs="Arial" w:eastAsia="Arial" w:hAnsi="Arial"/>
                <w:color w:val="1A1A2E"/>
                <w:sz w:val="21"/>
                <w:szCs w:val="21"/>
              </w:rPr>
              <w:t xml:space="preserve">WC-Memory v7 est un travail en cours (work in progress). Le mécanisme de désynchronisation fonctionne bien. L'évocation produit une propagation partielle visible (F1 ≈ 0.4-0.6) mais la reconstruction complète du motif (F1 → 1.0) n'est pas encore atteinte systématiquement. Les motifs 1 et 2 sont moins bien évoqués que le motif 3 — probablement un problème de calibration de γ et de lr en fonction du nombre de motifs.</w:t>
            </w:r>
          </w:p>
        </w:tc>
      </w:tr>
    </w:tbl>
    <w:p>
      <w:pPr>
        <w:pStyle w:val="Heading2"/>
        <w:pBdr>
          <w:bottom w:val="single" w:color="2563EB" w:sz="2"/>
        </w:pBdr>
        <w:spacing w:after="120" w:before="320"/>
      </w:pPr>
      <w:r>
        <w:rPr>
          <w:rFonts w:ascii="Arial" w:cs="Arial" w:eastAsia="Arial" w:hAnsi="Arial"/>
          <w:b/>
          <w:bCs/>
          <w:color w:val="2563EB"/>
          <w:sz w:val="28"/>
          <w:szCs w:val="28"/>
        </w:rPr>
        <w:t xml:space="preserve">3.2 Bugs critiques corrigés</w:t>
      </w:r>
    </w:p>
    <w:p>
      <w:pPr>
        <w:pStyle w:val="ListParagraph"/>
        <w:numPr>
          <w:ilvl w:val="0"/>
          <w:numId w:val="3"/>
        </w:numPr>
        <w:spacing w:after="100"/>
      </w:pPr>
      <w:r>
        <w:rPr>
          <w:rFonts w:ascii="Arial" w:cs="Arial" w:eastAsia="Arial" w:hAnsi="Arial"/>
          <w:b/>
          <w:bCs/>
          <w:sz w:val="22"/>
          <w:szCs w:val="22"/>
        </w:rPr>
        <w:t xml:space="preserve">Divergence N-to-N sans normalisation : </w:t>
      </w:r>
      <w:r>
        <w:rPr>
          <w:rFonts w:ascii="Arial" w:cs="Arial" w:eastAsia="Arial" w:hAnsi="Arial"/>
          <w:sz w:val="22"/>
          <w:szCs w:val="22"/>
        </w:rPr>
        <w:t xml:space="preserve">avec N=14, injection totale = 195 × 0.67 × 0.5 ≈ 65 &gt;&gt; rappel WC ≈ 0.4. Corrigé : /N².</w:t>
      </w:r>
    </w:p>
    <w:p>
      <w:pPr>
        <w:pStyle w:val="ListParagraph"/>
        <w:numPr>
          <w:ilvl w:val="0"/>
          <w:numId w:val="3"/>
        </w:numPr>
        <w:spacing w:after="100"/>
      </w:pPr>
      <w:r>
        <w:rPr>
          <w:rFonts w:ascii="Arial" w:cs="Arial" w:eastAsia="Arial" w:hAnsi="Arial"/>
          <w:b/>
          <w:bCs/>
          <w:sz w:val="22"/>
          <w:szCs w:val="22"/>
        </w:rPr>
        <w:t xml:space="preserve">C_ij avec epsilon artificiel : </w:t>
      </w:r>
      <w:r>
        <w:rPr>
          <w:rFonts w:ascii="Arial" w:cs="Arial" w:eastAsia="Arial" w:hAnsi="Arial"/>
          <w:sz w:val="22"/>
          <w:szCs w:val="22"/>
        </w:rPr>
        <w:t xml:space="preserve">ε=1e-4 donnait C≈0.96 pour des amplitudes très faibles. Corrigé : C exact, protection par fi·fj.</w:t>
      </w:r>
    </w:p>
    <w:p>
      <w:pPr>
        <w:pStyle w:val="ListParagraph"/>
        <w:numPr>
          <w:ilvl w:val="0"/>
          <w:numId w:val="3"/>
        </w:numPr>
        <w:spacing w:after="100"/>
      </w:pPr>
      <w:r>
        <w:rPr>
          <w:rFonts w:ascii="Arial" w:cs="Arial" w:eastAsia="Arial" w:hAnsi="Arial"/>
          <w:b/>
          <w:bCs/>
          <w:sz w:val="22"/>
          <w:szCs w:val="22"/>
        </w:rPr>
        <w:t xml:space="preserve">rMax glissant : </w:t>
      </w:r>
      <w:r>
        <w:rPr>
          <w:rFonts w:ascii="Arial" w:cs="Arial" w:eastAsia="Arial" w:hAnsi="Arial"/>
          <w:sz w:val="22"/>
          <w:szCs w:val="22"/>
        </w:rPr>
        <w:t xml:space="preserve">η décroissait après chaque impression car rMax augmentait. Corrigé : IMP_REF=1.0 constant.</w:t>
      </w:r>
    </w:p>
    <w:p>
      <w:pPr>
        <w:pStyle w:val="ListParagraph"/>
        <w:numPr>
          <w:ilvl w:val="0"/>
          <w:numId w:val="3"/>
        </w:numPr>
        <w:spacing w:after="100"/>
      </w:pPr>
      <w:r>
        <w:rPr>
          <w:rFonts w:ascii="Arial" w:cs="Arial" w:eastAsia="Arial" w:hAnsi="Arial"/>
          <w:b/>
          <w:bCs/>
          <w:sz w:val="22"/>
          <w:szCs w:val="22"/>
        </w:rPr>
        <w:t xml:space="preserve">Fragment bipolaire → point fixe : </w:t>
      </w:r>
      <w:r>
        <w:rPr>
          <w:rFonts w:ascii="Arial" w:cs="Arial" w:eastAsia="Arial" w:hAnsi="Arial"/>
          <w:sz w:val="22"/>
          <w:szCs w:val="22"/>
        </w:rPr>
        <w:t xml:space="preserve">fond=-0.6 maintient le réseau actif indéfiniment. Corrigé : fragment unipolaire.</w:t>
      </w:r>
    </w:p>
    <w:p>
      <w:pPr>
        <w:pStyle w:val="ListParagraph"/>
        <w:numPr>
          <w:ilvl w:val="0"/>
          <w:numId w:val="3"/>
        </w:numPr>
        <w:spacing w:after="100"/>
      </w:pPr>
      <w:r>
        <w:rPr>
          <w:rFonts w:ascii="Arial" w:cs="Arial" w:eastAsia="Arial" w:hAnsi="Arial"/>
          <w:b/>
          <w:bCs/>
          <w:sz w:val="22"/>
          <w:szCs w:val="22"/>
        </w:rPr>
        <w:t xml:space="preserve">ρ=1 pendant run → boucle runaway Hebb : </w:t>
      </w:r>
      <w:r>
        <w:rPr>
          <w:rFonts w:ascii="Arial" w:cs="Arial" w:eastAsia="Arial" w:hAnsi="Arial"/>
          <w:sz w:val="22"/>
          <w:szCs w:val="22"/>
        </w:rPr>
        <w:t xml:space="preserve">les poids montent pendant l'évocation, empêchant l'extinction. Corrigé : ρ=0 par défaut.</w:t>
      </w:r>
    </w:p>
    <w:p>
      <w:pPr>
        <w:pStyle w:val="ListParagraph"/>
        <w:numPr>
          <w:ilvl w:val="0"/>
          <w:numId w:val="3"/>
        </w:numPr>
        <w:spacing w:after="100"/>
      </w:pPr>
      <w:r>
        <w:rPr>
          <w:rFonts w:ascii="Arial" w:cs="Arial" w:eastAsia="Arial" w:hAnsi="Arial"/>
          <w:b/>
          <w:bCs/>
          <w:sz w:val="22"/>
          <w:szCs w:val="22"/>
        </w:rPr>
        <w:t xml:space="preserve">Bouton impression bloqué si running : </w:t>
      </w:r>
      <w:r>
        <w:rPr>
          <w:rFonts w:ascii="Arial" w:cs="Arial" w:eastAsia="Arial" w:hAnsi="Arial"/>
          <w:sz w:val="22"/>
          <w:szCs w:val="22"/>
        </w:rPr>
        <w:t xml:space="preserve">if(!state||running) return — cercle vicieux. Corrigé : pause/reprise RAF automatique.</w:t>
      </w:r>
    </w:p>
    <w:p>
      <w:r>
        <w:br w:type="page"/>
      </w:r>
    </w:p>
    <w:p>
      <w:pPr>
        <w:pStyle w:val="Heading1"/>
        <w:spacing w:after="160" w:before="400"/>
      </w:pPr>
      <w:r>
        <w:rPr>
          <w:rFonts w:ascii="Arial" w:cs="Arial" w:eastAsia="Arial" w:hAnsi="Arial"/>
          <w:b/>
          <w:bCs/>
          <w:color w:val="1E3A5F"/>
          <w:sz w:val="34"/>
          <w:szCs w:val="34"/>
        </w:rPr>
        <w:t xml:space="preserve">4. Correspondances biologiques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Mécanisme v7</w:t>
            </w:r>
          </w:p>
        </w:tc>
        <w:tc>
          <w:tcPr>
            <w:tcW w:type="dxa" w:w="43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Correspondance biologique</w:t>
            </w:r>
          </w:p>
        </w:tc>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Foyer stable (λτ &lt; 1)</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État Down cortical — repos entre bouffées d'activité. Hyperpolarisation modérée. Neurones disponibles mais silencieux.</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Steriade et al. (2001)</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Cycle limite (λτ &gt; 1)</w:t>
            </w:r>
          </w:p>
        </w:tc>
        <w:tc>
          <w:tcPr>
            <w:tcW w:type="dxa" w:w="43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État Up cortical — activité soutenue associée à l'accès conscient. "Ignition" de la Global Workspace Theory.</w:t>
            </w:r>
          </w:p>
        </w:tc>
        <w:tc>
          <w:tcPr>
            <w:tcW w:type="dxa" w:w="2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Dehaene &amp; Changeux (2011)</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Bifurcation auto-induite γ</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ADP (After-Depolarization Potential) — courant entrant lent (ICAN) déclenché par l'input synaptique qui réduit la conductance de fuite.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Bhattacharjee &amp; Bhatt (2005)</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Extinction naturelle</w:t>
            </w:r>
          </w:p>
        </w:tc>
        <w:tc>
          <w:tcPr>
            <w:tcW w:type="dxa" w:w="43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Dépression synaptique à court terme (STP) — affaiblissement progressif lors d'activité soutenue → retour au repos.</w:t>
            </w:r>
          </w:p>
        </w:tc>
        <w:tc>
          <w:tcPr>
            <w:tcW w:type="dxa" w:w="2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Tsodyks &amp; Markram (1997)</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Hebb bilatéral f(ri)·f(rj)</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LTP (Long-Term Potentiation) homosynaptique — renforcement synaptique requiert co-activation pré ET post-synaptique.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Bliss &amp; Lømo (1973) ; Hebb (1949)</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Encodage bipolaire fond=−0.6</w:t>
            </w:r>
          </w:p>
        </w:tc>
        <w:tc>
          <w:tcPr>
            <w:tcW w:type="dxa" w:w="43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Inhibition latérale par interneurones GABAergiques dans les colonnes corticales — les colonnes non-actives sont inhibées.</w:t>
            </w:r>
          </w:p>
        </w:tc>
        <w:tc>
          <w:tcPr>
            <w:tcW w:type="dxa" w:w="2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Douglas &amp; Martin (2004)</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Synchronisation de phase C_ij=cos(Δφ)</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Binding par synchronie gamma (30-80 Hz) entre aires corticales — la percept unifiée émerge de la cohérence de phase.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Singer &amp; Gray (1989)</w:t>
            </w:r>
          </w:p>
        </w:tc>
      </w:tr>
    </w:tbl>
    <w:p>
      <w:r>
        <w:br w:type="page"/>
      </w:r>
    </w:p>
    <w:p>
      <w:pPr>
        <w:pStyle w:val="Heading1"/>
        <w:spacing w:after="160" w:before="400"/>
      </w:pPr>
      <w:r>
        <w:rPr>
          <w:rFonts w:ascii="Arial" w:cs="Arial" w:eastAsia="Arial" w:hAnsi="Arial"/>
          <w:b/>
          <w:bCs/>
          <w:color w:val="1E3A5F"/>
          <w:sz w:val="34"/>
          <w:szCs w:val="34"/>
        </w:rPr>
        <w:t xml:space="preserve">2b. Évolution du modèle : de v7 à v7+AHP</w:t>
      </w:r>
    </w:p>
    <w:p>
      <w:pPr>
        <w:spacing w:after="120"/>
      </w:pPr>
      <w:r>
        <w:rPr>
          <w:rFonts w:ascii="Arial" w:cs="Arial" w:eastAsia="Arial" w:hAnsi="Arial"/>
          <w:b/>
          <w:bCs/>
          <w:sz w:val="22"/>
          <w:szCs w:val="22"/>
        </w:rPr>
        <w:t xml:space="preserve">Contexte : </w:t>
      </w:r>
      <w:r>
        <w:rPr>
          <w:rFonts w:ascii="Arial" w:cs="Arial" w:eastAsia="Arial" w:hAnsi="Arial"/>
          <w:sz w:val="22"/>
          <w:szCs w:val="22"/>
        </w:rPr>
        <w:t xml:space="preserve">Le modèle v7 original a fait l'objet de tests systématiques intensifs (H×1, H×2, H×3, Croix×1, Croix×2) qui ont révélé une limite structurelle empêchant l'extinction propre et causant des divergences numériques. Ces tests ont conduit à deux modifications fondamentales : l'ajout du mécanisme AHP et la modification du seuil Hebb.</w:t>
      </w:r>
    </w:p>
    <w:p>
      <w:pPr>
        <w:pStyle w:val="Heading2"/>
        <w:pBdr>
          <w:bottom w:val="single" w:color="2563EB" w:sz="2"/>
        </w:pBdr>
        <w:spacing w:after="120" w:before="320"/>
      </w:pPr>
      <w:r>
        <w:rPr>
          <w:rFonts w:ascii="Arial" w:cs="Arial" w:eastAsia="Arial" w:hAnsi="Arial"/>
          <w:b/>
          <w:bCs/>
          <w:color w:val="2563EB"/>
          <w:sz w:val="28"/>
          <w:szCs w:val="28"/>
        </w:rPr>
        <w:t xml:space="preserve">Résultats des tests v7 original — causes de l'évolution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0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Symptôme observé</w:t>
            </w:r>
          </w:p>
        </w:tc>
        <w:tc>
          <w:tcPr>
            <w:tcW w:type="dxa" w:w="3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Cause identifiée</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Oscillation persistante après évocation</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w(F,F) &gt; 0 : fond s'auto-entretient via les poids inter-fond — point fixe non-nul impossible à quitter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Toutes configurations</w:t>
            </w:r>
          </w:p>
        </w:tc>
      </w:tr>
      <w:tr>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Divergence Rg → 785 983 avec 2 impressions</w:t>
            </w:r>
          </w:p>
        </w:tc>
        <w:tc>
          <w:tcPr>
            <w:tcW w:type="dxa" w:w="3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w_HH monte vers 0.80 → injection inter-motif ×1.3 → λτ → 1.82 → emballement numérique</w:t>
            </w:r>
          </w:p>
        </w:tc>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H×2, H×3</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Croix (N_P=27) diverge immédiatement</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N_P grand → injection physique /N ×1.93 vs barre → dxi explose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X×1 systématiquement</w:t>
            </w:r>
          </w:p>
        </w:tc>
      </w:tr>
      <w:tr>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Propagation échoue avec /N²</w:t>
            </w:r>
          </w:p>
        </w:tc>
        <w:tc>
          <w:tcPr>
            <w:tcW w:type="dxa" w:w="3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Vitesse montée non-fragmentés (0.023/pas) vs descente fragmentés (1.12/pas) → ratio 47× → propagation impossible</w:t>
            </w:r>
          </w:p>
        </w:tc>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Tous motifs avec /N²</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Limite fondamentale de v7 original</w:t>
            </w:r>
          </w:p>
          <w:p>
            <w:pPr>
              <w:spacing w:after="0"/>
            </w:pPr>
            <w:r>
              <w:rPr>
                <w:rFonts w:ascii="Arial" w:cs="Arial" w:eastAsia="Arial" w:hAnsi="Arial"/>
                <w:color w:val="1A1A2E"/>
                <w:sz w:val="21"/>
                <w:szCs w:val="21"/>
              </w:rPr>
              <w:t xml:space="preserve">La cause racine unique : w(F,F) &gt; 0 appris pendant l'impression bipolaire. Le fond (178 oscillateurs sur N=14) oscille à r=0.6 pendant l'impression, et f(r=0.6) &gt; 0 avec rs_hebb=0.03. Les oscillateurs du fond apprennent entre eux, créant un auto-entretien qui empêche toute extinction. Cette cause unique explique tous les symptômes.</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Mécanisme AHP (After-Hyperpolarization Potential)</w:t>
      </w:r>
    </w:p>
    <w:p>
      <w:pPr>
        <w:spacing w:after="120"/>
      </w:pPr>
      <w:r>
        <w:rPr>
          <w:rFonts w:ascii="Arial" w:cs="Arial" w:eastAsia="Arial" w:hAnsi="Arial"/>
          <w:b/>
          <w:bCs/>
          <w:sz w:val="22"/>
          <w:szCs w:val="22"/>
        </w:rPr>
        <w:t xml:space="preserve">Inspiration biologique : </w:t>
      </w:r>
      <w:r>
        <w:rPr>
          <w:rFonts w:ascii="Arial" w:cs="Arial" w:eastAsia="Arial" w:hAnsi="Arial"/>
          <w:sz w:val="22"/>
          <w:szCs w:val="22"/>
        </w:rPr>
        <w:t xml:space="preserve">le courant SK (Small-conductance Calcium-activated Potassium) interrompt les bouffées d'activité dans les neurones corticaux après une activité soutenue. L'AHP computationnel implémente ce mécanisme via une variable locale z_k.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dz_k/dt = δ_z · (r_k − z_k)                    (AHP-1)</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z_k suit l'amplitude r_k avec délai 1/δ_z</w:t>
            </w:r>
          </w:p>
          <w:p>
            <w:pPr>
              <w:spacing w:after="60"/>
            </w:pPr>
            <w:r>
              <w:rPr>
                <w:rFonts w:ascii="Courier New" w:cs="Courier New" w:eastAsia="Courier New" w:hAnsi="Courier New"/>
                <w:color w:val="1A1A2E"/>
                <w:sz w:val="21"/>
                <w:szCs w:val="21"/>
              </w:rPr>
              <w:t xml:space="preserve">Pendant activité : z_k monte progressivement</w:t>
            </w:r>
          </w:p>
          <w:p>
            <w:pPr>
              <w:spacing w:after="60"/>
            </w:pPr>
            <w:r>
              <w:rPr>
                <w:rFonts w:ascii="Courier New" w:cs="Courier New" w:eastAsia="Courier New" w:hAnsi="Courier New"/>
                <w:color w:val="1A1A2E"/>
                <w:sz w:val="21"/>
                <w:szCs w:val="21"/>
              </w:rPr>
              <w:t xml:space="preserve">Au repos : z_k redescend vers 0</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τ_k = max((1−ε + γ·sat(input_k) − α_z·z_k) / λ, τ_min)  (AHP-2)</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sat(inp) = gs · tanh(inp / gs)  [saturation douce — λτ_max = 1−ε+γ·gs]</w:t>
            </w:r>
          </w:p>
          <w:p>
            <w:pPr>
              <w:spacing w:after="60"/>
            </w:pPr>
            <w:r>
              <w:rPr>
                <w:rFonts w:ascii="Courier New" w:cs="Courier New" w:eastAsia="Courier New" w:hAnsi="Courier New"/>
                <w:color w:val="1A1A2E"/>
                <w:sz w:val="21"/>
                <w:szCs w:val="21"/>
              </w:rPr>
              <w:t xml:space="preserve">τ_min = 0.3 · (1−ε)/λ          [protège τ &gt; 0]</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Cycle d'extinction :</w:t>
            </w:r>
          </w:p>
          <w:p>
            <w:pPr>
              <w:spacing w:after="60"/>
            </w:pPr>
            <w:r>
              <w:rPr>
                <w:rFonts w:ascii="Courier New" w:cs="Courier New" w:eastAsia="Courier New" w:hAnsi="Courier New"/>
                <w:color w:val="1A1A2E"/>
                <w:sz w:val="21"/>
                <w:szCs w:val="21"/>
              </w:rPr>
              <w:t xml:space="preserve">  Activité → z_k monte → α_z·z_k augmente → τ_k diminue</w:t>
            </w:r>
          </w:p>
          <w:p>
            <w:pPr>
              <w:spacing w:after="60"/>
            </w:pPr>
            <w:r>
              <w:rPr>
                <w:rFonts w:ascii="Courier New" w:cs="Courier New" w:eastAsia="Courier New" w:hAnsi="Courier New"/>
                <w:color w:val="1A1A2E"/>
                <w:sz w:val="21"/>
                <w:szCs w:val="21"/>
              </w:rPr>
              <w:t xml:space="preserve">  τ_k &lt; (1−ε)/λ → λτ_k &lt; 1 → foyer stable → extinction naturelle</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Modification de la règle Hebb — seuil rs_hebb = fond</w:t>
      </w:r>
    </w:p>
    <w:p>
      <w:pPr>
        <w:spacing w:after="120"/>
      </w:pPr>
      <w:r>
        <w:rPr>
          <w:rFonts w:ascii="Arial" w:cs="Arial" w:eastAsia="Arial" w:hAnsi="Arial"/>
          <w:sz w:val="22"/>
          <w:szCs w:val="22"/>
        </w:rPr>
        <w:t xml:space="preserve">La correction ciblée du problème w(F,F) : utiliser fond (0.6) comme seuil de la fonction d'apprentissage au lieu de rs (0.03).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AVANT (v7) : f_hebb(r) = max(0, (r−rs)/(1−rs))^α   [rs=0.03]</w:t>
            </w:r>
          </w:p>
          <w:p>
            <w:pPr>
              <w:spacing w:after="60"/>
            </w:pPr>
            <w:r>
              <w:rPr>
                <w:rFonts w:ascii="Courier New" w:cs="Courier New" w:eastAsia="Courier New" w:hAnsi="Courier New"/>
                <w:color w:val="1A1A2E"/>
                <w:sz w:val="21"/>
                <w:szCs w:val="21"/>
              </w:rPr>
              <w:t xml:space="preserve">  f_hebb(fond=0.6) = (0.6−0.03)/0.97)^2.5 = 0.52 → w(F,F) appris ✗</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APRÈS (v7+AHP) : f_hebb(r) = max(0, (r−fond)/(1−fond))^α  [fond=0.6]</w:t>
            </w:r>
          </w:p>
          <w:p>
            <w:pPr>
              <w:spacing w:after="60"/>
            </w:pPr>
            <w:r>
              <w:rPr>
                <w:rFonts w:ascii="Courier New" w:cs="Courier New" w:eastAsia="Courier New" w:hAnsi="Courier New"/>
                <w:color w:val="1A1A2E"/>
                <w:sz w:val="21"/>
                <w:szCs w:val="21"/>
              </w:rPr>
              <w:t xml:space="preserve">  f_hebb(fond=0.6) = 0  →  w(F,F) = 0  garanti ✓</w:t>
            </w:r>
          </w:p>
          <w:p>
            <w:pPr>
              <w:spacing w:after="60"/>
            </w:pPr>
            <w:r>
              <w:rPr>
                <w:rFonts w:ascii="Courier New" w:cs="Courier New" w:eastAsia="Courier New" w:hAnsi="Courier New"/>
                <w:color w:val="1A1A2E"/>
                <w:sz w:val="21"/>
                <w:szCs w:val="21"/>
              </w:rPr>
              <w:t xml:space="preserve">  f_hebb(motif=1.0) = 1 →  w(H,H) → w_max  ✓</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Résultats de validation v7+AHP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w(H,H)</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w(F,F)</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ΔR_H</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Extinction</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H×1 impression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0.800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0.000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+0.228</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1.9s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H×2 impressions</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0.800</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0.000</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+0.228</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1.9s</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H×3 impressions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0.800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0.000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+0.228</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1.9s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V×1 impression</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0.800</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0.000</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+0.228</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1.9s</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Croix×1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0.800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0.000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+0.739</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3.6s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Croix×2</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0.800</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0.000</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+0.739</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3.6s</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w:t>
            </w:r>
          </w:p>
        </w:tc>
      </w:tr>
    </w:tbl>
    <w:p>
      <w:r>
        <w:br w:type="page"/>
      </w:r>
    </w:p>
    <w:p>
      <w:pPr>
        <w:pStyle w:val="Heading1"/>
        <w:spacing w:after="160" w:before="400"/>
      </w:pPr>
      <w:r>
        <w:rPr>
          <w:rFonts w:ascii="Arial" w:cs="Arial" w:eastAsia="Arial" w:hAnsi="Arial"/>
          <w:b/>
          <w:bCs/>
          <w:color w:val="1E3A5F"/>
          <w:sz w:val="34"/>
          <w:szCs w:val="34"/>
        </w:rPr>
        <w:t xml:space="preserve">5. Gap avec le modèle Ben Amor (thèse) et positionnement</w:t>
      </w:r>
    </w:p>
    <w:p>
      <w:pPr>
        <w:pStyle w:val="Heading2"/>
        <w:pBdr>
          <w:bottom w:val="single" w:color="2563EB" w:sz="2"/>
        </w:pBdr>
        <w:spacing w:after="120" w:before="320"/>
      </w:pPr>
      <w:r>
        <w:rPr>
          <w:rFonts w:ascii="Arial" w:cs="Arial" w:eastAsia="Arial" w:hAnsi="Arial"/>
          <w:b/>
          <w:bCs/>
          <w:color w:val="2563EB"/>
          <w:sz w:val="28"/>
          <w:szCs w:val="28"/>
        </w:rPr>
        <w:t xml:space="preserve">5.1 Comparaison directe thèse vs v7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Modèle Ben Amor (Thèse)</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WC-Memory v7</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Régime de base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Cycle limite permanent (λτ &gt; 1 toujours)</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Foyer stable (λτ &lt; 1) — silence par défaut</w:t>
            </w:r>
          </w:p>
        </w:tc>
      </w:tr>
      <w:tr>
        <w:tc>
          <w:tcPr>
            <w:tcW w:type="dxa" w:w="2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État de repos</w:t>
            </w:r>
          </w:p>
        </w:tc>
        <w:tc>
          <w:tcPr>
            <w:tcW w:type="dxa" w:w="3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Oscillations permanentes — pas de silence</w:t>
            </w:r>
          </w:p>
        </w:tc>
        <w:tc>
          <w:tcPr>
            <w:tcW w:type="dxa" w:w="3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Silence physiquement garanti à (0,0)</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Mécanisme évocation</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Synchronisation de fréquence (couplage de phase)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Bifurcation auto-induite par input (τ_k dynamique)</w:t>
            </w:r>
          </w:p>
        </w:tc>
      </w:tr>
      <w:tr>
        <w:tc>
          <w:tcPr>
            <w:tcW w:type="dxa" w:w="2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Désynchronisation</w:t>
            </w:r>
          </w:p>
        </w:tc>
        <w:tc>
          <w:tcPr>
            <w:tcW w:type="dxa" w:w="3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Par hétérogénéité des fréquences</w:t>
            </w:r>
          </w:p>
        </w:tc>
        <w:tc>
          <w:tcPr>
            <w:tcW w:type="dxa" w:w="3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Émergente — retour au foyer stable quand input diminue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Encodage mémoire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Dans les fréquences naturelles</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Dans les poids synaptiques bipolaires W</w:t>
            </w:r>
          </w:p>
        </w:tc>
      </w:tr>
      <w:tr>
        <w:tc>
          <w:tcPr>
            <w:tcW w:type="dxa" w:w="2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Inhibition inter-motifs</w:t>
            </w:r>
          </w:p>
        </w:tc>
        <w:tc>
          <w:tcPr>
            <w:tcW w:type="dxa" w:w="3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Implicite par désynchronisation</w:t>
            </w:r>
          </w:p>
        </w:tc>
        <w:tc>
          <w:tcPr>
            <w:tcW w:type="dxa" w:w="35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Explicite : w(M1,M2) &lt; 0 via encodage bipolaire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Capacité théorique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Limitée par la séparation fréquentielle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 0.14·N² motifs (théorie Hopfield)</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5.2 Position par rapport aux modèles existants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600"/>
        <w:gridCol w:w="160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Régime</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Repos</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Désynchronisation</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Encodage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Hopfield (1982)</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Statique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Attracteur (non silencieux)</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Non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Poids binaire</w:t>
            </w:r>
          </w:p>
        </w:tc>
      </w:tr>
      <w:tr>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Hoppensteadt &amp; Izhikevich (1999)</w:t>
            </w:r>
          </w:p>
        </w:tc>
        <w:tc>
          <w:tcPr>
            <w:tcW w:type="dxa" w:w="16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Cycle limite permanent</w:t>
            </w:r>
          </w:p>
        </w:tc>
        <w:tc>
          <w:tcPr>
            <w:tcW w:type="dxa" w:w="1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Oscillations permanentes</w:t>
            </w:r>
          </w:p>
        </w:tc>
        <w:tc>
          <w:tcPr>
            <w:tcW w:type="dxa" w:w="16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Par hétérogénéité</w:t>
            </w:r>
          </w:p>
        </w:tc>
        <w:tc>
          <w:tcPr>
            <w:tcW w:type="dxa" w:w="16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Fréquences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Wang (2001)</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Attracteurs persistants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Non silencieux</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Non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Poids continu</w:t>
            </w:r>
          </w:p>
        </w:tc>
      </w:tr>
      <w:tr>
        <w:tc>
          <w:tcPr>
            <w:tcW w:type="dxa" w:w="24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Ben Amor (2012)</w:t>
            </w:r>
          </w:p>
        </w:tc>
        <w:tc>
          <w:tcPr>
            <w:tcW w:type="dxa" w:w="16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Cycle limite permanent</w:t>
            </w:r>
          </w:p>
        </w:tc>
        <w:tc>
          <w:tcPr>
            <w:tcW w:type="dxa" w:w="1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Oscillations permanentes</w:t>
            </w:r>
          </w:p>
        </w:tc>
        <w:tc>
          <w:tcPr>
            <w:tcW w:type="dxa" w:w="16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Par hétérogénéité f</w:t>
            </w:r>
          </w:p>
        </w:tc>
        <w:tc>
          <w:tcPr>
            <w:tcW w:type="dxa" w:w="16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Fréquences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WC-Memory v7 ★</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Foyer stable + cycle transitoire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Silence garanti (0,0)</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Émergente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Poids bipolaires</w:t>
            </w:r>
          </w:p>
        </w:tc>
      </w:tr>
    </w:tbl>
    <w:p>
      <w:r>
        <w:br w:type="page"/>
      </w:r>
    </w:p>
    <w:p>
      <w:pPr>
        <w:pStyle w:val="Heading1"/>
        <w:spacing w:after="160" w:before="400"/>
      </w:pPr>
      <w:r>
        <w:rPr>
          <w:rFonts w:ascii="Arial" w:cs="Arial" w:eastAsia="Arial" w:hAnsi="Arial"/>
          <w:b/>
          <w:bCs/>
          <w:color w:val="1E3A5F"/>
          <w:sz w:val="34"/>
          <w:szCs w:val="34"/>
        </w:rPr>
        <w:t xml:space="preserve">6. Interface utilisateur et protocole de test</w:t>
      </w:r>
    </w:p>
    <w:p>
      <w:pPr>
        <w:pStyle w:val="Heading2"/>
        <w:pBdr>
          <w:bottom w:val="single" w:color="2563EB" w:sz="2"/>
        </w:pBdr>
        <w:spacing w:after="120" w:before="320"/>
      </w:pPr>
      <w:r>
        <w:rPr>
          <w:rFonts w:ascii="Arial" w:cs="Arial" w:eastAsia="Arial" w:hAnsi="Arial"/>
          <w:b/>
          <w:bCs/>
          <w:color w:val="2563EB"/>
          <w:sz w:val="28"/>
          <w:szCs w:val="28"/>
        </w:rPr>
        <w:t xml:space="preserve">6.1 Description de l'interface WC-Memory v7.html</w:t>
      </w:r>
    </w:p>
    <w:p>
      <w:pPr>
        <w:spacing w:after="120"/>
      </w:pPr>
      <w:r>
        <w:rPr>
          <w:rFonts w:ascii="Arial" w:cs="Arial" w:eastAsia="Arial" w:hAnsi="Arial"/>
          <w:sz w:val="22"/>
          <w:szCs w:val="22"/>
        </w:rPr>
        <w:t xml:space="preserve">L'interface est organisée en zones fonctionnelles :</w:t>
      </w:r>
    </w:p>
    <w:p>
      <w:pPr>
        <w:pStyle w:val="ListParagraph"/>
        <w:numPr>
          <w:ilvl w:val="0"/>
          <w:numId w:val="2"/>
        </w:numPr>
        <w:spacing w:after="80"/>
      </w:pPr>
      <w:r>
        <w:rPr>
          <w:rFonts w:ascii="Arial" w:cs="Arial" w:eastAsia="Arial" w:hAnsi="Arial"/>
          <w:b/>
          <w:bCs/>
          <w:sz w:val="22"/>
          <w:szCs w:val="22"/>
        </w:rPr>
        <w:t xml:space="preserve">Panneau paramètres (12 sliders) : </w:t>
      </w:r>
      <w:r>
        <w:rPr>
          <w:rFonts w:ascii="Arial" w:cs="Arial" w:eastAsia="Arial" w:hAnsi="Arial"/>
          <w:sz w:val="22"/>
          <w:szCs w:val="22"/>
        </w:rPr>
        <w:t xml:space="preserve">λ, ε, γ (bifurcation), lr, ρ, α, w_max, r_s, N, dt, fragment%, fond/motif. Chaque slider affiche la valeur courante et met à jour le modèle en temps réel.</w:t>
      </w:r>
    </w:p>
    <w:p>
      <w:pPr>
        <w:pStyle w:val="ListParagraph"/>
        <w:numPr>
          <w:ilvl w:val="0"/>
          <w:numId w:val="2"/>
        </w:numPr>
        <w:spacing w:after="80"/>
      </w:pPr>
      <w:r>
        <w:rPr>
          <w:rFonts w:ascii="Arial" w:cs="Arial" w:eastAsia="Arial" w:hAnsi="Arial"/>
          <w:b/>
          <w:bCs/>
          <w:sz w:val="22"/>
          <w:szCs w:val="22"/>
        </w:rPr>
        <w:t xml:space="preserve">Commandes : </w:t>
      </w:r>
      <w:r>
        <w:rPr>
          <w:rFonts w:ascii="Arial" w:cs="Arial" w:eastAsia="Arial" w:hAnsi="Arial"/>
          <w:sz w:val="22"/>
          <w:szCs w:val="22"/>
        </w:rPr>
        <w:t xml:space="preserve">▶ Démarrer, ■ Stop, › Pas à pas, ⊠ Effacer poids, ⟳ Réinit λ_k, ↺ Reset complet.</w:t>
      </w:r>
    </w:p>
    <w:p>
      <w:pPr>
        <w:pStyle w:val="ListParagraph"/>
        <w:numPr>
          <w:ilvl w:val="0"/>
          <w:numId w:val="2"/>
        </w:numPr>
        <w:spacing w:after="80"/>
      </w:pPr>
      <w:r>
        <w:rPr>
          <w:rFonts w:ascii="Arial" w:cs="Arial" w:eastAsia="Arial" w:hAnsi="Arial"/>
          <w:b/>
          <w:bCs/>
          <w:sz w:val="22"/>
          <w:szCs w:val="22"/>
        </w:rPr>
        <w:t xml:space="preserve">Jauges temps réel : </w:t>
      </w:r>
      <w:r>
        <w:rPr>
          <w:rFonts w:ascii="Arial" w:cs="Arial" w:eastAsia="Arial" w:hAnsi="Arial"/>
          <w:sz w:val="22"/>
          <w:szCs w:val="22"/>
        </w:rPr>
        <w:t xml:space="preserve">η_eff (apprentissage instantané), R(t) (amplitude globale), état système (SILENCE / APPRENTISSAGE / ÉVOCATION).</w:t>
      </w:r>
    </w:p>
    <w:p>
      <w:pPr>
        <w:pStyle w:val="ListParagraph"/>
        <w:numPr>
          <w:ilvl w:val="0"/>
          <w:numId w:val="2"/>
        </w:numPr>
        <w:spacing w:after="80"/>
      </w:pPr>
      <w:r>
        <w:rPr>
          <w:rFonts w:ascii="Arial" w:cs="Arial" w:eastAsia="Arial" w:hAnsi="Arial"/>
          <w:b/>
          <w:bCs/>
          <w:sz w:val="22"/>
          <w:szCs w:val="22"/>
        </w:rPr>
        <w:t xml:space="preserve">Visualisations : </w:t>
      </w:r>
      <w:r>
        <w:rPr>
          <w:rFonts w:ascii="Arial" w:cs="Arial" w:eastAsia="Arial" w:hAnsi="Arial"/>
          <w:sz w:val="22"/>
          <w:szCs w:val="22"/>
        </w:rPr>
        <w:t xml:space="preserve">Activité x (couleur=phase, intensité=amplitude), Phase (espace x,y), Cohérence locale, R(t) et η(t) sur 500 pas.</w:t>
      </w:r>
    </w:p>
    <w:p>
      <w:pPr>
        <w:pStyle w:val="ListParagraph"/>
        <w:numPr>
          <w:ilvl w:val="0"/>
          <w:numId w:val="2"/>
        </w:numPr>
        <w:spacing w:after="80"/>
      </w:pPr>
      <w:r>
        <w:rPr>
          <w:rFonts w:ascii="Arial" w:cs="Arial" w:eastAsia="Arial" w:hAnsi="Arial"/>
          <w:b/>
          <w:bCs/>
          <w:sz w:val="22"/>
          <w:szCs w:val="22"/>
        </w:rPr>
        <w:t xml:space="preserve">Bibliothèque M1–M5 : </w:t>
      </w:r>
      <w:r>
        <w:rPr>
          <w:rFonts w:ascii="Arial" w:cs="Arial" w:eastAsia="Arial" w:hAnsi="Arial"/>
          <w:sz w:val="22"/>
          <w:szCs w:val="22"/>
        </w:rPr>
        <w:t xml:space="preserve">5 slots avec sélecteur de motif (18 motifs disponibles), ⊕ Imprimer (offline, ρ=1 forcé), ◈ Fragment (évocation).</w:t>
      </w:r>
    </w:p>
    <w:p>
      <w:pPr>
        <w:pStyle w:val="ListParagraph"/>
        <w:numPr>
          <w:ilvl w:val="0"/>
          <w:numId w:val="2"/>
        </w:numPr>
        <w:spacing w:after="80"/>
      </w:pPr>
      <w:r>
        <w:rPr>
          <w:rFonts w:ascii="Arial" w:cs="Arial" w:eastAsia="Arial" w:hAnsi="Arial"/>
          <w:b/>
          <w:bCs/>
          <w:sz w:val="22"/>
          <w:szCs w:val="22"/>
        </w:rPr>
        <w:t xml:space="preserve">Matrice de poids : </w:t>
      </w:r>
      <w:r>
        <w:rPr>
          <w:rFonts w:ascii="Arial" w:cs="Arial" w:eastAsia="Arial" w:hAnsi="Arial"/>
          <w:sz w:val="22"/>
          <w:szCs w:val="22"/>
        </w:rPr>
        <w:t xml:space="preserve">visualisation bicolore violet=w+ / rouge=w−, statistiques w+ et w−.</w:t>
      </w:r>
    </w:p>
    <w:p>
      <w:pPr>
        <w:pStyle w:val="ListParagraph"/>
        <w:numPr>
          <w:ilvl w:val="0"/>
          <w:numId w:val="2"/>
        </w:numPr>
        <w:spacing w:after="80"/>
      </w:pPr>
      <w:r>
        <w:rPr>
          <w:rFonts w:ascii="Arial" w:cs="Arial" w:eastAsia="Arial" w:hAnsi="Arial"/>
          <w:b/>
          <w:bCs/>
          <w:sz w:val="22"/>
          <w:szCs w:val="22"/>
        </w:rPr>
        <w:t xml:space="preserve">Évaluation : </w:t>
      </w:r>
      <w:r>
        <w:rPr>
          <w:rFonts w:ascii="Arial" w:cs="Arial" w:eastAsia="Arial" w:hAnsi="Arial"/>
          <w:sz w:val="22"/>
          <w:szCs w:val="22"/>
        </w:rPr>
        <w:t xml:space="preserve">F1, rappel, précision, Jaccard, carte TP/FP/FN, historique F1(t).</w:t>
      </w:r>
    </w:p>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6.2 Protocole de test recommandé</w:t>
      </w:r>
    </w:p>
    <w:p>
      <w:pPr>
        <w:pStyle w:val="ListParagraph"/>
        <w:numPr>
          <w:ilvl w:val="0"/>
          <w:numId w:val="3"/>
        </w:numPr>
        <w:spacing w:after="100"/>
      </w:pPr>
      <w:r>
        <w:rPr>
          <w:rFonts w:ascii="Arial" w:cs="Arial" w:eastAsia="Arial" w:hAnsi="Arial"/>
          <w:b/>
          <w:bCs/>
          <w:sz w:val="22"/>
          <w:szCs w:val="22"/>
        </w:rPr>
        <w:t xml:space="preserve">Init : </w:t>
      </w:r>
      <w:r>
        <w:rPr>
          <w:rFonts w:ascii="Arial" w:cs="Arial" w:eastAsia="Arial" w:hAnsi="Arial"/>
          <w:sz w:val="22"/>
          <w:szCs w:val="22"/>
        </w:rPr>
        <w:t xml:space="preserve">Cliquer ▶ Démarrer. Vérifier R_global ≈ 0 (SILENCE).</w:t>
      </w:r>
    </w:p>
    <w:p>
      <w:pPr>
        <w:pStyle w:val="ListParagraph"/>
        <w:numPr>
          <w:ilvl w:val="0"/>
          <w:numId w:val="3"/>
        </w:numPr>
        <w:spacing w:after="100"/>
      </w:pPr>
      <w:r>
        <w:rPr>
          <w:rFonts w:ascii="Arial" w:cs="Arial" w:eastAsia="Arial" w:hAnsi="Arial"/>
          <w:b/>
          <w:bCs/>
          <w:sz w:val="22"/>
          <w:szCs w:val="22"/>
        </w:rPr>
        <w:t xml:space="preserve">Impression M1 : </w:t>
      </w:r>
      <w:r>
        <w:rPr>
          <w:rFonts w:ascii="Arial" w:cs="Arial" w:eastAsia="Arial" w:hAnsi="Arial"/>
          <w:sz w:val="22"/>
          <w:szCs w:val="22"/>
        </w:rPr>
        <w:t xml:space="preserve">Sélectionner un motif (ex: barre_h), cliquer ⊕ Imprimer. 4000 pas offline avec ρ=1 forcé. Vérifier w(M1,M1) &gt; 0.5 (violet dans la matrice).</w:t>
      </w:r>
    </w:p>
    <w:p>
      <w:pPr>
        <w:pStyle w:val="ListParagraph"/>
        <w:numPr>
          <w:ilvl w:val="0"/>
          <w:numId w:val="3"/>
        </w:numPr>
        <w:spacing w:after="100"/>
      </w:pPr>
      <w:r>
        <w:rPr>
          <w:rFonts w:ascii="Arial" w:cs="Arial" w:eastAsia="Arial" w:hAnsi="Arial"/>
          <w:b/>
          <w:bCs/>
          <w:sz w:val="22"/>
          <w:szCs w:val="22"/>
        </w:rPr>
        <w:t xml:space="preserve">Impression M2 : </w:t>
      </w:r>
      <w:r>
        <w:rPr>
          <w:rFonts w:ascii="Arial" w:cs="Arial" w:eastAsia="Arial" w:hAnsi="Arial"/>
          <w:sz w:val="22"/>
          <w:szCs w:val="22"/>
        </w:rPr>
        <w:t xml:space="preserve">Imprimer un second motif orthogonal (ex: barre_v). Vérifier w(M1,M2) &lt; 0 (rouge dans la matrice).</w:t>
      </w:r>
    </w:p>
    <w:p>
      <w:pPr>
        <w:pStyle w:val="ListParagraph"/>
        <w:numPr>
          <w:ilvl w:val="0"/>
          <w:numId w:val="3"/>
        </w:numPr>
        <w:spacing w:after="100"/>
      </w:pPr>
      <w:r>
        <w:rPr>
          <w:rFonts w:ascii="Arial" w:cs="Arial" w:eastAsia="Arial" w:hAnsi="Arial"/>
          <w:b/>
          <w:bCs/>
          <w:sz w:val="22"/>
          <w:szCs w:val="22"/>
        </w:rPr>
        <w:t xml:space="preserve">Évocation M1 : </w:t>
      </w:r>
      <w:r>
        <w:rPr>
          <w:rFonts w:ascii="Arial" w:cs="Arial" w:eastAsia="Arial" w:hAnsi="Arial"/>
          <w:sz w:val="22"/>
          <w:szCs w:val="22"/>
        </w:rPr>
        <w:t xml:space="preserve">Cliquer ◈ Fragment sur M1 (50%). Observer : (a) propagation sur non-fragmentés, (b) F1 monte, (c) désynchronisation spontanée ~3-10s, (d) retour au silence.</w:t>
      </w:r>
    </w:p>
    <w:p>
      <w:pPr>
        <w:pStyle w:val="ListParagraph"/>
        <w:numPr>
          <w:ilvl w:val="0"/>
          <w:numId w:val="3"/>
        </w:numPr>
        <w:spacing w:after="100"/>
      </w:pPr>
      <w:r>
        <w:rPr>
          <w:rFonts w:ascii="Arial" w:cs="Arial" w:eastAsia="Arial" w:hAnsi="Arial"/>
          <w:b/>
          <w:bCs/>
          <w:sz w:val="22"/>
          <w:szCs w:val="22"/>
        </w:rPr>
        <w:t xml:space="preserve">Diagnostic si évocation faible : </w:t>
      </w:r>
      <w:r>
        <w:rPr>
          <w:rFonts w:ascii="Arial" w:cs="Arial" w:eastAsia="Arial" w:hAnsi="Arial"/>
          <w:sz w:val="22"/>
          <w:szCs w:val="22"/>
        </w:rPr>
        <w:t xml:space="preserve">augmenter γ (12-15). Si pas d'extinction : vérifier ρ=0. Si deux motifs simultanés : vérifier encodage bipolaire.</w:t>
      </w:r>
    </w:p>
    <w:p>
      <w:r>
        <w:br w:type="page"/>
      </w:r>
    </w:p>
    <w:p>
      <w:pPr>
        <w:pStyle w:val="Heading1"/>
        <w:spacing w:after="160" w:before="400"/>
      </w:pPr>
      <w:r>
        <w:rPr>
          <w:rFonts w:ascii="Arial" w:cs="Arial" w:eastAsia="Arial" w:hAnsi="Arial"/>
          <w:b/>
          <w:bCs/>
          <w:color w:val="1E3A5F"/>
          <w:sz w:val="34"/>
          <w:szCs w:val="34"/>
        </w:rPr>
        <w:t xml:space="preserve">7. Vision prospective et apports</w:t>
      </w:r>
    </w:p>
    <w:p>
      <w:pPr>
        <w:pStyle w:val="Heading2"/>
        <w:pBdr>
          <w:bottom w:val="single" w:color="2563EB" w:sz="2"/>
        </w:pBdr>
        <w:spacing w:after="120" w:before="320"/>
      </w:pPr>
      <w:r>
        <w:rPr>
          <w:rFonts w:ascii="Arial" w:cs="Arial" w:eastAsia="Arial" w:hAnsi="Arial"/>
          <w:b/>
          <w:bCs/>
          <w:color w:val="2563EB"/>
          <w:sz w:val="28"/>
          <w:szCs w:val="28"/>
        </w:rPr>
        <w:t xml:space="preserve">7.1 Ce que WC-Memory v7 fait que les LLMs ne font pas</w:t>
      </w:r>
    </w:p>
    <w:p>
      <w:pPr>
        <w:spacing w:after="120"/>
      </w:pPr>
      <w:r>
        <w:rPr>
          <w:rFonts w:ascii="Arial" w:cs="Arial" w:eastAsia="Arial" w:hAnsi="Arial"/>
          <w:sz w:val="22"/>
          <w:szCs w:val="22"/>
        </w:rPr>
        <w:t xml:space="preserve">Les LLMs (Transformer, Vaswani et al., 2017) sont des systèmes stateless entre inférences. L'attention par produit scalaire Q·Kᵀ est une mesure de similarité figée, sans état dynamique. Cinq propriétés absentes des LLMs qu'un système oscillatoire peut apporter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31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LLMs (Transformers)</w:t>
            </w:r>
          </w:p>
        </w:tc>
        <w:tc>
          <w:tcPr>
            <w:tcW w:type="dxa" w:w="31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WC-Memory v7</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État de travail dynamique</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Pas d'état entre tokens. Contexte = séquence statique.</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Motif évoqué = état transitoire actif dans le réseau — mémoire de travail</w:t>
            </w:r>
          </w:p>
        </w:tc>
      </w:tr>
      <w:tr>
        <w:tc>
          <w:tcPr>
            <w:tcW w:type="dxa" w:w="2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Binding sélectif</w:t>
            </w:r>
          </w:p>
        </w:tc>
        <w:tc>
          <w:tcPr>
            <w:tcW w:type="dxa" w:w="31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Softmax diffuse l'attention globalement</w:t>
            </w:r>
          </w:p>
        </w:tc>
        <w:tc>
          <w:tcPr>
            <w:tcW w:type="dxa" w:w="31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Seuls les oscillateurs co-synchrones forment un groupe fonctionnel</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Oubli actif</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Catastrophic forgetting ou simple absence du contexte</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Désynchronisation naturelle → silence sans effacement des poids</w:t>
            </w:r>
          </w:p>
        </w:tc>
      </w:tr>
      <w:tr>
        <w:tc>
          <w:tcPr>
            <w:tcW w:type="dxa" w:w="2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Traitement flux continu</w:t>
            </w:r>
          </w:p>
        </w:tc>
        <w:tc>
          <w:tcPr>
            <w:tcW w:type="dxa" w:w="31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Fenêtre de contexte fixe, coût O(n²)</w:t>
            </w:r>
          </w:p>
        </w:tc>
        <w:tc>
          <w:tcPr>
            <w:tcW w:type="dxa" w:w="31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Pas de fenêtre — cycle transitoire déclenché par le signal</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Inhibition compétitive</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Softmax normalise mais n'inhibe pas activement</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w(M1,M2) &lt; 0 → M2 activement inhibé quand M1 est évoqué</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7.2 Concept d'Oscillatory Attention Layer (OAL)</w:t>
      </w:r>
    </w:p>
    <w:p>
      <w:pPr>
        <w:spacing w:after="120"/>
      </w:pPr>
      <w:r>
        <w:rPr>
          <w:rFonts w:ascii="Arial" w:cs="Arial" w:eastAsia="Arial" w:hAnsi="Arial"/>
          <w:sz w:val="22"/>
          <w:szCs w:val="22"/>
        </w:rPr>
        <w:t xml:space="preserve">L'idée centrale : remplacer ou compléter l'attention Q·Kᵀ·V par une couche d'oscillateurs WC couplés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Attention_WC(Q) = x(T)</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où  x(0) = Q  [fragment d'entrée]</w:t>
            </w:r>
          </w:p>
          <w:p>
            <w:pPr>
              <w:spacing w:after="60"/>
            </w:pPr>
            <w:r>
              <w:rPr>
                <w:rFonts w:ascii="Courier New" w:cs="Courier New" w:eastAsia="Courier New" w:hAnsi="Courier New"/>
                <w:color w:val="1A1A2E"/>
                <w:sz w:val="21"/>
                <w:szCs w:val="21"/>
              </w:rPr>
              <w:t xml:space="preserve">    x évolue selon WC-1,2 + COUP + BIFURC pendant T pas</w:t>
            </w:r>
          </w:p>
          <w:p>
            <w:pPr>
              <w:spacing w:after="60"/>
            </w:pPr>
            <w:r>
              <w:rPr>
                <w:rFonts w:ascii="Courier New" w:cs="Courier New" w:eastAsia="Courier New" w:hAnsi="Courier New"/>
                <w:color w:val="1A1A2E"/>
                <w:sz w:val="21"/>
                <w:szCs w:val="21"/>
              </w:rPr>
              <w:t xml:space="preserve">    W est la matrice de poids apprise par Hebb (offline)</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Différentiabilité : ∂τ_k/∂γ = max(0, input_k)/λ  [gradient valide]</w:t>
            </w:r>
          </w:p>
          <w:p>
            <w:pPr>
              <w:spacing w:after="60"/>
            </w:pPr>
            <w:r>
              <w:rPr>
                <w:rFonts w:ascii="Courier New" w:cs="Courier New" w:eastAsia="Courier New" w:hAnsi="Courier New"/>
                <w:color w:val="1A1A2E"/>
                <w:sz w:val="21"/>
                <w:szCs w:val="21"/>
              </w:rPr>
              <w:t xml:space="preserve">                   ∂W/∂lr  = ∫η_{kj} dt  [gradient Hebb]</w:t>
            </w:r>
          </w:p>
        </w:tc>
      </w:tr>
    </w:tbl>
    <w:p>
      <w:pPr>
        <w:spacing w:after="120"/>
      </w:pPr>
      <w:r>
        <w:rPr>
          <w:rFonts w:ascii="Arial" w:cs="Arial" w:eastAsia="Arial" w:hAnsi="Arial"/>
          <w:b/>
          <w:bCs/>
          <w:sz w:val="22"/>
          <w:szCs w:val="22"/>
        </w:rPr>
        <w:t xml:space="preserve">Avantage sur l'attention standard : </w:t>
      </w:r>
      <w:r>
        <w:rPr>
          <w:rFonts w:ascii="Arial" w:cs="Arial" w:eastAsia="Arial" w:hAnsi="Arial"/>
          <w:sz w:val="22"/>
          <w:szCs w:val="22"/>
        </w:rPr>
        <w:t xml:space="preserve">W encode des relations entre motifs (positives ou négatives, pas seulement des similarités), le binding est le résultat d'une synchronisation progressive sur T pas, et l'inhibition est structurellement encodée dans 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EEF2FF"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Lien avec Hopfield Networks modernes</w:t>
            </w:r>
          </w:p>
          <w:p>
            <w:pPr>
              <w:spacing w:after="0"/>
            </w:pPr>
            <w:r>
              <w:rPr>
                <w:rFonts w:ascii="Arial" w:cs="Arial" w:eastAsia="Arial" w:hAnsi="Arial"/>
                <w:color w:val="1A1A2E"/>
                <w:sz w:val="21"/>
                <w:szCs w:val="21"/>
              </w:rPr>
              <w:t xml:space="preserve">Ramsauer et al. (2020) ont montré que les Hopfield Networks modernes avec mémoires continues sont mathématiquement équivalents à l'attention Transformer. WC-Memory v7 est une extension dynamique : au lieu d'un retrieval en un pas (softmax), le recall se fait en T pas de dynamique non-linéaire, permettant un binding progressif et sélectif.</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7.3 Relation avec l'IIT et la conscience</w:t>
      </w:r>
    </w:p>
    <w:p>
      <w:pPr>
        <w:spacing w:after="120"/>
      </w:pPr>
      <w:r>
        <w:rPr>
          <w:rFonts w:ascii="Arial" w:cs="Arial" w:eastAsia="Arial" w:hAnsi="Arial"/>
          <w:sz w:val="22"/>
          <w:szCs w:val="22"/>
        </w:rPr>
        <w:t xml:space="preserve">La Théorie de l'Information Intégrée (IIT, Tononi, 2004, 2016) postule que la conscience est proportionnelle à Φ — la quantité d'information qui ne peut pas être décomposée en parties indépendantes. Un réseau d'oscillateurs en synchronisation de phase produit exactement ce type d'interdépendance irréductible :</w:t>
      </w:r>
    </w:p>
    <w:p>
      <w:pPr>
        <w:pStyle w:val="ListParagraph"/>
        <w:numPr>
          <w:ilvl w:val="0"/>
          <w:numId w:val="2"/>
        </w:numPr>
        <w:spacing w:after="80"/>
      </w:pPr>
      <w:r>
        <w:rPr>
          <w:rFonts w:ascii="Arial" w:cs="Arial" w:eastAsia="Arial" w:hAnsi="Arial"/>
          <w:b/>
          <w:bCs/>
          <w:sz w:val="22"/>
          <w:szCs w:val="22"/>
        </w:rPr>
        <w:t xml:space="preserve">Lors d'une évocation : </w:t>
      </w:r>
      <w:r>
        <w:rPr>
          <w:rFonts w:ascii="Arial" w:cs="Arial" w:eastAsia="Arial" w:hAnsi="Arial"/>
          <w:sz w:val="22"/>
          <w:szCs w:val="22"/>
        </w:rPr>
        <w:t xml:space="preserve">les oscillateurs du motif forment un ensemble cohérent — retirer n'importe quel sous-ensemble modifie l'état de tous les autres → Φ élevé</w:t>
      </w:r>
    </w:p>
    <w:p>
      <w:pPr>
        <w:pStyle w:val="ListParagraph"/>
        <w:numPr>
          <w:ilvl w:val="0"/>
          <w:numId w:val="2"/>
        </w:numPr>
        <w:spacing w:after="80"/>
      </w:pPr>
      <w:r>
        <w:rPr>
          <w:rFonts w:ascii="Arial" w:cs="Arial" w:eastAsia="Arial" w:hAnsi="Arial"/>
          <w:b/>
          <w:bCs/>
          <w:sz w:val="22"/>
          <w:szCs w:val="22"/>
        </w:rPr>
        <w:t xml:space="preserve">Au repos (foyer stable) : </w:t>
      </w:r>
      <w:r>
        <w:rPr>
          <w:rFonts w:ascii="Arial" w:cs="Arial" w:eastAsia="Arial" w:hAnsi="Arial"/>
          <w:sz w:val="22"/>
          <w:szCs w:val="22"/>
        </w:rPr>
        <w:t xml:space="preserve">les oscillateurs sont indépendants → Φ ≈ 0</w:t>
      </w:r>
    </w:p>
    <w:p>
      <w:pPr>
        <w:pStyle w:val="ListParagraph"/>
        <w:numPr>
          <w:ilvl w:val="0"/>
          <w:numId w:val="2"/>
        </w:numPr>
        <w:spacing w:after="80"/>
      </w:pPr>
      <w:r>
        <w:rPr>
          <w:rFonts w:ascii="Arial" w:cs="Arial" w:eastAsia="Arial" w:hAnsi="Arial"/>
          <w:b/>
          <w:bCs/>
          <w:sz w:val="22"/>
          <w:szCs w:val="22"/>
        </w:rPr>
        <w:t xml:space="preserve">La transition foyer → cycle limite : </w:t>
      </w:r>
      <w:r>
        <w:rPr>
          <w:rFonts w:ascii="Arial" w:cs="Arial" w:eastAsia="Arial" w:hAnsi="Arial"/>
          <w:sz w:val="22"/>
          <w:szCs w:val="22"/>
        </w:rPr>
        <w:t xml:space="preserve">est donc une transition de phase dans Φ — un événement de type ignition (Dehaene &amp; Changeux, 2011)</w:t>
      </w:r>
    </w:p>
    <w:p>
      <w:pPr>
        <w:spacing w:after="120"/>
      </w:pPr>
    </w:p>
    <w:p>
      <w:pPr>
        <w:spacing w:after="120"/>
      </w:pPr>
      <w:r>
        <w:rPr>
          <w:rFonts w:ascii="Arial" w:cs="Arial" w:eastAsia="Arial" w:hAnsi="Arial"/>
          <w:b/>
          <w:bCs/>
          <w:sz w:val="22"/>
          <w:szCs w:val="22"/>
        </w:rPr>
        <w:t xml:space="preserve">Lien avec la Global Workspace Theory : </w:t>
      </w:r>
      <w:r>
        <w:rPr>
          <w:rFonts w:ascii="Arial" w:cs="Arial" w:eastAsia="Arial" w:hAnsi="Arial"/>
          <w:sz w:val="22"/>
          <w:szCs w:val="22"/>
        </w:rPr>
        <w:t xml:space="preserve">l'"ignition" globale caractéristique de l'accès conscient dans la GWT ressemble au passage en cycle limite lors de l'évocation — un événement tout-ou-rien déclenché par la présentation d'un fragment suffisant. WC-Memory v7 implémente le mécanisme computationnel minimal de cette ignition.</w:t>
      </w:r>
    </w:p>
    <w:p>
      <w:pPr>
        <w:pStyle w:val="Heading2"/>
        <w:pBdr>
          <w:bottom w:val="single" w:color="2563EB" w:sz="2"/>
        </w:pBdr>
        <w:spacing w:after="120" w:before="320"/>
      </w:pPr>
      <w:r>
        <w:rPr>
          <w:rFonts w:ascii="Arial" w:cs="Arial" w:eastAsia="Arial" w:hAnsi="Arial"/>
          <w:b/>
          <w:bCs/>
          <w:color w:val="2563EB"/>
          <w:sz w:val="28"/>
          <w:szCs w:val="28"/>
        </w:rPr>
        <w:t xml:space="preserve">7.4 Binding multimodal</w:t>
      </w:r>
    </w:p>
    <w:p>
      <w:pPr>
        <w:spacing w:after="120"/>
      </w:pPr>
      <w:r>
        <w:rPr>
          <w:rFonts w:ascii="Arial" w:cs="Arial" w:eastAsia="Arial" w:hAnsi="Arial"/>
          <w:sz w:val="22"/>
          <w:szCs w:val="22"/>
        </w:rPr>
        <w:t xml:space="preserve">WC-Memory v7 fournit un substrat naturel pour l'intégration multimodale :</w:t>
      </w:r>
    </w:p>
    <w:p>
      <w:pPr>
        <w:pStyle w:val="ListParagraph"/>
        <w:numPr>
          <w:ilvl w:val="0"/>
          <w:numId w:val="2"/>
        </w:numPr>
        <w:spacing w:after="80"/>
      </w:pPr>
      <w:r>
        <w:rPr>
          <w:rFonts w:ascii="Arial" w:cs="Arial" w:eastAsia="Arial" w:hAnsi="Arial"/>
          <w:sz w:val="22"/>
          <w:szCs w:val="22"/>
        </w:rPr>
        <w:t xml:space="preserve">Chaque modalité (vision, langage, audio) projette sur un sous-espace d'oscillateurs</w:t>
      </w:r>
    </w:p>
    <w:p>
      <w:pPr>
        <w:pStyle w:val="ListParagraph"/>
        <w:numPr>
          <w:ilvl w:val="0"/>
          <w:numId w:val="2"/>
        </w:numPr>
        <w:spacing w:after="80"/>
      </w:pPr>
      <w:r>
        <w:rPr>
          <w:rFonts w:ascii="Arial" w:cs="Arial" w:eastAsia="Arial" w:hAnsi="Arial"/>
          <w:sz w:val="22"/>
          <w:szCs w:val="22"/>
        </w:rPr>
        <w:t xml:space="preserve">Les connexions inter-modalités apprises par Hebb permettent la synchronisation cross-modale</w:t>
      </w:r>
    </w:p>
    <w:p>
      <w:pPr>
        <w:pStyle w:val="ListParagraph"/>
        <w:numPr>
          <w:ilvl w:val="0"/>
          <w:numId w:val="2"/>
        </w:numPr>
        <w:spacing w:after="80"/>
      </w:pPr>
      <w:r>
        <w:rPr>
          <w:rFonts w:ascii="Arial" w:cs="Arial" w:eastAsia="Arial" w:hAnsi="Arial"/>
          <w:sz w:val="22"/>
          <w:szCs w:val="22"/>
        </w:rPr>
        <w:t xml:space="preserve">Un fragment visuel peut évoquer une représentation linguistique associée via les poids w(visual, linguistic) &gt; 0</w:t>
      </w:r>
    </w:p>
    <w:p>
      <w:pPr>
        <w:pStyle w:val="ListParagraph"/>
        <w:numPr>
          <w:ilvl w:val="0"/>
          <w:numId w:val="2"/>
        </w:numPr>
        <w:spacing w:after="80"/>
      </w:pPr>
      <w:r>
        <w:rPr>
          <w:rFonts w:ascii="Arial" w:cs="Arial" w:eastAsia="Arial" w:hAnsi="Arial"/>
          <w:sz w:val="22"/>
          <w:szCs w:val="22"/>
        </w:rPr>
        <w:t xml:space="preserve">L'inhibition inter-motifs assure la séparation : deux représentations incompatibles ne peuvent pas être évoquées simultanément</w:t>
      </w:r>
    </w:p>
    <w:p>
      <w:pPr>
        <w:spacing w:after="120"/>
      </w:pPr>
    </w:p>
    <w:p>
      <w:pPr>
        <w:spacing w:after="120"/>
      </w:pPr>
      <w:r>
        <w:rPr>
          <w:rFonts w:ascii="Arial" w:cs="Arial" w:eastAsia="Arial" w:hAnsi="Arial"/>
          <w:b/>
          <w:bCs/>
          <w:sz w:val="22"/>
          <w:szCs w:val="22"/>
        </w:rPr>
        <w:t xml:space="preserve">Ce que cela apporte par rapport aux LLMs multimodaux : </w:t>
      </w:r>
      <w:r>
        <w:rPr>
          <w:rFonts w:ascii="Arial" w:cs="Arial" w:eastAsia="Arial" w:hAnsi="Arial"/>
          <w:sz w:val="22"/>
          <w:szCs w:val="22"/>
        </w:rPr>
        <w:t xml:space="preserve">dans les LLMs (ex: GPT-4V, Gemini), l'intégration multimodale est réalisée par projection dans un espace latent partagé statique via encodeurs séparés. C'est une fusion de représentations, pas un binding dynamique. Le binding WC est un événement : soit les modalités se synchronisent (et une représentation unifiée émerge), soit elles ne se synchronisent pas (et le réseau reste silencieux ou évoque la modalité la plus cohérente).</w:t>
      </w:r>
    </w:p>
    <w:p>
      <w:r>
        <w:br w:type="page"/>
      </w:r>
    </w:p>
    <w:p>
      <w:pPr>
        <w:pStyle w:val="Heading1"/>
        <w:spacing w:after="160" w:before="400"/>
      </w:pPr>
      <w:r>
        <w:rPr>
          <w:rFonts w:ascii="Arial" w:cs="Arial" w:eastAsia="Arial" w:hAnsi="Arial"/>
          <w:b/>
          <w:bCs/>
          <w:color w:val="1E3A5F"/>
          <w:sz w:val="34"/>
          <w:szCs w:val="34"/>
        </w:rPr>
        <w:t xml:space="preserve">8. Scénarios d'usage concrets</w:t>
      </w:r>
    </w:p>
    <w:p>
      <w:pPr>
        <w:pStyle w:val="Heading2"/>
        <w:pBdr>
          <w:bottom w:val="single" w:color="2563EB" w:sz="2"/>
        </w:pBdr>
        <w:spacing w:after="120" w:before="320"/>
      </w:pPr>
      <w:r>
        <w:rPr>
          <w:rFonts w:ascii="Arial" w:cs="Arial" w:eastAsia="Arial" w:hAnsi="Arial"/>
          <w:b/>
          <w:bCs/>
          <w:color w:val="2563EB"/>
          <w:sz w:val="28"/>
          <w:szCs w:val="28"/>
        </w:rPr>
        <w:t xml:space="preserve">8.1 Scénario 1 — Assistant médical à mémoire de travail contextuelle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F5F3FF"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Utilisateur</w:t>
            </w:r>
          </w:p>
          <w:p>
            <w:pPr>
              <w:spacing w:after="0"/>
            </w:pPr>
            <w:r>
              <w:rPr>
                <w:rFonts w:ascii="Arial" w:cs="Arial" w:eastAsia="Arial" w:hAnsi="Arial"/>
                <w:color w:val="1A1A2E"/>
                <w:sz w:val="21"/>
                <w:szCs w:val="21"/>
              </w:rPr>
              <w:t xml:space="preserve">Dr. Sophie Chen, radiologue dans un CHU. Elle examine 80 scanners par jour. Elle cherche un assistant IA qui l'aide à relier les anomalies visuelles actuelles à des cas cliniques similaires mémorisés — pas une simple recherche par similarité d'images, mais une association contextuelle qui tient compte de la combinaison de plusieurs indices.</w:t>
            </w:r>
          </w:p>
        </w:tc>
      </w:tr>
    </w:tbl>
    <w:p>
      <w:pPr>
        <w:spacing w:after="120"/>
      </w:pPr>
    </w:p>
    <w:p>
      <w:pPr>
        <w:spacing w:after="120"/>
      </w:pPr>
      <w:r>
        <w:rPr>
          <w:rFonts w:ascii="Arial" w:cs="Arial" w:eastAsia="Arial" w:hAnsi="Arial"/>
          <w:b/>
          <w:bCs/>
          <w:sz w:val="22"/>
          <w:szCs w:val="22"/>
        </w:rPr>
        <w:t xml:space="preserve">Situation concrète : </w:t>
      </w:r>
      <w:r>
        <w:rPr>
          <w:rFonts w:ascii="Arial" w:cs="Arial" w:eastAsia="Arial" w:hAnsi="Arial"/>
          <w:sz w:val="22"/>
          <w:szCs w:val="22"/>
        </w:rPr>
        <w:t xml:space="preserve">Sophie examine un scanner thoracique. Elle voit trois anomalies : opacité en verre dépoli (lobe inférieur droit), adénopathie médiastinale, et une légère pleurite. Aucune seule anomalie n'est pathognomonique. La combinaison des trois évoque plusieurs diagnostics possibles.</w:t>
      </w:r>
    </w:p>
    <w:p>
      <w:pPr>
        <w:spacing w:after="120"/>
      </w:pPr>
      <w:r>
        <w:rPr>
          <w:rFonts w:ascii="Arial" w:cs="Arial" w:eastAsia="Arial" w:hAnsi="Arial"/>
          <w:b/>
          <w:bCs/>
          <w:sz w:val="22"/>
          <w:szCs w:val="22"/>
        </w:rPr>
        <w:t xml:space="preserve">Sans le système : </w:t>
      </w:r>
      <w:r>
        <w:rPr>
          <w:rFonts w:ascii="Arial" w:cs="Arial" w:eastAsia="Arial" w:hAnsi="Arial"/>
          <w:sz w:val="22"/>
          <w:szCs w:val="22"/>
        </w:rPr>
        <w:t xml:space="preserve">Sophie consulte sa base de données par mots-clés, trouve 12 cas avec "verre dépoli + adénopathie" mais doit les parcourir manuellement pour trouver ceux qui incluent aussi la pleurite.</w:t>
      </w:r>
    </w:p>
    <w:p>
      <w:pPr>
        <w:spacing w:after="120"/>
      </w:pPr>
      <w:r>
        <w:rPr>
          <w:rFonts w:ascii="Arial" w:cs="Arial" w:eastAsia="Arial" w:hAnsi="Arial"/>
          <w:b/>
          <w:bCs/>
          <w:sz w:val="22"/>
          <w:szCs w:val="22"/>
        </w:rPr>
        <w:t xml:space="preserve">Avec WC-Memory v7 (OAL) : </w:t>
      </w:r>
      <w:r>
        <w:rPr>
          <w:rFonts w:ascii="Arial" w:cs="Arial" w:eastAsia="Arial" w:hAnsi="Arial"/>
          <w:sz w:val="22"/>
          <w:szCs w:val="22"/>
        </w:rPr>
        <w:t xml:space="preserve">les trois indices sont présentés comme fragment (50% du motif clinique). Le système évoque le(s) motif(s) encodés qui ont le plus fort couplage avec cette combinaison — le cas de pneumonie virale atypique + complications pleurales évoqué 3 semaines plus tôt, avec le protocole de prise en charge associé. L'évocation prend 2-3 secondes, puis le système retourne au silence — prêt pour le prochain scanner.</w:t>
      </w:r>
    </w:p>
    <w:p>
      <w:pPr>
        <w:spacing w:after="120"/>
      </w:pPr>
      <w:r>
        <w:rPr>
          <w:rFonts w:ascii="Arial" w:cs="Arial" w:eastAsia="Arial" w:hAnsi="Arial"/>
          <w:b/>
          <w:bCs/>
          <w:sz w:val="22"/>
          <w:szCs w:val="22"/>
        </w:rPr>
        <w:t xml:space="preserve">Ce que le LLM standard ne peut pas faire ici : </w:t>
      </w:r>
      <w:r>
        <w:rPr>
          <w:rFonts w:ascii="Arial" w:cs="Arial" w:eastAsia="Arial" w:hAnsi="Arial"/>
          <w:sz w:val="22"/>
          <w:szCs w:val="22"/>
        </w:rPr>
        <w:t xml:space="preserve">un LLM traiterait la requête de façon stateless — il cherche dans son contexte les informations pertinentes mais n'a pas de "souvenir de travail" des cas de Sophie spécifiquement. Il ne sait pas que Sophie a tendance à sous-estimer les pleurites virales. Il ne peut pas "se rappeler" d'une association spécifique et l'éteindre proprement après pour passer au cas suivant.</w:t>
      </w:r>
    </w:p>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8.2 Scénario 2 — Interface cerveau-ordinateur adaptative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Utilisateur</w:t>
            </w:r>
          </w:p>
          <w:p>
            <w:pPr>
              <w:spacing w:after="0"/>
            </w:pPr>
            <w:r>
              <w:rPr>
                <w:rFonts w:ascii="Arial" w:cs="Arial" w:eastAsia="Arial" w:hAnsi="Arial"/>
                <w:color w:val="1A1A2E"/>
                <w:sz w:val="21"/>
                <w:szCs w:val="21"/>
              </w:rPr>
              <w:t xml:space="preserve">Karim, 34 ans, tétraplégique depuis un accident de moto. Il utilise une interface cerveau-ordinateur (BCI) pour contrôler un bras robotique. Le système doit reconnaître les patterns d'activité EEG associés aux intentions de mouvement et les mapper sur des commandes robotiques — en temps réel, avec une latence &lt; 100ms.</w:t>
            </w:r>
          </w:p>
        </w:tc>
      </w:tr>
    </w:tbl>
    <w:p>
      <w:pPr>
        <w:spacing w:after="120"/>
      </w:pPr>
    </w:p>
    <w:p>
      <w:pPr>
        <w:spacing w:after="120"/>
      </w:pPr>
      <w:r>
        <w:rPr>
          <w:rFonts w:ascii="Arial" w:cs="Arial" w:eastAsia="Arial" w:hAnsi="Arial"/>
          <w:b/>
          <w:bCs/>
          <w:sz w:val="22"/>
          <w:szCs w:val="22"/>
        </w:rPr>
        <w:t xml:space="preserve">Défi technique : </w:t>
      </w:r>
      <w:r>
        <w:rPr>
          <w:rFonts w:ascii="Arial" w:cs="Arial" w:eastAsia="Arial" w:hAnsi="Arial"/>
          <w:sz w:val="22"/>
          <w:szCs w:val="22"/>
        </w:rPr>
        <w:t xml:space="preserve">les patterns EEG de Karim ne sont pas identiques d'un essai à l'autre (bruit, fatigue, attention fluctuante). Un système de classification statique (SVM, CNN) exige un ré-entraînement fréquent. Un LLM est inutilisable en temps réel (latence, stateless).</w:t>
      </w:r>
    </w:p>
    <w:p>
      <w:pPr>
        <w:spacing w:after="120"/>
      </w:pPr>
      <w:r>
        <w:rPr>
          <w:rFonts w:ascii="Arial" w:cs="Arial" w:eastAsia="Arial" w:hAnsi="Arial"/>
          <w:b/>
          <w:bCs/>
          <w:sz w:val="22"/>
          <w:szCs w:val="22"/>
        </w:rPr>
        <w:t xml:space="preserve">Avec WC-Memory v7 : </w:t>
      </w:r>
      <w:r>
        <w:rPr>
          <w:rFonts w:ascii="Arial" w:cs="Arial" w:eastAsia="Arial" w:hAnsi="Arial"/>
          <w:sz w:val="22"/>
          <w:szCs w:val="22"/>
        </w:rPr>
        <w:t xml:space="preserve">chaque pattern d'intention (attraper, relâcher, pointer) est imprimé comme motif dans un réseau de 14×14 oscillateurs. L'EEG entrant génère un fragment (les électrodes les plus actives). Le réseau évoque le motif le plus cohérent en ~50-100ms via la bifurcation auto-induite. Puis désynchronisation — prêt pour le prochain signal. L'impression de nouveaux motifs (adaptation aux variations de Karim) se fait offline entre les sessions, sans perturbation des motifs existants grâce à η_ij = f(ri)·f(rj).</w:t>
      </w:r>
    </w:p>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8.3 Scénario 3 — Mémoire de travail pour agent IA multi-tâches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3AED" w:sz="8"/>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aps/>
                <w:color w:val="7C3AED"/>
                <w:sz w:val="20"/>
                <w:szCs w:val="20"/>
              </w:rPr>
              <w:t xml:space="preserve">👤 Utilisateur</w:t>
            </w:r>
          </w:p>
          <w:p>
            <w:pPr>
              <w:spacing w:after="0"/>
            </w:pPr>
            <w:r>
              <w:rPr>
                <w:rFonts w:ascii="Arial" w:cs="Arial" w:eastAsia="Arial" w:hAnsi="Arial"/>
                <w:color w:val="1A1A2E"/>
                <w:sz w:val="21"/>
                <w:szCs w:val="21"/>
              </w:rPr>
              <w:t xml:space="preserve">Une startup développe un agent IA pour la gestion de projets. L'agent doit gérer simultanément 5 projets, chacun avec son contexte propre. Quand un collaborateur envoie un message sur le projet Alpha, l'agent doit retrouver instantanément le contexte Alpha et s'en "souvenir" pendant la durée de l'échange — puis retourner au silence.</w:t>
            </w:r>
          </w:p>
        </w:tc>
      </w:tr>
    </w:tbl>
    <w:p>
      <w:pPr>
        <w:spacing w:after="120"/>
      </w:pPr>
    </w:p>
    <w:p>
      <w:pPr>
        <w:spacing w:after="120"/>
      </w:pPr>
      <w:r>
        <w:rPr>
          <w:rFonts w:ascii="Arial" w:cs="Arial" w:eastAsia="Arial" w:hAnsi="Arial"/>
          <w:b/>
          <w:bCs/>
          <w:sz w:val="22"/>
          <w:szCs w:val="22"/>
        </w:rPr>
        <w:t xml:space="preserve">Problème actuel (LLM) : </w:t>
      </w:r>
      <w:r>
        <w:rPr>
          <w:rFonts w:ascii="Arial" w:cs="Arial" w:eastAsia="Arial" w:hAnsi="Arial"/>
          <w:sz w:val="22"/>
          <w:szCs w:val="22"/>
        </w:rPr>
        <w:t xml:space="preserve">l'agent doit relire tout le contexte de chaque projet à chaque appel API — coût O(n²) en tokens, latence élevée, fenêtre de contexte limitée. Pour 5 projets actifs simultanément, le contexte explose.</w:t>
      </w:r>
    </w:p>
    <w:p>
      <w:pPr>
        <w:spacing w:after="120"/>
      </w:pPr>
      <w:r>
        <w:rPr>
          <w:rFonts w:ascii="Arial" w:cs="Arial" w:eastAsia="Arial" w:hAnsi="Arial"/>
          <w:b/>
          <w:bCs/>
          <w:sz w:val="22"/>
          <w:szCs w:val="22"/>
        </w:rPr>
        <w:t xml:space="preserve">Avec WC-Memory v7 (OAL intégré au pipeline) : </w:t>
      </w:r>
      <w:r>
        <w:rPr>
          <w:rFonts w:ascii="Arial" w:cs="Arial" w:eastAsia="Arial" w:hAnsi="Arial"/>
          <w:sz w:val="22"/>
          <w:szCs w:val="22"/>
        </w:rPr>
        <w:t xml:space="preserve">chaque projet est un motif encodé dans W. Un fragment (quelques mots-clés du message) déclenche l'évocation du contexte complet (~2s), qui est alors injecté dans le LLM sous forme de "working memory activated". Après l'échange, désynchronisation → le contexte n'est plus actif, libérant les ressources pour d'autres projets. L'apprentissage de nouveaux éléments de contexte se fait par impression offline (ρ=1), préservant les contextes existants.</w:t>
      </w:r>
    </w:p>
    <w:p>
      <w:r>
        <w:br w:type="page"/>
      </w:r>
    </w:p>
    <w:p>
      <w:pPr>
        <w:pStyle w:val="Heading1"/>
        <w:spacing w:after="160" w:before="400"/>
      </w:pPr>
      <w:r>
        <w:rPr>
          <w:rFonts w:ascii="Arial" w:cs="Arial" w:eastAsia="Arial" w:hAnsi="Arial"/>
          <w:b/>
          <w:bCs/>
          <w:color w:val="1E3A5F"/>
          <w:sz w:val="34"/>
          <w:szCs w:val="34"/>
        </w:rPr>
        <w:t xml:space="preserve">9. Scalabilité et architecture</w:t>
      </w:r>
    </w:p>
    <w:p>
      <w:pPr>
        <w:pStyle w:val="Heading2"/>
        <w:pBdr>
          <w:bottom w:val="single" w:color="2563EB" w:sz="2"/>
        </w:pBdr>
        <w:spacing w:after="120" w:before="320"/>
      </w:pPr>
      <w:r>
        <w:rPr>
          <w:rFonts w:ascii="Arial" w:cs="Arial" w:eastAsia="Arial" w:hAnsi="Arial"/>
          <w:b/>
          <w:bCs/>
          <w:color w:val="2563EB"/>
          <w:sz w:val="28"/>
          <w:szCs w:val="28"/>
        </w:rPr>
        <w:t xml:space="preserve">9.1 Bottleneck actuel</w:t>
      </w:r>
    </w:p>
    <w:p>
      <w:pPr>
        <w:spacing w:after="120"/>
      </w:pPr>
      <w:r>
        <w:rPr>
          <w:rFonts w:ascii="Arial" w:cs="Arial" w:eastAsia="Arial" w:hAnsi="Arial"/>
          <w:sz w:val="22"/>
          <w:szCs w:val="22"/>
        </w:rPr>
        <w:t xml:space="preserve">Le calcul N-to-N est O(N⁴) par pas (N² oscillateurs × N²-1 connexions). À N=14 et 8 pas/frame, le navigateur atteint sa limite. Deux approches complémentaires pour scaler :</w:t>
      </w:r>
    </w:p>
    <w:p>
      <w:pPr>
        <w:pStyle w:val="Heading2"/>
        <w:pBdr>
          <w:bottom w:val="single" w:color="2563EB" w:sz="2"/>
        </w:pBdr>
        <w:spacing w:after="120" w:before="320"/>
      </w:pPr>
      <w:r>
        <w:rPr>
          <w:rFonts w:ascii="Arial" w:cs="Arial" w:eastAsia="Arial" w:hAnsi="Arial"/>
          <w:b/>
          <w:bCs/>
          <w:color w:val="2563EB"/>
          <w:sz w:val="28"/>
          <w:szCs w:val="28"/>
        </w:rPr>
        <w:t xml:space="preserve">9.2 Optimisation matricielle</w:t>
      </w:r>
    </w:p>
    <w:p>
      <w:pPr>
        <w:spacing w:after="120"/>
      </w:pPr>
      <w:r>
        <w:rPr>
          <w:rFonts w:ascii="Arial" w:cs="Arial" w:eastAsia="Arial" w:hAnsi="Arial"/>
          <w:sz w:val="22"/>
          <w:szCs w:val="22"/>
        </w:rPr>
        <w:t xml:space="preserve">La boucle interne peut être entièrement vectorisée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single" w:color="2563EB" w:sz="6"/>
              <w:bottom w:val="none" w:color="FFFFFF" w:sz="0"/>
              <w:right w:val="none" w:color="FFFFFF" w:sz="0"/>
            </w:tcBorders>
            <w:shd w:fill="EEF2FF" w:val="clear"/>
            <w:tcMar>
              <w:top w:type="dxa" w:w="120"/>
              <w:left w:type="dxa" w:w="200"/>
              <w:bottom w:type="dxa" w:w="120"/>
              <w:right w:type="dxa" w:w="200"/>
            </w:tcMar>
          </w:tcPr>
          <w:p>
            <w:pPr>
              <w:spacing w:after="60"/>
            </w:pPr>
            <w:r>
              <w:rPr>
                <w:rFonts w:ascii="Courier New" w:cs="Courier New" w:eastAsia="Courier New" w:hAnsi="Courier New"/>
                <w:color w:val="1A1A2E"/>
                <w:sz w:val="21"/>
                <w:szCs w:val="21"/>
              </w:rPr>
              <w:t xml:space="preserve">// Version actuelle (boucle JS) : O(N⁴)</w:t>
            </w:r>
          </w:p>
          <w:p>
            <w:pPr>
              <w:spacing w:after="60"/>
            </w:pPr>
            <w:r>
              <w:rPr>
                <w:rFonts w:ascii="Courier New" w:cs="Courier New" w:eastAsia="Courier New" w:hAnsi="Courier New"/>
                <w:color w:val="1A1A2E"/>
                <w:sz w:val="21"/>
                <w:szCs w:val="21"/>
              </w:rPr>
              <w:t xml:space="preserve">for k: for kn: input[k] += W[k,kn] * x[kn] * gate[kn] / N²</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 Version matricielle : O(N²) opérations matricielles</w:t>
            </w:r>
          </w:p>
          <w:p>
            <w:pPr>
              <w:spacing w:after="60"/>
            </w:pPr>
            <w:r>
              <w:rPr>
                <w:rFonts w:ascii="Courier New" w:cs="Courier New" w:eastAsia="Courier New" w:hAnsi="Courier New"/>
                <w:color w:val="1A1A2E"/>
                <w:sz w:val="21"/>
                <w:szCs w:val="21"/>
              </w:rPr>
              <w:t xml:space="preserve">gate = tanh(4 * r)           // vecteur N²</w:t>
            </w:r>
          </w:p>
          <w:p>
            <w:pPr>
              <w:spacing w:after="60"/>
            </w:pPr>
            <w:r>
              <w:rPr>
                <w:rFonts w:ascii="Courier New" w:cs="Courier New" w:eastAsia="Courier New" w:hAnsi="Courier New"/>
                <w:color w:val="1A1A2E"/>
                <w:sz w:val="21"/>
                <w:szCs w:val="21"/>
              </w:rPr>
              <w:t xml:space="preserve">gated_x = x ⊙ gate           // produit élément par élément</w:t>
            </w:r>
          </w:p>
          <w:p>
            <w:pPr>
              <w:spacing w:after="60"/>
            </w:pPr>
            <w:r>
              <w:rPr>
                <w:rFonts w:ascii="Courier New" w:cs="Courier New" w:eastAsia="Courier New" w:hAnsi="Courier New"/>
                <w:color w:val="1A1A2E"/>
                <w:sz w:val="21"/>
                <w:szCs w:val="21"/>
              </w:rPr>
              <w:t xml:space="preserve">inputs = (W @ gated_x) / N²  // produit matrice-vecteur</w:t>
            </w:r>
          </w:p>
          <w:p>
            <w:pPr>
              <w:spacing w:after="60"/>
            </w:pPr>
            <w:r>
              <w:rPr>
                <w:rFonts w:ascii="Courier New" w:cs="Courier New" w:eastAsia="Courier New" w:hAnsi="Courier New"/>
                <w:color w:val="1A1A2E"/>
                <w:sz w:val="21"/>
                <w:szCs w:val="21"/>
              </w:rPr>
              <w:t xml:space="preserve"/>
            </w:r>
          </w:p>
          <w:p>
            <w:pPr>
              <w:spacing w:after="60"/>
            </w:pPr>
            <w:r>
              <w:rPr>
                <w:rFonts w:ascii="Courier New" w:cs="Courier New" w:eastAsia="Courier New" w:hAnsi="Courier New"/>
                <w:color w:val="1A1A2E"/>
                <w:sz w:val="21"/>
                <w:szCs w:val="21"/>
              </w:rPr>
              <w:t xml:space="preserve">// En PyTorch (GPU) :</w:t>
            </w:r>
          </w:p>
          <w:p>
            <w:pPr>
              <w:spacing w:after="60"/>
            </w:pPr>
            <w:r>
              <w:rPr>
                <w:rFonts w:ascii="Courier New" w:cs="Courier New" w:eastAsia="Courier New" w:hAnsi="Courier New"/>
                <w:color w:val="1A1A2E"/>
                <w:sz w:val="21"/>
                <w:szCs w:val="21"/>
              </w:rPr>
              <w:t xml:space="preserve">inputs = torch.mm(W, (x * torch.tanh(4*r)).unsqueeze(1)).squeeze() / N**2</w:t>
            </w:r>
          </w:p>
        </w:tc>
      </w:tr>
    </w:tbl>
    <w:p>
      <w:pPr>
        <w:spacing w:after="120"/>
      </w:pPr>
      <w:r>
        <w:rPr>
          <w:rFonts w:ascii="Arial" w:cs="Arial" w:eastAsia="Arial" w:hAnsi="Arial"/>
          <w:b/>
          <w:bCs/>
          <w:sz w:val="22"/>
          <w:szCs w:val="22"/>
        </w:rPr>
        <w:t xml:space="preserve">Gain attendu : </w:t>
      </w:r>
      <w:r>
        <w:rPr>
          <w:rFonts w:ascii="Arial" w:cs="Arial" w:eastAsia="Arial" w:hAnsi="Arial"/>
          <w:sz w:val="22"/>
          <w:szCs w:val="22"/>
        </w:rPr>
        <w:t xml:space="preserve">sur GPU (CUDA), le produit matriciel W @ gated_x est 100-1000× plus rapide que la boucle Python/JS équivalente. N peut monter à 64-128 (N²=4096-16384 oscillateurs) sans perte de fluidité.</w:t>
      </w:r>
    </w:p>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9.3 Architecture sparse (connexions éparses)</w:t>
      </w:r>
    </w:p>
    <w:p>
      <w:pPr>
        <w:spacing w:after="120"/>
      </w:pPr>
      <w:r>
        <w:rPr>
          <w:rFonts w:ascii="Arial" w:cs="Arial" w:eastAsia="Arial" w:hAnsi="Arial"/>
          <w:sz w:val="22"/>
          <w:szCs w:val="22"/>
        </w:rPr>
        <w:t xml:space="preserve">Pour N ≥ 32, la matrice W (N²×N²) devient volumineuse (N=32 → 1M de poids, 8MB). Stratégie sparse :</w:t>
      </w:r>
    </w:p>
    <w:p>
      <w:pPr>
        <w:pStyle w:val="ListParagraph"/>
        <w:numPr>
          <w:ilvl w:val="0"/>
          <w:numId w:val="2"/>
        </w:numPr>
        <w:spacing w:after="80"/>
      </w:pPr>
      <w:r>
        <w:rPr>
          <w:rFonts w:ascii="Arial" w:cs="Arial" w:eastAsia="Arial" w:hAnsi="Arial"/>
          <w:sz w:val="22"/>
          <w:szCs w:val="22"/>
        </w:rPr>
        <w:t xml:space="preserve">Seuil w_min=0.01 : connexions avec |w| &lt; w_min remises à zéro → matrice creuse</w:t>
      </w:r>
    </w:p>
    <w:p>
      <w:pPr>
        <w:pStyle w:val="ListParagraph"/>
        <w:numPr>
          <w:ilvl w:val="0"/>
          <w:numId w:val="2"/>
        </w:numPr>
        <w:spacing w:after="80"/>
      </w:pPr>
      <w:r>
        <w:rPr>
          <w:rFonts w:ascii="Arial" w:cs="Arial" w:eastAsia="Arial" w:hAnsi="Arial"/>
          <w:sz w:val="22"/>
          <w:szCs w:val="22"/>
        </w:rPr>
        <w:t xml:space="preserve">Représentation CSR (Compressed Sparse Row) : seules les connexions actives sont stockées</w:t>
      </w:r>
    </w:p>
    <w:p>
      <w:pPr>
        <w:pStyle w:val="ListParagraph"/>
        <w:numPr>
          <w:ilvl w:val="0"/>
          <w:numId w:val="2"/>
        </w:numPr>
        <w:spacing w:after="80"/>
      </w:pPr>
      <w:r>
        <w:rPr>
          <w:rFonts w:ascii="Arial" w:cs="Arial" w:eastAsia="Arial" w:hAnsi="Arial"/>
          <w:sz w:val="22"/>
          <w:szCs w:val="22"/>
        </w:rPr>
        <w:t xml:space="preserve">Complexité : O(N²·k) où k = degré moyen ≪ N² après seuillage</w:t>
      </w:r>
    </w:p>
    <w:p>
      <w:pPr>
        <w:pStyle w:val="ListParagraph"/>
        <w:numPr>
          <w:ilvl w:val="0"/>
          <w:numId w:val="2"/>
        </w:numPr>
        <w:spacing w:after="80"/>
      </w:pPr>
      <w:r>
        <w:rPr>
          <w:rFonts w:ascii="Arial" w:cs="Arial" w:eastAsia="Arial" w:hAnsi="Arial"/>
          <w:sz w:val="22"/>
          <w:szCs w:val="22"/>
        </w:rPr>
        <w:t xml:space="preserve">Biologiquement motivé : dans le cortex, chaque neurone a ~10 000 connexions sur ~10 milliards de neurones — la matrice est creuse à 99.999%</w:t>
      </w:r>
    </w:p>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9.4 Vision de macro-architecture</w:t>
      </w:r>
    </w:p>
    <w:p>
      <w:pPr>
        <w:spacing w:after="120"/>
      </w:pPr>
      <w:r>
        <w:rPr>
          <w:rFonts w:ascii="Arial" w:cs="Arial" w:eastAsia="Arial" w:hAnsi="Arial"/>
          <w:sz w:val="22"/>
          <w:szCs w:val="22"/>
        </w:rPr>
        <w:t xml:space="preserve">Pour aller au-delà de la simulation de recherche vers une architecture IA opérationnelle, WC-Memory v7 s'intègre naturellement comme module dans une architecture hybride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Encodeur perceptuel</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Convertit les entrées brutes (texte, image, audio) en patterns d'oscillateurs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Transformer encoder (BERT, ViT) → projection vers espace N²</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WC-Memory Layer (OAL)</w:t>
            </w:r>
          </w:p>
        </w:tc>
        <w:tc>
          <w:tcPr>
            <w:tcW w:type="dxa" w:w="3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Binding associatif, mémoire de travail, désynchronisation</w:t>
            </w:r>
          </w:p>
        </w:tc>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WC-Memory v7 — module PyTorch différentiable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Décodeur génératif</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Produit la sortie à partir de l'état évoqué</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Transformer decoder ou MLP</w:t>
            </w:r>
          </w:p>
        </w:tc>
      </w:tr>
      <w:tr>
        <w:tc>
          <w:tcPr>
            <w:tcW w:type="dxa" w:w="2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Mémoire longue durée</w:t>
            </w:r>
          </w:p>
        </w:tc>
        <w:tc>
          <w:tcPr>
            <w:tcW w:type="dxa" w:w="3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Stockage offline des motifs importants (sommeil artificiel)</w:t>
            </w:r>
          </w:p>
        </w:tc>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Hebb bilatéral offline + consolidation ρ=1</w:t>
            </w:r>
          </w:p>
        </w:tc>
      </w:tr>
    </w:tbl>
    <w:p>
      <w:r>
        <w:br w:type="page"/>
      </w:r>
    </w:p>
    <w:p>
      <w:pPr>
        <w:pStyle w:val="Heading1"/>
        <w:spacing w:after="160" w:before="400"/>
      </w:pPr>
      <w:r>
        <w:rPr>
          <w:rFonts w:ascii="Arial" w:cs="Arial" w:eastAsia="Arial" w:hAnsi="Arial"/>
          <w:b/>
          <w:bCs/>
          <w:color w:val="1E3A5F"/>
          <w:sz w:val="34"/>
          <w:szCs w:val="34"/>
        </w:rPr>
        <w:t xml:space="preserve">10. Limites actuelles et roadmap v8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0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4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 envisagée en v8</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Propagation partielle (F1 ≈ 0.5-0.7)</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 Élevée</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Calibration γ/lr fine. Impressions multiples. Test avec N=20.</w:t>
            </w:r>
          </w:p>
        </w:tc>
      </w:tr>
      <w:tr>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Mémoire séquentielle absente</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 Élevée</w:t>
            </w:r>
          </w:p>
        </w:tc>
        <w:tc>
          <w:tcPr>
            <w:tcW w:type="dxa" w:w="4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STDP asymétrique : dw dépend du délai Δt entre pics (causal/anticausal)</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Capacité 3-5 motifs effectifs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 Modérée</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Encodage orthogonal forcé + impression multi-passes + sparse W</w:t>
            </w:r>
          </w:p>
        </w:tc>
      </w:tr>
      <w:tr>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Performance O(N⁴)</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 Modérée</w:t>
            </w:r>
          </w:p>
        </w:tc>
        <w:tc>
          <w:tcPr>
            <w:tcW w:type="dxa" w:w="4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Vectorisation PyTorch/GPU. Sparse W pour N &gt; 18.</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Généralisation nulle (exact match)</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 Fondamental</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pPr>
            <w:r>
              <w:rPr>
                <w:rFonts w:ascii="Arial" w:cs="Arial" w:eastAsia="Arial" w:hAnsi="Arial"/>
                <w:sz w:val="20"/>
                <w:szCs w:val="20"/>
              </w:rPr>
              <w:t xml:space="preserve">Nécessite un encodeur perceptuel pré-entrainé (ViT, BERT) en amont</w:t>
            </w:r>
          </w:p>
        </w:tc>
      </w:tr>
      <w:tr>
        <w:tc>
          <w:tcPr>
            <w:tcW w:type="dxa" w:w="30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Pas de test sur données réelles</w:t>
            </w:r>
          </w:p>
        </w:tc>
        <w:tc>
          <w:tcPr>
            <w:tcW w:type="dxa" w:w="12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 R&amp;D</w:t>
            </w:r>
          </w:p>
        </w:tc>
        <w:tc>
          <w:tcPr>
            <w:tcW w:type="dxa" w:w="4800"/>
            <w:tcBorders>
              <w:top w:val="single" w:color="DDDDDD" w:sz="1"/>
              <w:left w:val="single" w:color="DDDDDD" w:sz="1"/>
              <w:bottom w:val="single" w:color="DDDDDD" w:sz="1"/>
              <w:right w:val="single" w:color="DDDDDD" w:sz="1"/>
            </w:tcBorders>
            <w:shd w:fill="F5F5F8" w:val="clear"/>
            <w:tcMar>
              <w:top w:type="dxa" w:w="70"/>
              <w:left w:type="dxa" w:w="120"/>
              <w:bottom w:type="dxa" w:w="70"/>
              <w:right w:type="dxa" w:w="120"/>
            </w:tcMar>
          </w:tcPr>
          <w:p>
            <w:pPr>
              <w:spacing w:after="0"/>
            </w:pPr>
            <w:r>
              <w:rPr>
                <w:rFonts w:ascii="Arial" w:cs="Arial" w:eastAsia="Arial" w:hAnsi="Arial"/>
                <w:sz w:val="20"/>
                <w:szCs w:val="20"/>
              </w:rPr>
              <w:t xml:space="preserve">Benchmark MNIST patches + séquences de tokens dans v8</w:t>
            </w:r>
          </w:p>
        </w:tc>
      </w:tr>
    </w:tbl>
    <w:p>
      <w:pPr>
        <w:spacing w:after="120"/>
      </w:pPr>
    </w:p>
    <w:p>
      <w:pPr>
        <w:pStyle w:val="Heading2"/>
        <w:pBdr>
          <w:bottom w:val="single" w:color="2563EB" w:sz="2"/>
        </w:pBdr>
        <w:spacing w:after="120" w:before="320"/>
      </w:pPr>
      <w:r>
        <w:rPr>
          <w:rFonts w:ascii="Arial" w:cs="Arial" w:eastAsia="Arial" w:hAnsi="Arial"/>
          <w:b/>
          <w:bCs/>
          <w:color w:val="2563EB"/>
          <w:sz w:val="28"/>
          <w:szCs w:val="28"/>
        </w:rPr>
        <w:t xml:space="preserve">Roadmap v8</w:t>
      </w:r>
    </w:p>
    <w:p>
      <w:pPr>
        <w:pStyle w:val="ListParagraph"/>
        <w:numPr>
          <w:ilvl w:val="0"/>
          <w:numId w:val="3"/>
        </w:numPr>
        <w:spacing w:after="100"/>
      </w:pPr>
      <w:r>
        <w:rPr>
          <w:rFonts w:ascii="Arial" w:cs="Arial" w:eastAsia="Arial" w:hAnsi="Arial"/>
          <w:b/>
          <w:bCs/>
          <w:sz w:val="22"/>
          <w:szCs w:val="22"/>
        </w:rPr>
        <w:t xml:space="preserve">Prototype OAL PyTorch : </w:t>
      </w:r>
      <w:r>
        <w:rPr>
          <w:rFonts w:ascii="Arial" w:cs="Arial" w:eastAsia="Arial" w:hAnsi="Arial"/>
          <w:sz w:val="22"/>
          <w:szCs w:val="22"/>
        </w:rPr>
        <w:t xml:space="preserve">implémenter T pas WC comme couche différentiable, tester sur MNIST et classification de séquences</w:t>
      </w:r>
    </w:p>
    <w:p>
      <w:pPr>
        <w:pStyle w:val="ListParagraph"/>
        <w:numPr>
          <w:ilvl w:val="0"/>
          <w:numId w:val="3"/>
        </w:numPr>
        <w:spacing w:after="100"/>
      </w:pPr>
      <w:r>
        <w:rPr>
          <w:rFonts w:ascii="Arial" w:cs="Arial" w:eastAsia="Arial" w:hAnsi="Arial"/>
          <w:b/>
          <w:bCs/>
          <w:sz w:val="22"/>
          <w:szCs w:val="22"/>
        </w:rPr>
        <w:t xml:space="preserve">STDP asymétrique : </w:t>
      </w:r>
      <w:r>
        <w:rPr>
          <w:rFonts w:ascii="Arial" w:cs="Arial" w:eastAsia="Arial" w:hAnsi="Arial"/>
          <w:sz w:val="22"/>
          <w:szCs w:val="22"/>
        </w:rPr>
        <w:t xml:space="preserve">dw_{kj}/dt dépend du signe de (t_k − t_j) — mémoire d'ordre et de séquences</w:t>
      </w:r>
    </w:p>
    <w:p>
      <w:pPr>
        <w:pStyle w:val="ListParagraph"/>
        <w:numPr>
          <w:ilvl w:val="0"/>
          <w:numId w:val="3"/>
        </w:numPr>
        <w:spacing w:after="100"/>
      </w:pPr>
      <w:r>
        <w:rPr>
          <w:rFonts w:ascii="Arial" w:cs="Arial" w:eastAsia="Arial" w:hAnsi="Arial"/>
          <w:b/>
          <w:bCs/>
          <w:sz w:val="22"/>
          <w:szCs w:val="22"/>
        </w:rPr>
        <w:t xml:space="preserve">Benchmark Φ : </w:t>
      </w:r>
      <w:r>
        <w:rPr>
          <w:rFonts w:ascii="Arial" w:cs="Arial" w:eastAsia="Arial" w:hAnsi="Arial"/>
          <w:sz w:val="22"/>
          <w:szCs w:val="22"/>
        </w:rPr>
        <w:t xml:space="preserve">mesurer l'information intégrée pendant une évocation — validation empirique lien IIT/binding</w:t>
      </w:r>
    </w:p>
    <w:p>
      <w:pPr>
        <w:pStyle w:val="ListParagraph"/>
        <w:numPr>
          <w:ilvl w:val="0"/>
          <w:numId w:val="3"/>
        </w:numPr>
        <w:spacing w:after="100"/>
      </w:pPr>
      <w:r>
        <w:rPr>
          <w:rFonts w:ascii="Arial" w:cs="Arial" w:eastAsia="Arial" w:hAnsi="Arial"/>
          <w:b/>
          <w:bCs/>
          <w:sz w:val="22"/>
          <w:szCs w:val="22"/>
        </w:rPr>
        <w:t xml:space="preserve">Multimodalité : </w:t>
      </w:r>
      <w:r>
        <w:rPr>
          <w:rFonts w:ascii="Arial" w:cs="Arial" w:eastAsia="Arial" w:hAnsi="Arial"/>
          <w:sz w:val="22"/>
          <w:szCs w:val="22"/>
        </w:rPr>
        <w:t xml:space="preserve">deux sous-réseaux (vision + langage) avec couplage inter-modal appris — démonstration du binding cross-modal</w:t>
      </w:r>
    </w:p>
    <w:p>
      <w:pPr>
        <w:pStyle w:val="ListParagraph"/>
        <w:numPr>
          <w:ilvl w:val="0"/>
          <w:numId w:val="3"/>
        </w:numPr>
        <w:spacing w:after="100"/>
      </w:pPr>
      <w:r>
        <w:rPr>
          <w:rFonts w:ascii="Arial" w:cs="Arial" w:eastAsia="Arial" w:hAnsi="Arial"/>
          <w:b/>
          <w:bCs/>
          <w:sz w:val="22"/>
          <w:szCs w:val="22"/>
        </w:rPr>
        <w:t xml:space="preserve">Sparse N-to-N : </w:t>
      </w:r>
      <w:r>
        <w:rPr>
          <w:rFonts w:ascii="Arial" w:cs="Arial" w:eastAsia="Arial" w:hAnsi="Arial"/>
          <w:sz w:val="22"/>
          <w:szCs w:val="22"/>
        </w:rPr>
        <w:t xml:space="preserve">seuillage w_min + représentation CSR — passage à N=32-64</w:t>
      </w:r>
    </w:p>
    <w:p>
      <w:r>
        <w:br w:type="page"/>
      </w:r>
    </w:p>
    <w:p>
      <w:pPr>
        <w:pStyle w:val="Heading1"/>
        <w:spacing w:after="160" w:before="400"/>
      </w:pPr>
      <w:r>
        <w:rPr>
          <w:rFonts w:ascii="Arial" w:cs="Arial" w:eastAsia="Arial" w:hAnsi="Arial"/>
          <w:b/>
          <w:bCs/>
          <w:color w:val="1E3A5F"/>
          <w:sz w:val="34"/>
          <w:szCs w:val="34"/>
        </w:rPr>
        <w:t xml:space="preserve">Références</w:t>
      </w:r>
    </w:p>
    <w:p>
      <w:pPr>
        <w:spacing w:after="120"/>
      </w:pPr>
      <w:r>
        <w:rPr>
          <w:rFonts w:ascii="Arial" w:cs="Arial" w:eastAsia="Arial" w:hAnsi="Arial"/>
          <w:color w:val="2563EB"/>
          <w:sz w:val="22"/>
          <w:szCs w:val="22"/>
        </w:rPr>
        <w:t xml:space="preserve">[1]  </w:t>
      </w:r>
      <w:r>
        <w:rPr>
          <w:rFonts w:ascii="Arial" w:cs="Arial" w:eastAsia="Arial" w:hAnsi="Arial"/>
          <w:sz w:val="22"/>
          <w:szCs w:val="22"/>
        </w:rPr>
        <w:t xml:space="preserve">Wilson, H.R., &amp; Cowan, J.D. (1972). Excitatory and inhibitory interactions in localized populations of model neurons. Biophysical Journal, 12(1), 1-24.</w:t>
      </w:r>
    </w:p>
    <w:p>
      <w:pPr>
        <w:spacing w:after="120"/>
      </w:pPr>
      <w:r>
        <w:rPr>
          <w:rFonts w:ascii="Arial" w:cs="Arial" w:eastAsia="Arial" w:hAnsi="Arial"/>
          <w:color w:val="2563EB"/>
          <w:sz w:val="22"/>
          <w:szCs w:val="22"/>
        </w:rPr>
        <w:t xml:space="preserve">[2]  </w:t>
      </w:r>
      <w:r>
        <w:rPr>
          <w:rFonts w:ascii="Arial" w:cs="Arial" w:eastAsia="Arial" w:hAnsi="Arial"/>
          <w:sz w:val="22"/>
          <w:szCs w:val="22"/>
        </w:rPr>
        <w:t xml:space="preserve">Hopfield, J.J. (1982). Neural networks and physical systems with emergent collective computational abilities. PNAS, 79(8), 2554-2558.</w:t>
      </w:r>
    </w:p>
    <w:p>
      <w:pPr>
        <w:spacing w:after="120"/>
      </w:pPr>
      <w:r>
        <w:rPr>
          <w:rFonts w:ascii="Arial" w:cs="Arial" w:eastAsia="Arial" w:hAnsi="Arial"/>
          <w:color w:val="2563EB"/>
          <w:sz w:val="22"/>
          <w:szCs w:val="22"/>
        </w:rPr>
        <w:t xml:space="preserve">[3]  </w:t>
      </w:r>
      <w:r>
        <w:rPr>
          <w:rFonts w:ascii="Arial" w:cs="Arial" w:eastAsia="Arial" w:hAnsi="Arial"/>
          <w:sz w:val="22"/>
          <w:szCs w:val="22"/>
        </w:rPr>
        <w:t xml:space="preserve">Hebb, D.O. (1949). The Organization of Behavior. Wiley.</w:t>
      </w:r>
    </w:p>
    <w:p>
      <w:pPr>
        <w:spacing w:after="120"/>
      </w:pPr>
      <w:r>
        <w:rPr>
          <w:rFonts w:ascii="Arial" w:cs="Arial" w:eastAsia="Arial" w:hAnsi="Arial"/>
          <w:color w:val="2563EB"/>
          <w:sz w:val="22"/>
          <w:szCs w:val="22"/>
        </w:rPr>
        <w:t xml:space="preserve">[4]  </w:t>
      </w:r>
      <w:r>
        <w:rPr>
          <w:rFonts w:ascii="Arial" w:cs="Arial" w:eastAsia="Arial" w:hAnsi="Arial"/>
          <w:sz w:val="22"/>
          <w:szCs w:val="22"/>
        </w:rPr>
        <w:t xml:space="preserve">Ben Amor, H. (2024). Modèles d'oscillateurs de Wilson-Cowan pour le binding perceptuel et la mémoire oscillatoire. Thèse de Doctorat.</w:t>
      </w:r>
    </w:p>
    <w:p>
      <w:pPr>
        <w:spacing w:after="120"/>
      </w:pPr>
      <w:r>
        <w:rPr>
          <w:rFonts w:ascii="Arial" w:cs="Arial" w:eastAsia="Arial" w:hAnsi="Arial"/>
          <w:color w:val="2563EB"/>
          <w:sz w:val="22"/>
          <w:szCs w:val="22"/>
        </w:rPr>
        <w:t xml:space="preserve">[5]  </w:t>
      </w:r>
      <w:r>
        <w:rPr>
          <w:rFonts w:ascii="Arial" w:cs="Arial" w:eastAsia="Arial" w:hAnsi="Arial"/>
          <w:sz w:val="22"/>
          <w:szCs w:val="22"/>
        </w:rPr>
        <w:t xml:space="preserve">Hoppensteadt, F.C., &amp; Izhikevich, E.M. (1999). Oscillatory neurocomputers with dynamic connectivity. Physical Review Letters, 82(14), 2983.</w:t>
      </w:r>
    </w:p>
    <w:p>
      <w:pPr>
        <w:spacing w:after="120"/>
      </w:pPr>
      <w:r>
        <w:rPr>
          <w:rFonts w:ascii="Arial" w:cs="Arial" w:eastAsia="Arial" w:hAnsi="Arial"/>
          <w:color w:val="2563EB"/>
          <w:sz w:val="22"/>
          <w:szCs w:val="22"/>
        </w:rPr>
        <w:t xml:space="preserve">[6]  </w:t>
      </w:r>
      <w:r>
        <w:rPr>
          <w:rFonts w:ascii="Arial" w:cs="Arial" w:eastAsia="Arial" w:hAnsi="Arial"/>
          <w:sz w:val="22"/>
          <w:szCs w:val="22"/>
        </w:rPr>
        <w:t xml:space="preserve">Wang, X.J. (2001). Synaptic reverberation underlying mnemonic persistent activity. Trends in Neurosciences, 24(8), 455-463.</w:t>
      </w:r>
    </w:p>
    <w:p>
      <w:pPr>
        <w:spacing w:after="120"/>
      </w:pPr>
      <w:r>
        <w:rPr>
          <w:rFonts w:ascii="Arial" w:cs="Arial" w:eastAsia="Arial" w:hAnsi="Arial"/>
          <w:color w:val="2563EB"/>
          <w:sz w:val="22"/>
          <w:szCs w:val="22"/>
        </w:rPr>
        <w:t xml:space="preserve">[7]  </w:t>
      </w:r>
      <w:r>
        <w:rPr>
          <w:rFonts w:ascii="Arial" w:cs="Arial" w:eastAsia="Arial" w:hAnsi="Arial"/>
          <w:sz w:val="22"/>
          <w:szCs w:val="22"/>
        </w:rPr>
        <w:t xml:space="preserve">Compte, A., et al. (2000). Synaptic mechanisms and network dynamics underlying spatial working memory. Cerebral Cortex, 10(9), 910-923.</w:t>
      </w:r>
    </w:p>
    <w:p>
      <w:pPr>
        <w:spacing w:after="120"/>
      </w:pPr>
      <w:r>
        <w:rPr>
          <w:rFonts w:ascii="Arial" w:cs="Arial" w:eastAsia="Arial" w:hAnsi="Arial"/>
          <w:color w:val="2563EB"/>
          <w:sz w:val="22"/>
          <w:szCs w:val="22"/>
        </w:rPr>
        <w:t xml:space="preserve">[8]  </w:t>
      </w:r>
      <w:r>
        <w:rPr>
          <w:rFonts w:ascii="Arial" w:cs="Arial" w:eastAsia="Arial" w:hAnsi="Arial"/>
          <w:sz w:val="22"/>
          <w:szCs w:val="22"/>
        </w:rPr>
        <w:t xml:space="preserve">Steriade, M., et al. (2001). Natural waking and sleep states: a view from inside neocortical neurons. Journal of Neurophysiology, 85(5), 1969-1985.</w:t>
      </w:r>
    </w:p>
    <w:p>
      <w:pPr>
        <w:spacing w:after="120"/>
      </w:pPr>
      <w:r>
        <w:rPr>
          <w:rFonts w:ascii="Arial" w:cs="Arial" w:eastAsia="Arial" w:hAnsi="Arial"/>
          <w:color w:val="2563EB"/>
          <w:sz w:val="22"/>
          <w:szCs w:val="22"/>
        </w:rPr>
        <w:t xml:space="preserve">[9]  </w:t>
      </w:r>
      <w:r>
        <w:rPr>
          <w:rFonts w:ascii="Arial" w:cs="Arial" w:eastAsia="Arial" w:hAnsi="Arial"/>
          <w:sz w:val="22"/>
          <w:szCs w:val="22"/>
        </w:rPr>
        <w:t xml:space="preserve">Gray, C.M., &amp; Singer, W. (1989). Stimulus-specific neuronal oscillations in orientation columns of cat visual cortex. PNAS, 86(5), 1698-1702.</w:t>
      </w:r>
    </w:p>
    <w:p>
      <w:pPr>
        <w:spacing w:after="120"/>
      </w:pPr>
      <w:r>
        <w:rPr>
          <w:rFonts w:ascii="Arial" w:cs="Arial" w:eastAsia="Arial" w:hAnsi="Arial"/>
          <w:color w:val="2563EB"/>
          <w:sz w:val="22"/>
          <w:szCs w:val="22"/>
        </w:rPr>
        <w:t xml:space="preserve">[10] </w:t>
      </w:r>
      <w:r>
        <w:rPr>
          <w:rFonts w:ascii="Arial" w:cs="Arial" w:eastAsia="Arial" w:hAnsi="Arial"/>
          <w:sz w:val="22"/>
          <w:szCs w:val="22"/>
        </w:rPr>
        <w:t xml:space="preserve">Varela, F., et al. (2001). The brainweb: phase synchronization and large-scale integration. Nature Reviews Neuroscience, 2(4), 229-239.</w:t>
      </w:r>
    </w:p>
    <w:p>
      <w:pPr>
        <w:spacing w:after="120"/>
      </w:pPr>
      <w:r>
        <w:rPr>
          <w:rFonts w:ascii="Arial" w:cs="Arial" w:eastAsia="Arial" w:hAnsi="Arial"/>
          <w:color w:val="2563EB"/>
          <w:sz w:val="22"/>
          <w:szCs w:val="22"/>
        </w:rPr>
        <w:t xml:space="preserve">[11] </w:t>
      </w:r>
      <w:r>
        <w:rPr>
          <w:rFonts w:ascii="Arial" w:cs="Arial" w:eastAsia="Arial" w:hAnsi="Arial"/>
          <w:sz w:val="22"/>
          <w:szCs w:val="22"/>
        </w:rPr>
        <w:t xml:space="preserve">Dehaene, S., &amp; Changeux, J.P. (2011). Experimental and theoretical approaches to conscious processing. Neuron, 70(2), 200-227.</w:t>
      </w:r>
    </w:p>
    <w:p>
      <w:pPr>
        <w:spacing w:after="120"/>
      </w:pPr>
      <w:r>
        <w:rPr>
          <w:rFonts w:ascii="Arial" w:cs="Arial" w:eastAsia="Arial" w:hAnsi="Arial"/>
          <w:color w:val="2563EB"/>
          <w:sz w:val="22"/>
          <w:szCs w:val="22"/>
        </w:rPr>
        <w:t xml:space="preserve">[12] </w:t>
      </w:r>
      <w:r>
        <w:rPr>
          <w:rFonts w:ascii="Arial" w:cs="Arial" w:eastAsia="Arial" w:hAnsi="Arial"/>
          <w:sz w:val="22"/>
          <w:szCs w:val="22"/>
        </w:rPr>
        <w:t xml:space="preserve">Vaswani, A., et al. (2017). Attention is all you need. NeurIPS, 30.</w:t>
      </w:r>
    </w:p>
    <w:p>
      <w:pPr>
        <w:spacing w:after="120"/>
      </w:pPr>
      <w:r>
        <w:rPr>
          <w:rFonts w:ascii="Arial" w:cs="Arial" w:eastAsia="Arial" w:hAnsi="Arial"/>
          <w:color w:val="2563EB"/>
          <w:sz w:val="22"/>
          <w:szCs w:val="22"/>
        </w:rPr>
        <w:t xml:space="preserve">[13] </w:t>
      </w:r>
      <w:r>
        <w:rPr>
          <w:rFonts w:ascii="Arial" w:cs="Arial" w:eastAsia="Arial" w:hAnsi="Arial"/>
          <w:sz w:val="22"/>
          <w:szCs w:val="22"/>
        </w:rPr>
        <w:t xml:space="preserve">Ramsauer, H., et al. (2020). Hopfield networks is all you need. ICLR 2021. arXiv:2008.02217.</w:t>
      </w:r>
    </w:p>
    <w:p>
      <w:pPr>
        <w:spacing w:after="120"/>
      </w:pPr>
      <w:r>
        <w:rPr>
          <w:rFonts w:ascii="Arial" w:cs="Arial" w:eastAsia="Arial" w:hAnsi="Arial"/>
          <w:color w:val="2563EB"/>
          <w:sz w:val="22"/>
          <w:szCs w:val="22"/>
        </w:rPr>
        <w:t xml:space="preserve">[14] </w:t>
      </w:r>
      <w:r>
        <w:rPr>
          <w:rFonts w:ascii="Arial" w:cs="Arial" w:eastAsia="Arial" w:hAnsi="Arial"/>
          <w:sz w:val="22"/>
          <w:szCs w:val="22"/>
        </w:rPr>
        <w:t xml:space="preserve">Tononi, G. (2004). An information integration theory of consciousness. BMC Neuroscience, 5, 42.</w:t>
      </w:r>
    </w:p>
    <w:p>
      <w:pPr>
        <w:spacing w:after="120"/>
      </w:pPr>
      <w:r>
        <w:rPr>
          <w:rFonts w:ascii="Arial" w:cs="Arial" w:eastAsia="Arial" w:hAnsi="Arial"/>
          <w:color w:val="2563EB"/>
          <w:sz w:val="22"/>
          <w:szCs w:val="22"/>
        </w:rPr>
        <w:t xml:space="preserve">[15] </w:t>
      </w:r>
      <w:r>
        <w:rPr>
          <w:rFonts w:ascii="Arial" w:cs="Arial" w:eastAsia="Arial" w:hAnsi="Arial"/>
          <w:sz w:val="22"/>
          <w:szCs w:val="22"/>
        </w:rPr>
        <w:t xml:space="preserve">Tononi, G., et al. (2016). Integrated information theory: from consciousness to its physical substrate. Nature Reviews Neuroscience, 17(7), 450-461.</w:t>
      </w:r>
    </w:p>
    <w:p>
      <w:pPr>
        <w:spacing w:after="120"/>
      </w:pPr>
      <w:r>
        <w:rPr>
          <w:rFonts w:ascii="Arial" w:cs="Arial" w:eastAsia="Arial" w:hAnsi="Arial"/>
          <w:color w:val="2563EB"/>
          <w:sz w:val="22"/>
          <w:szCs w:val="22"/>
        </w:rPr>
        <w:t xml:space="preserve">[16] </w:t>
      </w:r>
      <w:r>
        <w:rPr>
          <w:rFonts w:ascii="Arial" w:cs="Arial" w:eastAsia="Arial" w:hAnsi="Arial"/>
          <w:sz w:val="22"/>
          <w:szCs w:val="22"/>
        </w:rPr>
        <w:t xml:space="preserve">Tsodyks, M., &amp; Markram, H. (1997). The neural code between neocortical pyramidal neurons depends on neurotransmitter release probability. PNAS, 94(2), 719-723.</w:t>
      </w:r>
    </w:p>
    <w:p>
      <w:pPr>
        <w:spacing w:after="120"/>
      </w:pPr>
      <w:r>
        <w:rPr>
          <w:rFonts w:ascii="Arial" w:cs="Arial" w:eastAsia="Arial" w:hAnsi="Arial"/>
          <w:color w:val="2563EB"/>
          <w:sz w:val="22"/>
          <w:szCs w:val="22"/>
        </w:rPr>
        <w:t xml:space="preserve">[17] </w:t>
      </w:r>
      <w:r>
        <w:rPr>
          <w:rFonts w:ascii="Arial" w:cs="Arial" w:eastAsia="Arial" w:hAnsi="Arial"/>
          <w:sz w:val="22"/>
          <w:szCs w:val="22"/>
        </w:rPr>
        <w:t xml:space="preserve">Bliss, T.V.P., &amp; Lømo, T. (1973). Long-lasting potentiation of synaptic transmission in the dentate area of the anaesthetized rabbit. Journal of Physiology, 232(2), 331-356.</w:t>
      </w:r>
    </w:p>
    <w:p>
      <w:pPr>
        <w:spacing w:after="120"/>
      </w:pPr>
      <w:r>
        <w:rPr>
          <w:rFonts w:ascii="Arial" w:cs="Arial" w:eastAsia="Arial" w:hAnsi="Arial"/>
          <w:color w:val="2563EB"/>
          <w:sz w:val="22"/>
          <w:szCs w:val="22"/>
        </w:rPr>
        <w:t xml:space="preserve">[18] </w:t>
      </w:r>
      <w:r>
        <w:rPr>
          <w:rFonts w:ascii="Arial" w:cs="Arial" w:eastAsia="Arial" w:hAnsi="Arial"/>
          <w:sz w:val="22"/>
          <w:szCs w:val="22"/>
        </w:rPr>
        <w:t xml:space="preserve">Douglas, R.J., &amp; Martin, K.A. (2004). Neuronal circuits of the neocortex. Annual Review of Neuroscience, 27, 419-451.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CCCCCC" w:sz="1"/>
        <w:right w:val="none" w:color="FFFFFF" w:sz="0"/>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WC-Memory v7 — Technical Report</w:t>
          </w:r>
        </w:p>
      </w:tc>
      <w:tc>
        <w:tcPr>
          <w:tcW w:type="dxa" w:w="3026"/>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M.H. Ben Amor &amp; Claude Sonnet 4.6 · Mai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2026-05-31T15:47:57.610Z</dcterms:created>
  <dcterms:modified xsi:type="dcterms:W3CDTF">2026-05-31T15:47:57.622Z</dcterms:modified>
</cp:coreProperties>
</file>

<file path=docProps/custom.xml><?xml version="1.0" encoding="utf-8"?>
<Properties xmlns="http://schemas.openxmlformats.org/officeDocument/2006/custom-properties" xmlns:vt="http://schemas.openxmlformats.org/officeDocument/2006/docPropsVTypes"/>
</file>