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10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75"/>
        <w:gridCol w:w="1014"/>
      </w:tblGrid>
      <w:tr>
        <w:trPr/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Estudiante: </w:t>
            </w:r>
            <w:r>
              <w:rPr>
                <w:rFonts w:eastAsia="Aptos" w:cs=""/>
                <w:i/>
                <w:iCs/>
                <w:color w:val="2A6099"/>
                <w:kern w:val="2"/>
                <w:position w:val="0"/>
                <w:sz w:val="24"/>
                <w:sz w:val="24"/>
                <w:szCs w:val="24"/>
                <w:vertAlign w:val="baseline"/>
                <w:lang w:val="es-MX" w:eastAsia="en-US" w:bidi="ar-SA"/>
              </w:rPr>
              <w:t>Crespo Neri Diego Ubaldo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N.L.: </w:t>
            </w: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fldChar w:fldCharType="begin"/>
            </w:r>
            <w:r>
              <w:rPr>
                <w:sz w:val="24"/>
                <w:kern w:val="2"/>
                <w:szCs w:val="24"/>
                <w:rFonts w:eastAsia="Aptos" w:cs=""/>
                <w:lang w:val="es-MX" w:eastAsia="en-US" w:bidi="ar-SA"/>
              </w:rPr>
              <w:instrText xml:space="preserve"> MERGEFIELD N </w:instrText>
            </w:r>
            <w:r>
              <w:rPr>
                <w:sz w:val="24"/>
                <w:kern w:val="2"/>
                <w:szCs w:val="24"/>
                <w:rFonts w:eastAsia="Aptos" w:cs=""/>
                <w:lang w:val="es-MX" w:eastAsia="en-US" w:bidi="ar-SA"/>
              </w:rPr>
              <w:fldChar w:fldCharType="separate"/>
            </w:r>
            <w:r>
              <w:rPr>
                <w:sz w:val="24"/>
                <w:kern w:val="2"/>
                <w:szCs w:val="24"/>
                <w:rFonts w:eastAsia="Aptos" w:cs=""/>
                <w:lang w:val="es-MX" w:eastAsia="en-US" w:bidi="ar-SA"/>
              </w:rPr>
              <w:t>8</w:t>
            </w:r>
            <w:r>
              <w:rPr>
                <w:sz w:val="24"/>
                <w:kern w:val="2"/>
                <w:szCs w:val="24"/>
                <w:rFonts w:eastAsia="Aptos" w:cs=""/>
                <w:lang w:val="es-MX" w:eastAsia="en-US" w:bidi="ar-SA"/>
              </w:rPr>
              <w:fldChar w:fldCharType="end"/>
            </w:r>
          </w:p>
        </w:tc>
      </w:tr>
    </w:tbl>
    <w:p>
      <w:pPr>
        <w:pStyle w:val="Normal"/>
        <w:numPr>
          <w:ilvl w:val="0"/>
          <w:numId w:val="0"/>
        </w:numPr>
        <w:tabs>
          <w:tab w:val="clear" w:pos="708"/>
        </w:tabs>
        <w:ind w:hanging="0" w:left="284"/>
        <w:rPr/>
      </w:pPr>
      <w:r>
        <w:rPr/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hanging="360" w:left="284"/>
        <w:rPr/>
      </w:pPr>
      <w:r>
        <w:rPr/>
        <w:t xml:space="preserve">¿En qué consisten los problemas de optimización, indica cuál es la metodología para su solución? </w:t>
      </w:r>
    </w:p>
    <w:p>
      <w:pPr>
        <w:pStyle w:val="Normal"/>
        <w:ind w:left="284"/>
        <w:rPr/>
      </w:pPr>
      <w:r>
        <w:rPr>
          <w:i/>
          <w:iCs/>
          <w:color w:val="2A6099"/>
          <w:position w:val="0"/>
          <w:sz w:val="24"/>
          <w:sz w:val="24"/>
          <w:vertAlign w:val="baseline"/>
        </w:rPr>
        <w:t>Un problema de optimización se refiere a aquel que tiene como objetivo minimizar o maximizar una función (encontrar la mejor solucion).</w:t>
        <w:br/>
        <w:t>La metodología más común para su resolución es obtener la derivada de la función que se quiere optimizar, igualarla a 0 y despejar la variable independiente, de esta manera podemos obtener aquel o aquellos valores que minimizan/maximizan la función. Sin embargo, existen distintos métodos no analíticos que nos permiten obtener aproximaciones de estos valores.</w:t>
      </w:r>
    </w:p>
    <w:p>
      <w:pPr>
        <w:pStyle w:val="Normal"/>
        <w:tabs>
          <w:tab w:val="clear" w:pos="708"/>
        </w:tabs>
        <w:ind w:hanging="360" w:left="284"/>
        <w:rPr/>
      </w:pPr>
      <w:r>
        <w:rPr/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hanging="360" w:left="284"/>
        <w:rPr/>
      </w:pPr>
      <w:r>
        <w:rPr/>
        <w:t>La flexión de una viga uniforme sometida a una carga distribuida linealmente creciente se puede calcular como</w:t>
      </w:r>
    </w:p>
    <w:p>
      <w:pPr>
        <w:pStyle w:val="Normal"/>
        <w:ind w:left="284"/>
        <w:jc w:val="center"/>
        <w:rPr>
          <w:rFonts w:eastAsia="" w:eastAsiaTheme="minorEastAsi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120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L</m:t>
              </m:r>
            </m:den>
          </m:f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5</m:t>
              </m:r>
            </m:sup>
          </m:sSup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sSup>
            <m:e>
              <m:r>
                <w:rPr>
                  <w:rFonts w:ascii="Cambria Math" w:hAnsi="Cambria Math"/>
                </w:rPr>
                <m:t xml:space="preserve">L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L</m:t>
              </m:r>
            </m:e>
            <m:sup>
              <m:r>
                <w:rPr>
                  <w:rFonts w:ascii="Cambria Math" w:hAnsi="Cambria Math"/>
                </w:rPr>
                <m:t xml:space="preserve">4</m:t>
              </m:r>
            </m:sup>
          </m:sSup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ind w:left="284"/>
        <w:rPr>
          <w:rFonts w:eastAsia="" w:eastAsiaTheme="minorEastAsia"/>
        </w:rPr>
      </w:pPr>
      <w:r>
        <w:rPr/>
        <w:t xml:space="preserve">Dado que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600</m:t>
        </m:r>
        <m:r>
          <w:rPr>
            <w:rFonts w:ascii="Cambria Math" w:hAnsi="Cambria Math"/>
          </w:rPr>
          <m:t xml:space="preserve">cm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50000</m:t>
        </m:r>
        <m:f>
          <m:num>
            <m:r>
              <w:rPr>
                <w:rFonts w:ascii="Cambria Math" w:hAnsi="Cambria Math"/>
              </w:rPr>
              <m:t xml:space="preserve">kN</m:t>
            </m:r>
          </m:num>
          <m:den>
            <m:r>
              <w:rPr>
                <w:rFonts w:ascii="Cambria Math" w:hAnsi="Cambria Math"/>
              </w:rPr>
              <m:t xml:space="preserve">c</m:t>
            </m:r>
            <m:sSup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30000</m:t>
        </m:r>
        <m:r>
          <w:rPr>
            <w:rFonts w:ascii="Cambria Math" w:hAnsi="Cambria Math"/>
          </w:rPr>
          <m:t xml:space="preserve">c</m:t>
        </m:r>
        <m:sSup>
          <m:e>
            <m:r>
              <w:rPr>
                <w:rFonts w:ascii="Cambria Math" w:hAnsi="Cambria Math"/>
              </w:rPr>
              <m:t xml:space="preserve">m</m:t>
            </m:r>
          </m:e>
          <m:sup>
            <m:r>
              <w:rPr>
                <w:rFonts w:ascii="Cambria Math" w:hAnsi="Cambria Math"/>
              </w:rPr>
              <m:t xml:space="preserve">4</m:t>
            </m:r>
          </m:sup>
        </m:sSup>
      </m:oMath>
      <w:r>
        <w:rPr>
          <w:rFonts w:eastAsia="" w:eastAsiaTheme="minorEastAsia"/>
        </w:rPr>
        <w:t xml:space="preserve"> y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2.5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kN</m:t>
            </m:r>
          </m:num>
          <m:den>
            <m:r>
              <w:rPr>
                <w:rFonts w:ascii="Cambria Math" w:hAnsi="Cambria Math"/>
              </w:rPr>
              <m:t xml:space="preserve">cm</m:t>
            </m:r>
          </m:den>
        </m:f>
      </m:oMath>
    </w:p>
    <w:p>
      <w:pPr>
        <w:pStyle w:val="Normal"/>
        <w:ind w:left="284"/>
        <w:rPr/>
      </w:pPr>
      <w:r>
        <w:rPr>
          <w:rFonts w:eastAsia="" w:eastAsiaTheme="minorEastAsia"/>
        </w:rPr>
        <w:t xml:space="preserve">Determina el punto de máxima flexión </w:t>
      </w:r>
    </w:p>
    <w:p>
      <w:pPr>
        <w:pStyle w:val="Normal"/>
        <w:numPr>
          <w:ilvl w:val="1"/>
          <w:numId w:val="1"/>
        </w:numPr>
        <w:rPr/>
      </w:pPr>
      <w:r>
        <w:rPr/>
        <w:t>Determina la derivada de la función</w:t>
      </w:r>
    </w:p>
    <w:p>
      <w:pPr>
        <w:pStyle w:val="Normal"/>
        <w:numPr>
          <w:ilvl w:val="0"/>
          <w:numId w:val="0"/>
        </w:numPr>
        <w:ind w:hanging="0" w:left="144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'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120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L</m:t>
              </m:r>
            </m:den>
          </m:f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5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4</m:t>
              </m:r>
            </m:sup>
          </m:sSup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6</m:t>
          </m:r>
          <m:sSup>
            <m:e>
              <m:r>
                <w:rPr>
                  <w:rFonts w:ascii="Cambria Math" w:hAnsi="Cambria Math"/>
                </w:rPr>
                <m:t xml:space="preserve">L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L</m:t>
              </m:r>
            </m:e>
            <m:sup>
              <m:r>
                <w:rPr>
                  <w:rFonts w:ascii="Cambria Math" w:hAnsi="Cambria Math"/>
                </w:rPr>
                <m:t xml:space="preserve">4</m:t>
              </m:r>
            </m:sup>
          </m:sSup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numPr>
          <w:ilvl w:val="0"/>
          <w:numId w:val="0"/>
        </w:numPr>
        <w:ind w:hanging="0" w:left="144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'</m:t>
          </m:r>
          <m:r>
            <w:rPr>
              <w:rFonts w:ascii="Cambria Math" w:hAnsi="Cambria Math"/>
            </w:rPr>
            <m:t xml:space="preserve">'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120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L</m:t>
              </m:r>
            </m:den>
          </m:f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20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12</m:t>
          </m:r>
          <m:sSup>
            <m:e>
              <m:r>
                <w:rPr>
                  <w:rFonts w:ascii="Cambria Math" w:hAnsi="Cambria Math"/>
                </w:rPr>
                <m:t xml:space="preserve">L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rPr/>
      </w:pPr>
      <w:r>
        <w:rPr/>
      </w:r>
    </w:p>
    <w:p>
      <w:pPr>
        <w:pStyle w:val="Normal"/>
        <w:rPr/>
      </w:pPr>
      <w:r>
        <w:br w:type="column"/>
      </w:r>
      <w:r>
        <w:rPr/>
      </w:r>
    </w:p>
    <w:p>
      <w:pPr>
        <w:pStyle w:val="Normal"/>
        <w:numPr>
          <w:ilvl w:val="1"/>
          <w:numId w:val="1"/>
        </w:numPr>
        <w:rPr/>
      </w:pPr>
      <w:r>
        <w:rPr/>
        <w:t>Grafica de función y su derivada y determina el punto de máxima flexión de forma gráfica.</w:t>
      </w:r>
    </w:p>
    <w:p>
      <w:pPr>
        <w:pStyle w:val="Normal"/>
        <w:rPr/>
      </w:pPr>
      <w:r/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615315</wp:posOffset>
            </wp:positionH>
            <wp:positionV relativeFrom="paragraph">
              <wp:posOffset>35560</wp:posOffset>
            </wp:positionV>
            <wp:extent cx="2959735" cy="2084705"/>
            <wp:effectExtent l="0" t="0" r="0" b="0"/>
            <wp:wrapSquare wrapText="largest"/>
            <wp:docPr id="1" name="Object7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3684905</wp:posOffset>
            </wp:positionH>
            <wp:positionV relativeFrom="paragraph">
              <wp:posOffset>5080</wp:posOffset>
            </wp:positionV>
            <wp:extent cx="2973070" cy="2091055"/>
            <wp:effectExtent l="0" t="0" r="0" b="0"/>
            <wp:wrapSquare wrapText="largest"/>
            <wp:docPr id="2" name="Object6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anchor>
        </w:drawing>
        <w:tab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12"/>
          <w:szCs w:val="24"/>
        </w:rPr>
      </w:pPr>
      <w:r>
        <w:rPr>
          <w:sz w:val="12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3728720</wp:posOffset>
            </wp:positionH>
            <wp:positionV relativeFrom="paragraph">
              <wp:posOffset>59690</wp:posOffset>
            </wp:positionV>
            <wp:extent cx="2922270" cy="2168525"/>
            <wp:effectExtent l="0" t="0" r="0" b="0"/>
            <wp:wrapSquare wrapText="largest"/>
            <wp:docPr id="3" name="Object9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</w:p>
    <w:p>
      <w:pPr>
        <w:pStyle w:val="Normal"/>
        <w:rPr/>
      </w:pPr>
      <w:r>
        <w:rPr/>
        <w:tab/>
        <w:tab/>
      </w:r>
      <w:r>
        <w:rPr>
          <w:i/>
          <w:iCs/>
          <w:color w:val="2A6099"/>
          <w:position w:val="0"/>
          <w:sz w:val="20"/>
          <w:sz w:val="20"/>
          <w:szCs w:val="24"/>
          <w:vertAlign w:val="baseline"/>
        </w:rPr>
        <w:t>El punto de máxima flexión es x ≈ 600.</w:t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numPr>
          <w:ilvl w:val="1"/>
          <w:numId w:val="1"/>
        </w:numPr>
        <w:rPr/>
      </w:pPr>
      <w:r>
        <w:rPr/>
        <w:t>Utiliza el método de la bisección para encontrar la flexión máxima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52185" cy="3653790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18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ind w:hanging="0" w:left="1440"/>
        <w:rPr>
          <w:i/>
          <w:i/>
          <w:iCs/>
          <w:color w:val="2A6099"/>
          <w:position w:val="0"/>
          <w:sz w:val="20"/>
          <w:sz w:val="20"/>
          <w:szCs w:val="24"/>
          <w:vertAlign w:val="baseline"/>
        </w:rPr>
      </w:pPr>
      <w:r>
        <w:rPr>
          <w:i/>
          <w:iCs/>
          <w:color w:val="2A6099"/>
          <w:position w:val="0"/>
          <w:sz w:val="20"/>
          <w:sz w:val="20"/>
          <w:szCs w:val="24"/>
          <w:vertAlign w:val="baseline"/>
        </w:rPr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>
          <w:i/>
          <w:iCs/>
          <w:color w:val="2A6099"/>
          <w:position w:val="0"/>
          <w:sz w:val="20"/>
          <w:sz w:val="20"/>
          <w:szCs w:val="24"/>
          <w:vertAlign w:val="baseline"/>
        </w:rPr>
        <w:t>El punto de máxima flexión es x ≈ 600.000000.</w:t>
      </w:r>
    </w:p>
    <w:p>
      <w:pPr>
        <w:pStyle w:val="Normal"/>
        <w:rPr>
          <w:i/>
          <w:i/>
          <w:iCs/>
          <w:color w:val="2A6099"/>
          <w:position w:val="0"/>
          <w:sz w:val="20"/>
          <w:sz w:val="20"/>
          <w:szCs w:val="24"/>
          <w:vertAlign w:val="baseline"/>
        </w:rPr>
      </w:pPr>
      <w:r>
        <w:rPr>
          <w:i/>
          <w:iCs/>
          <w:color w:val="2A6099"/>
          <w:position w:val="0"/>
          <w:sz w:val="20"/>
          <w:sz w:val="20"/>
          <w:szCs w:val="24"/>
          <w:vertAlign w:val="baseline"/>
        </w:rPr>
      </w:r>
      <w:r>
        <w:br w:type="page"/>
      </w:r>
    </w:p>
    <w:p>
      <w:pPr>
        <w:pStyle w:val="Normal"/>
        <w:spacing w:before="0" w:after="160"/>
        <w:rPr>
          <w:i/>
          <w:i/>
          <w:iCs/>
          <w:color w:val="2A6099"/>
          <w:position w:val="0"/>
          <w:sz w:val="20"/>
          <w:sz w:val="20"/>
          <w:szCs w:val="24"/>
          <w:vertAlign w:val="baseline"/>
        </w:rPr>
      </w:pPr>
      <w:r>
        <w:rPr>
          <w:i/>
          <w:iCs/>
          <w:color w:val="2A6099"/>
          <w:position w:val="0"/>
          <w:sz w:val="20"/>
          <w:sz w:val="20"/>
          <w:szCs w:val="24"/>
          <w:vertAlign w:val="baseline"/>
        </w:rPr>
      </w:r>
    </w:p>
    <w:p>
      <w:pPr>
        <w:pStyle w:val="Normal"/>
        <w:numPr>
          <w:ilvl w:val="1"/>
          <w:numId w:val="1"/>
        </w:numPr>
        <w:rPr/>
      </w:pPr>
      <w:r>
        <w:rPr/>
        <w:t>Utiliza el método de punto fijo</w:t>
      </w:r>
    </w:p>
    <w:p>
      <w:pPr>
        <w:pStyle w:val="Normal"/>
        <w:numPr>
          <w:ilvl w:val="0"/>
          <w:numId w:val="0"/>
        </w:numPr>
        <w:ind w:hanging="0" w:left="144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'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120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L</m:t>
              </m:r>
            </m:den>
          </m:f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5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4</m:t>
              </m:r>
            </m:sup>
          </m:sSup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6</m:t>
          </m:r>
          <m:sSup>
            <m:e>
              <m:r>
                <w:rPr>
                  <w:rFonts w:ascii="Cambria Math" w:hAnsi="Cambria Math"/>
                </w:rPr>
                <m:t xml:space="preserve">L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L</m:t>
              </m:r>
            </m:e>
            <m:sup>
              <m:r>
                <w:rPr>
                  <w:rFonts w:ascii="Cambria Math" w:hAnsi="Cambria Math"/>
                </w:rPr>
                <m:t xml:space="preserve">4</m:t>
              </m:r>
            </m:sup>
          </m:sSup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Normal"/>
        <w:numPr>
          <w:ilvl w:val="0"/>
          <w:numId w:val="0"/>
        </w:numPr>
        <w:ind w:hanging="0" w:left="144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5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4</m:t>
              </m:r>
            </m:sup>
          </m:sSup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6</m:t>
          </m:r>
          <m:sSup>
            <m:e>
              <m:r>
                <w:rPr>
                  <w:rFonts w:ascii="Cambria Math" w:hAnsi="Cambria Math"/>
                </w:rPr>
                <m:t xml:space="preserve">L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L</m:t>
              </m:r>
            </m:e>
            <m:sup>
              <m:r>
                <w:rPr>
                  <w:rFonts w:ascii="Cambria Math" w:hAnsi="Cambria Math"/>
                </w:rPr>
                <m:t xml:space="preserve">4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Normal"/>
        <w:numPr>
          <w:ilvl w:val="0"/>
          <w:numId w:val="0"/>
        </w:numPr>
        <w:ind w:hanging="0" w:left="1440"/>
        <w:jc w:val="left"/>
        <w:rPr/>
      </w:pPr>
      <w:r>
        <w:rPr/>
        <w:t xml:space="preserve">Opción 1: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5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4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6</m:t>
        </m:r>
        <m:sSup>
          <m:e>
            <m:r>
              <w:rPr>
                <w:rFonts w:ascii="Cambria Math" w:hAnsi="Cambria Math"/>
              </w:rPr>
              <m:t xml:space="preserve">L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L</m:t>
            </m:r>
          </m:e>
          <m:sup>
            <m:r>
              <w:rPr>
                <w:rFonts w:ascii="Cambria Math" w:hAnsi="Cambria Math"/>
              </w:rPr>
              <m:t xml:space="preserve">4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x</m:t>
        </m:r>
      </m:oMath>
    </w:p>
    <w:p>
      <w:pPr>
        <w:pStyle w:val="Normal"/>
        <w:numPr>
          <w:ilvl w:val="0"/>
          <w:numId w:val="0"/>
        </w:numPr>
        <w:ind w:hanging="0" w:left="1440"/>
        <w:jc w:val="left"/>
        <w:rPr/>
      </w:pPr>
      <w:r>
        <w:rPr/>
        <w:t xml:space="preserve">Opción 2: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 xml:space="preserve">5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4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 xml:space="preserve">6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den>
            </m:f>
          </m:e>
        </m:rad>
      </m:oMath>
    </w:p>
    <w:p>
      <w:pPr>
        <w:pStyle w:val="Normal"/>
        <w:numPr>
          <w:ilvl w:val="0"/>
          <w:numId w:val="0"/>
        </w:numPr>
        <w:ind w:hanging="0" w:left="1440"/>
        <w:jc w:val="left"/>
        <w:rPr/>
      </w:pPr>
      <w:r>
        <w:rPr/>
        <w:t xml:space="preserve">Opción 3: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ad>
          <m:deg>
            <m:r>
              <w:rPr>
                <w:rFonts w:ascii="Cambria Math" w:hAnsi="Cambria Math"/>
              </w:rPr>
              <m:t xml:space="preserve">4</m:t>
            </m:r>
          </m:deg>
          <m:e>
            <m:f>
              <m:num>
                <m:r>
                  <w:rPr>
                    <w:rFonts w:ascii="Cambria Math" w:hAnsi="Cambria Math"/>
                  </w:rPr>
                  <m:t xml:space="preserve">6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4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 xml:space="preserve">5</m:t>
                </m:r>
              </m:den>
            </m:f>
          </m:e>
        </m:rad>
      </m:oMath>
    </w:p>
    <w:p>
      <w:pPr>
        <w:pStyle w:val="Normal"/>
        <w:ind w:hanging="0" w:left="1440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509905</wp:posOffset>
            </wp:positionH>
            <wp:positionV relativeFrom="paragraph">
              <wp:posOffset>28575</wp:posOffset>
            </wp:positionV>
            <wp:extent cx="5943600" cy="3432810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2A6099"/>
          <w:position w:val="0"/>
          <w:sz w:val="20"/>
          <w:sz w:val="20"/>
          <w:szCs w:val="24"/>
          <w:vertAlign w:val="baseline"/>
        </w:rPr>
        <w:t>Cada despeje otorgó resultados distintos:</w:t>
      </w:r>
    </w:p>
    <w:p>
      <w:pPr>
        <w:pStyle w:val="Normal"/>
        <w:ind w:hanging="0" w:left="1440"/>
        <w:rPr/>
      </w:pPr>
      <w:r>
        <w:rPr>
          <w:i/>
          <w:iCs/>
          <w:color w:val="2A6099"/>
          <w:position w:val="0"/>
          <w:sz w:val="20"/>
          <w:sz w:val="20"/>
          <w:szCs w:val="24"/>
          <w:vertAlign w:val="baseline"/>
        </w:rPr>
        <w:t>- El primero no convergió, parece que se dispara al infinito.</w:t>
      </w:r>
    </w:p>
    <w:p>
      <w:pPr>
        <w:pStyle w:val="Normal"/>
        <w:ind w:hanging="0" w:left="1440"/>
        <w:rPr/>
      </w:pPr>
      <w:r>
        <w:rPr>
          <w:i/>
          <w:iCs/>
          <w:color w:val="2A6099"/>
          <w:position w:val="0"/>
          <w:sz w:val="20"/>
          <w:sz w:val="20"/>
          <w:szCs w:val="24"/>
          <w:vertAlign w:val="baseline"/>
        </w:rPr>
        <w:t>- El segundo nos dió una aproximación del punto de mínima flexión, x  ≈ 268.32816.</w:t>
      </w:r>
    </w:p>
    <w:p>
      <w:pPr>
        <w:pStyle w:val="Normal"/>
        <w:ind w:hanging="0" w:left="1440"/>
        <w:rPr/>
      </w:pPr>
      <w:r>
        <w:rPr>
          <w:i/>
          <w:iCs/>
          <w:color w:val="2A6099"/>
          <w:position w:val="0"/>
          <w:sz w:val="20"/>
          <w:sz w:val="20"/>
          <w:szCs w:val="24"/>
          <w:vertAlign w:val="baseline"/>
        </w:rPr>
        <w:t>- Y el tercerco, finalmente, aproximó el punto de máxima flexión, x  ≈ 599.9.</w:t>
      </w:r>
    </w:p>
    <w:p>
      <w:pPr>
        <w:pStyle w:val="Normal"/>
        <w:rPr/>
      </w:pPr>
      <w:r>
        <w:rPr/>
      </w:r>
    </w:p>
    <w:p>
      <w:pPr>
        <w:pStyle w:val="Normal"/>
        <w:numPr>
          <w:ilvl w:val="1"/>
          <w:numId w:val="1"/>
        </w:numPr>
        <w:rPr/>
      </w:pPr>
      <w:r>
        <w:rPr/>
        <w:t>Utiliza el método de Newton Raphson.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0370" cy="1607185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</w:r>
      <w:r>
        <w:rPr>
          <w:i/>
          <w:iCs/>
          <w:color w:val="2A6099"/>
          <w:position w:val="0"/>
          <w:sz w:val="20"/>
          <w:sz w:val="20"/>
          <w:szCs w:val="24"/>
          <w:vertAlign w:val="baseline"/>
        </w:rPr>
        <w:t>El punto de máxima flexión es x ≈ 600.000000.</w:t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numPr>
          <w:ilvl w:val="1"/>
          <w:numId w:val="1"/>
        </w:numPr>
        <w:spacing w:before="0" w:after="160"/>
        <w:rPr/>
      </w:pPr>
      <w:r>
        <w:rPr/>
        <w:t>Utiliza el método de la Secante</w:t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195580</wp:posOffset>
            </wp:positionH>
            <wp:positionV relativeFrom="paragraph">
              <wp:posOffset>60325</wp:posOffset>
            </wp:positionV>
            <wp:extent cx="6397625" cy="1760855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62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ab/>
        <w:tab/>
      </w:r>
      <w:r>
        <w:rPr>
          <w:i/>
          <w:iCs/>
          <w:color w:val="2A6099"/>
          <w:position w:val="0"/>
          <w:sz w:val="20"/>
          <w:sz w:val="20"/>
          <w:szCs w:val="24"/>
          <w:vertAlign w:val="baseline"/>
        </w:rPr>
        <w:t>El punto de máxima flexión es x ≈ 600.000000.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2240" w:h="15840"/>
      <w:pgMar w:left="720" w:right="720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mc:AlternateContent>
        <mc:Choice Requires="wps">
          <w:drawing>
            <wp:anchor behindDoc="1" distT="12700" distB="12700" distL="635" distR="0" simplePos="0" locked="0" layoutInCell="1" allowOverlap="1" relativeHeight="8" wp14:anchorId="3C0FB777">
              <wp:simplePos x="0" y="0"/>
              <wp:positionH relativeFrom="column">
                <wp:posOffset>-202565</wp:posOffset>
              </wp:positionH>
              <wp:positionV relativeFrom="paragraph">
                <wp:posOffset>15240</wp:posOffset>
              </wp:positionV>
              <wp:extent cx="7148195" cy="635"/>
              <wp:effectExtent l="635" t="12700" r="0" b="12700"/>
              <wp:wrapNone/>
              <wp:docPr id="8" name="Conector rec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48160" cy="720"/>
                      </a:xfrm>
                      <a:prstGeom prst="line">
                        <a:avLst/>
                      </a:prstGeom>
                      <a:ln>
                        <a:solidFill>
                          <a:srgbClr val="156082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5.95pt,1.2pt" to="546.85pt,1.2pt" ID="Conector recto 1" stroked="t" o:allowincell="f" style="position:absolute" wp14:anchorId="3C0FB777">
              <v:stroke color="#156082" weight="25560" joinstyle="miter" endcap="flat"/>
              <v:fill o:detectmouseclick="t" on="false"/>
              <w10:wrap type="none"/>
            </v:line>
          </w:pict>
        </mc:Fallback>
      </mc:AlternateContent>
    </w:r>
    <w:r>
      <w:rPr/>
      <w:t>26/P/DGS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mc:AlternateContent>
        <mc:Choice Requires="wps">
          <w:drawing>
            <wp:anchor behindDoc="1" distT="12700" distB="12700" distL="635" distR="0" simplePos="0" locked="0" layoutInCell="1" allowOverlap="1" relativeHeight="8" wp14:anchorId="3C0FB777">
              <wp:simplePos x="0" y="0"/>
              <wp:positionH relativeFrom="column">
                <wp:posOffset>-202565</wp:posOffset>
              </wp:positionH>
              <wp:positionV relativeFrom="paragraph">
                <wp:posOffset>15240</wp:posOffset>
              </wp:positionV>
              <wp:extent cx="7148195" cy="635"/>
              <wp:effectExtent l="635" t="12700" r="0" b="12700"/>
              <wp:wrapNone/>
              <wp:docPr id="9" name="Conector rec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48160" cy="720"/>
                      </a:xfrm>
                      <a:prstGeom prst="line">
                        <a:avLst/>
                      </a:prstGeom>
                      <a:ln>
                        <a:solidFill>
                          <a:srgbClr val="156082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5.95pt,1.2pt" to="546.85pt,1.2pt" ID="Conector recto 1" stroked="t" o:allowincell="f" style="position:absolute" wp14:anchorId="3C0FB777">
              <v:stroke color="#156082" weight="25560" joinstyle="miter" endcap="flat"/>
              <v:fill o:detectmouseclick="t" on="false"/>
              <w10:wrap type="none"/>
            </v:line>
          </w:pict>
        </mc:Fallback>
      </mc:AlternateContent>
    </w:r>
    <w:r>
      <w:rPr/>
      <w:t>26/P/DGS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79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126"/>
      <w:gridCol w:w="8792"/>
      <w:gridCol w:w="872"/>
    </w:tblGrid>
    <w:tr>
      <w:trPr>
        <w:trHeight w:val="699" w:hRule="atLeast"/>
      </w:trPr>
      <w:tc>
        <w:tcPr>
          <w:tcW w:w="1126" w:type="dxa"/>
          <w:tcBorders/>
          <w:shd w:color="auto" w:fill="153D63" w:themeFill="text2" w:themeFillTint="e6" w:val="clear"/>
          <w:vAlign w:val="center"/>
        </w:tcPr>
        <w:p>
          <w:pPr>
            <w:pStyle w:val="Header"/>
            <w:pageBreakBefore/>
            <w:widowControl/>
            <w:suppressAutoHyphens w:val="true"/>
            <w:spacing w:before="0" w:after="0"/>
            <w:jc w:val="center"/>
            <w:rPr>
              <w:sz w:val="36"/>
              <w:szCs w:val="36"/>
            </w:rPr>
          </w:pPr>
          <w:r>
            <w:rPr>
              <w:rFonts w:eastAsia="Aptos" w:cs=""/>
              <w:kern w:val="2"/>
              <w:sz w:val="36"/>
              <w:szCs w:val="36"/>
              <w:lang w:val="es-MX" w:eastAsia="en-US" w:bidi="ar-SA"/>
            </w:rPr>
            <w:t>MN</w:t>
          </w:r>
        </w:p>
      </w:tc>
      <w:tc>
        <w:tcPr>
          <w:tcW w:w="8792" w:type="dxa"/>
          <w:tcBorders/>
          <w:shd w:color="auto" w:fill="DAE9F7" w:themeFill="text2" w:themeFillTint="1a" w:val="clear"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center"/>
            <w:rPr>
              <w:sz w:val="36"/>
              <w:szCs w:val="36"/>
            </w:rPr>
          </w:pPr>
          <w:r>
            <w:rPr>
              <w:rFonts w:eastAsia="Aptos" w:cs=""/>
              <w:kern w:val="2"/>
              <w:sz w:val="36"/>
              <w:szCs w:val="36"/>
              <w:lang w:val="es-MX" w:eastAsia="en-US" w:bidi="ar-SA"/>
            </w:rPr>
            <w:t>Ecuaciones con una incógnita</w:t>
          </w:r>
        </w:p>
      </w:tc>
      <w:tc>
        <w:tcPr>
          <w:tcW w:w="872" w:type="dxa"/>
          <w:tcBorders/>
          <w:shd w:color="auto" w:fill="153D63" w:themeFill="text2" w:themeFillTint="e6" w:val="clear"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center"/>
            <w:rPr>
              <w:color w:themeColor="background1" w:val="FFFFFF"/>
              <w:sz w:val="36"/>
              <w:szCs w:val="36"/>
            </w:rPr>
          </w:pPr>
          <w:r>
            <w:rPr>
              <w:rFonts w:eastAsia="Aptos" w:cs=""/>
              <w:color w:themeColor="background1" w:val="FFFFFF"/>
              <w:kern w:val="2"/>
              <w:sz w:val="36"/>
              <w:szCs w:val="36"/>
              <w:lang w:val="es-MX" w:eastAsia="en-US" w:bidi="ar-SA"/>
            </w:rPr>
            <w:t>AC</w:t>
          </w:r>
        </w:p>
        <w:p>
          <w:pPr>
            <w:pStyle w:val="Header"/>
            <w:widowControl/>
            <w:suppressAutoHyphens w:val="true"/>
            <w:spacing w:before="0" w:after="0"/>
            <w:jc w:val="center"/>
            <w:rPr>
              <w:sz w:val="36"/>
              <w:szCs w:val="36"/>
            </w:rPr>
          </w:pPr>
          <w:r>
            <w:rPr>
              <w:rFonts w:eastAsia="Aptos" w:cs=""/>
              <w:color w:themeColor="background1" w:val="FFFFFF"/>
              <w:kern w:val="2"/>
              <w:sz w:val="36"/>
              <w:szCs w:val="36"/>
              <w:lang w:val="es-MX" w:eastAsia="en-US" w:bidi="ar-SA"/>
            </w:rPr>
            <w:t>02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79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126"/>
      <w:gridCol w:w="8792"/>
      <w:gridCol w:w="872"/>
    </w:tblGrid>
    <w:tr>
      <w:trPr>
        <w:trHeight w:val="699" w:hRule="atLeast"/>
      </w:trPr>
      <w:tc>
        <w:tcPr>
          <w:tcW w:w="1126" w:type="dxa"/>
          <w:tcBorders/>
          <w:shd w:color="auto" w:fill="153D63" w:themeFill="text2" w:themeFillTint="e6" w:val="clear"/>
          <w:vAlign w:val="center"/>
        </w:tcPr>
        <w:p>
          <w:pPr>
            <w:pStyle w:val="Header"/>
            <w:pageBreakBefore/>
            <w:widowControl/>
            <w:suppressAutoHyphens w:val="true"/>
            <w:spacing w:before="0" w:after="0"/>
            <w:jc w:val="center"/>
            <w:rPr>
              <w:sz w:val="36"/>
              <w:szCs w:val="36"/>
            </w:rPr>
          </w:pPr>
          <w:r>
            <w:rPr>
              <w:rFonts w:eastAsia="Aptos" w:cs=""/>
              <w:kern w:val="2"/>
              <w:sz w:val="36"/>
              <w:szCs w:val="36"/>
              <w:lang w:val="es-MX" w:eastAsia="en-US" w:bidi="ar-SA"/>
            </w:rPr>
            <w:t>MN</w:t>
          </w:r>
        </w:p>
      </w:tc>
      <w:tc>
        <w:tcPr>
          <w:tcW w:w="8792" w:type="dxa"/>
          <w:tcBorders/>
          <w:shd w:color="auto" w:fill="DAE9F7" w:themeFill="text2" w:themeFillTint="1a" w:val="clear"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center"/>
            <w:rPr>
              <w:sz w:val="36"/>
              <w:szCs w:val="36"/>
            </w:rPr>
          </w:pPr>
          <w:r>
            <w:rPr>
              <w:rFonts w:eastAsia="Aptos" w:cs=""/>
              <w:kern w:val="2"/>
              <w:sz w:val="36"/>
              <w:szCs w:val="36"/>
              <w:lang w:val="es-MX" w:eastAsia="en-US" w:bidi="ar-SA"/>
            </w:rPr>
            <w:t>Ecuaciones con una incógnita</w:t>
          </w:r>
        </w:p>
      </w:tc>
      <w:tc>
        <w:tcPr>
          <w:tcW w:w="872" w:type="dxa"/>
          <w:tcBorders/>
          <w:shd w:color="auto" w:fill="153D63" w:themeFill="text2" w:themeFillTint="e6" w:val="clear"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center"/>
            <w:rPr>
              <w:color w:themeColor="background1" w:val="FFFFFF"/>
              <w:sz w:val="36"/>
              <w:szCs w:val="36"/>
            </w:rPr>
          </w:pPr>
          <w:r>
            <w:rPr>
              <w:rFonts w:eastAsia="Aptos" w:cs=""/>
              <w:color w:themeColor="background1" w:val="FFFFFF"/>
              <w:kern w:val="2"/>
              <w:sz w:val="36"/>
              <w:szCs w:val="36"/>
              <w:lang w:val="es-MX" w:eastAsia="en-US" w:bidi="ar-SA"/>
            </w:rPr>
            <w:t>AC</w:t>
          </w:r>
        </w:p>
        <w:p>
          <w:pPr>
            <w:pStyle w:val="Header"/>
            <w:widowControl/>
            <w:suppressAutoHyphens w:val="true"/>
            <w:spacing w:before="0" w:after="0"/>
            <w:jc w:val="center"/>
            <w:rPr>
              <w:sz w:val="36"/>
              <w:szCs w:val="36"/>
            </w:rPr>
          </w:pPr>
          <w:r>
            <w:rPr>
              <w:rFonts w:eastAsia="Aptos" w:cs=""/>
              <w:color w:themeColor="background1" w:val="FFFFFF"/>
              <w:kern w:val="2"/>
              <w:sz w:val="36"/>
              <w:szCs w:val="36"/>
              <w:lang w:val="es-MX" w:eastAsia="en-US" w:bidi="ar-SA"/>
            </w:rPr>
            <w:t>02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e87bc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e87bc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e87bc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e87bc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e87bc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e87bc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e87bc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e87bc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e87bc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e87bc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e87bc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e87bc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e87bc6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e87bc6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e87bc6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e87bc6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e87bc6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e87bc6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e87bc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e87bc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e87bc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87bc6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e87bc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87bc6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e87bc6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87bc6"/>
    <w:rPr/>
  </w:style>
  <w:style w:type="character" w:styleId="PlaceholderText">
    <w:name w:val="Placeholder Text"/>
    <w:basedOn w:val="DefaultParagraphFont"/>
    <w:uiPriority w:val="99"/>
    <w:semiHidden/>
    <w:qFormat/>
    <w:rsid w:val="000f6839"/>
    <w:rPr>
      <w:color w:val="666666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e87bc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e87bc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e87bc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87bc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e87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87bc6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87bc6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87bc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1301875"/>
          <c:y val="0.0496666666666667"/>
          <c:w val="0.8324375"/>
          <c:h val="0.906222222222222"/>
        </c:manualLayout>
      </c:layout>
      <c:scatterChart>
        <c:scatterStyle val="line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y(x)</c:v>
                </c:pt>
              </c:strCache>
            </c:strRef>
          </c:tx>
          <c:spPr>
            <a:solidFill>
              <a:srgbClr val="729fcf"/>
            </a:solidFill>
            <a:ln w="28800">
              <a:solidFill>
                <a:srgbClr val="729fcf"/>
              </a:solidFill>
              <a:round/>
            </a:ln>
          </c:spPr>
          <c:marker>
            <c:symbol val="none"/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31"/>
                <c:pt idx="0">
                  <c:v>0</c:v>
                </c:pt>
                <c:pt idx="1">
                  <c:v>25</c:v>
                </c:pt>
                <c:pt idx="2">
                  <c:v>50</c:v>
                </c:pt>
                <c:pt idx="3">
                  <c:v>75</c:v>
                </c:pt>
                <c:pt idx="4">
                  <c:v>100</c:v>
                </c:pt>
                <c:pt idx="5">
                  <c:v>125</c:v>
                </c:pt>
                <c:pt idx="6">
                  <c:v>150</c:v>
                </c:pt>
                <c:pt idx="7">
                  <c:v>175</c:v>
                </c:pt>
                <c:pt idx="8">
                  <c:v>200</c:v>
                </c:pt>
                <c:pt idx="9">
                  <c:v>225</c:v>
                </c:pt>
                <c:pt idx="10">
                  <c:v>250</c:v>
                </c:pt>
                <c:pt idx="11">
                  <c:v>275</c:v>
                </c:pt>
                <c:pt idx="12">
                  <c:v>300</c:v>
                </c:pt>
                <c:pt idx="13">
                  <c:v>325</c:v>
                </c:pt>
                <c:pt idx="14">
                  <c:v>350</c:v>
                </c:pt>
                <c:pt idx="15">
                  <c:v>375</c:v>
                </c:pt>
                <c:pt idx="16">
                  <c:v>400</c:v>
                </c:pt>
                <c:pt idx="17">
                  <c:v>425</c:v>
                </c:pt>
                <c:pt idx="18">
                  <c:v>450</c:v>
                </c:pt>
                <c:pt idx="19">
                  <c:v>475</c:v>
                </c:pt>
                <c:pt idx="20">
                  <c:v>500</c:v>
                </c:pt>
                <c:pt idx="21">
                  <c:v>525</c:v>
                </c:pt>
                <c:pt idx="22">
                  <c:v>550</c:v>
                </c:pt>
                <c:pt idx="23">
                  <c:v>575</c:v>
                </c:pt>
                <c:pt idx="24">
                  <c:v>600</c:v>
                </c:pt>
                <c:pt idx="25">
                  <c:v>625</c:v>
                </c:pt>
                <c:pt idx="26">
                  <c:v>650</c:v>
                </c:pt>
                <c:pt idx="27">
                  <c:v>675</c:v>
                </c:pt>
                <c:pt idx="28">
                  <c:v>700</c:v>
                </c:pt>
                <c:pt idx="29">
                  <c:v>725</c:v>
                </c:pt>
                <c:pt idx="30">
                  <c:v>750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31"/>
                <c:pt idx="0">
                  <c:v>0</c:v>
                </c:pt>
                <c:pt idx="1">
                  <c:v>-0.0747398093894676</c:v>
                </c:pt>
                <c:pt idx="2">
                  <c:v>-0.147923900462963</c:v>
                </c:pt>
                <c:pt idx="3">
                  <c:v>-0.218023681640625</c:v>
                </c:pt>
                <c:pt idx="4">
                  <c:v>-0.283564814814815</c:v>
                </c:pt>
                <c:pt idx="5">
                  <c:v>-0.343154342086227</c:v>
                </c:pt>
                <c:pt idx="6">
                  <c:v>-0.3955078125</c:v>
                </c:pt>
                <c:pt idx="7">
                  <c:v>-0.439476408781829</c:v>
                </c:pt>
                <c:pt idx="8">
                  <c:v>-0.474074074074074</c:v>
                </c:pt>
                <c:pt idx="9">
                  <c:v>-0.498504638671875</c:v>
                </c:pt>
                <c:pt idx="10">
                  <c:v>-0.512188946759259</c:v>
                </c:pt>
                <c:pt idx="11">
                  <c:v>-0.514791983145255</c:v>
                </c:pt>
                <c:pt idx="12">
                  <c:v>-0.50625</c:v>
                </c:pt>
                <c:pt idx="13">
                  <c:v>-0.486797643590857</c:v>
                </c:pt>
                <c:pt idx="14">
                  <c:v>-0.456995081018519</c:v>
                </c:pt>
                <c:pt idx="15">
                  <c:v>-0.417755126953125</c:v>
                </c:pt>
                <c:pt idx="16">
                  <c:v>-0.37037037037037</c:v>
                </c:pt>
                <c:pt idx="17">
                  <c:v>-0.316540301287616</c:v>
                </c:pt>
                <c:pt idx="18">
                  <c:v>-0.2583984375</c:v>
                </c:pt>
                <c:pt idx="19">
                  <c:v>-0.198539451316551</c:v>
                </c:pt>
                <c:pt idx="20">
                  <c:v>-0.140046296296296</c:v>
                </c:pt>
                <c:pt idx="21">
                  <c:v>-0.086517333984375</c:v>
                </c:pt>
                <c:pt idx="22">
                  <c:v>-0.0420934606481481</c:v>
                </c:pt>
                <c:pt idx="23">
                  <c:v>-0.0114852340133102</c:v>
                </c:pt>
                <c:pt idx="24">
                  <c:v>0</c:v>
                </c:pt>
                <c:pt idx="25">
                  <c:v>-0.013569019458912</c:v>
                </c:pt>
                <c:pt idx="26">
                  <c:v>-0.0587745949074074</c:v>
                </c:pt>
                <c:pt idx="27">
                  <c:v>-0.142877197265625</c:v>
                </c:pt>
                <c:pt idx="28">
                  <c:v>-0.273842592592593</c:v>
                </c:pt>
                <c:pt idx="29">
                  <c:v>-0.460368968822338</c:v>
                </c:pt>
                <c:pt idx="30">
                  <c:v>-0.7119140625</c:v>
                </c:pt>
              </c:numCache>
            </c:numRef>
          </c:yVal>
          <c:smooth val="1"/>
        </c:ser>
        <c:axId val="47538474"/>
        <c:axId val="29654047"/>
      </c:scatterChart>
      <c:valAx>
        <c:axId val="4753847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600" spc="-1" strike="noStrike">
                <a:solidFill>
                  <a:srgbClr val="000000"/>
                </a:solidFill>
                <a:latin typeface="Iosevka Aile Light"/>
              </a:defRPr>
            </a:pPr>
          </a:p>
        </c:txPr>
        <c:crossAx val="29654047"/>
        <c:crosses val="autoZero"/>
        <c:crossBetween val="midCat"/>
      </c:valAx>
      <c:valAx>
        <c:axId val="29654047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0.00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600" spc="-1" strike="noStrike">
                <a:solidFill>
                  <a:srgbClr val="000000"/>
                </a:solidFill>
                <a:latin typeface="Iosevka Aile"/>
              </a:defRPr>
            </a:pPr>
          </a:p>
        </c:txPr>
        <c:crossAx val="47538474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layout>
        <c:manualLayout>
          <c:xMode val="edge"/>
          <c:yMode val="edge"/>
          <c:x val="0.1395"/>
          <c:y val="0.857666666666667"/>
          <c:w val="0.190074379648728"/>
          <c:h val="0.0782309145460607"/>
        </c:manualLayout>
      </c:layout>
      <c:overlay val="1"/>
      <c:spPr>
        <a:noFill/>
        <a:ln w="0">
          <a:noFill/>
        </a:ln>
      </c:spPr>
      <c:txPr>
        <a:bodyPr/>
        <a:lstStyle/>
        <a:p>
          <a:pPr>
            <a:defRPr b="0" sz="700" spc="-1" strike="noStrike">
              <a:solidFill>
                <a:srgbClr val="000000"/>
              </a:solidFill>
              <a:latin typeface="Iosevka Aile"/>
            </a:defRPr>
          </a:pPr>
        </a:p>
      </c:txPr>
    </c:legend>
    <c:plotVisOnly val="1"/>
    <c:dispBlanksAs val="span"/>
  </c:chart>
  <c:spPr>
    <a:solidFill>
      <a:srgbClr val="ffffff"/>
    </a:solidFill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1301875"/>
          <c:y val="0.0496666666666667"/>
          <c:w val="0.8324375"/>
          <c:h val="0.906222222222222"/>
        </c:manualLayout>
      </c:layout>
      <c:scatterChart>
        <c:scatterStyle val="line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y'(x)</c:v>
                </c:pt>
              </c:strCache>
            </c:strRef>
          </c:tx>
          <c:spPr>
            <a:solidFill>
              <a:srgbClr val="77bc65"/>
            </a:solidFill>
            <a:ln w="28800">
              <a:solidFill>
                <a:srgbClr val="77bc65"/>
              </a:solidFill>
              <a:round/>
            </a:ln>
          </c:spPr>
          <c:marker>
            <c:symbol val="none"/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31"/>
                <c:pt idx="0">
                  <c:v>0</c:v>
                </c:pt>
                <c:pt idx="1">
                  <c:v>25</c:v>
                </c:pt>
                <c:pt idx="2">
                  <c:v>50</c:v>
                </c:pt>
                <c:pt idx="3">
                  <c:v>75</c:v>
                </c:pt>
                <c:pt idx="4">
                  <c:v>100</c:v>
                </c:pt>
                <c:pt idx="5">
                  <c:v>125</c:v>
                </c:pt>
                <c:pt idx="6">
                  <c:v>150</c:v>
                </c:pt>
                <c:pt idx="7">
                  <c:v>175</c:v>
                </c:pt>
                <c:pt idx="8">
                  <c:v>200</c:v>
                </c:pt>
                <c:pt idx="9">
                  <c:v>225</c:v>
                </c:pt>
                <c:pt idx="10">
                  <c:v>250</c:v>
                </c:pt>
                <c:pt idx="11">
                  <c:v>275</c:v>
                </c:pt>
                <c:pt idx="12">
                  <c:v>300</c:v>
                </c:pt>
                <c:pt idx="13">
                  <c:v>325</c:v>
                </c:pt>
                <c:pt idx="14">
                  <c:v>350</c:v>
                </c:pt>
                <c:pt idx="15">
                  <c:v>375</c:v>
                </c:pt>
                <c:pt idx="16">
                  <c:v>400</c:v>
                </c:pt>
                <c:pt idx="17">
                  <c:v>425</c:v>
                </c:pt>
                <c:pt idx="18">
                  <c:v>450</c:v>
                </c:pt>
                <c:pt idx="19">
                  <c:v>475</c:v>
                </c:pt>
                <c:pt idx="20">
                  <c:v>500</c:v>
                </c:pt>
                <c:pt idx="21">
                  <c:v>525</c:v>
                </c:pt>
                <c:pt idx="22">
                  <c:v>550</c:v>
                </c:pt>
                <c:pt idx="23">
                  <c:v>575</c:v>
                </c:pt>
                <c:pt idx="24">
                  <c:v>600</c:v>
                </c:pt>
                <c:pt idx="25">
                  <c:v>625</c:v>
                </c:pt>
                <c:pt idx="26">
                  <c:v>650</c:v>
                </c:pt>
                <c:pt idx="27">
                  <c:v>675</c:v>
                </c:pt>
                <c:pt idx="28">
                  <c:v>700</c:v>
                </c:pt>
                <c:pt idx="29">
                  <c:v>725</c:v>
                </c:pt>
                <c:pt idx="30">
                  <c:v>750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31"/>
                <c:pt idx="0">
                  <c:v>-0.003</c:v>
                </c:pt>
                <c:pt idx="1">
                  <c:v>-0.00296879521122685</c:v>
                </c:pt>
                <c:pt idx="2">
                  <c:v>-0.00287572337962963</c:v>
                </c:pt>
                <c:pt idx="3">
                  <c:v>-0.002722412109375</c:v>
                </c:pt>
                <c:pt idx="4">
                  <c:v>-0.00251157407407407</c:v>
                </c:pt>
                <c:pt idx="5">
                  <c:v>-0.00224700701678241</c:v>
                </c:pt>
                <c:pt idx="6">
                  <c:v>-0.00193359375</c:v>
                </c:pt>
                <c:pt idx="7">
                  <c:v>-0.0015773021556713</c:v>
                </c:pt>
                <c:pt idx="8">
                  <c:v>-0.00118518518518519</c:v>
                </c:pt>
                <c:pt idx="9">
                  <c:v>-0.000765380859375</c:v>
                </c:pt>
                <c:pt idx="10">
                  <c:v>-0.000327112268518519</c:v>
                </c:pt>
                <c:pt idx="11">
                  <c:v>0.000119312427662037</c:v>
                </c:pt>
                <c:pt idx="12">
                  <c:v>0.0005625</c:v>
                </c:pt>
                <c:pt idx="13">
                  <c:v>0.000989972149884259</c:v>
                </c:pt>
                <c:pt idx="14">
                  <c:v>0.00138816550925926</c:v>
                </c:pt>
                <c:pt idx="15">
                  <c:v>0.001742431640625</c:v>
                </c:pt>
                <c:pt idx="16">
                  <c:v>0.00203703703703704</c:v>
                </c:pt>
                <c:pt idx="17">
                  <c:v>0.00225516312210648</c:v>
                </c:pt>
                <c:pt idx="18">
                  <c:v>0.00237890625</c:v>
                </c:pt>
                <c:pt idx="19">
                  <c:v>0.00238927770543981</c:v>
                </c:pt>
                <c:pt idx="20">
                  <c:v>0.0022662037037037</c:v>
                </c:pt>
                <c:pt idx="21">
                  <c:v>0.001988525390625</c:v>
                </c:pt>
                <c:pt idx="22">
                  <c:v>0.00153399884259259</c:v>
                </c:pt>
                <c:pt idx="23">
                  <c:v>0.000879295066550926</c:v>
                </c:pt>
                <c:pt idx="24">
                  <c:v>0</c:v>
                </c:pt>
                <c:pt idx="25">
                  <c:v>-0.00112938548900463</c:v>
                </c:pt>
                <c:pt idx="26">
                  <c:v>-0.00253544560185185</c:v>
                </c:pt>
                <c:pt idx="27">
                  <c:v>-0.004245849609375</c:v>
                </c:pt>
                <c:pt idx="28">
                  <c:v>-0.00628935185185185</c:v>
                </c:pt>
                <c:pt idx="29">
                  <c:v>-0.00869579173900463</c:v>
                </c:pt>
                <c:pt idx="30">
                  <c:v>-0.01149609375</c:v>
                </c:pt>
              </c:numCache>
            </c:numRef>
          </c:yVal>
          <c:smooth val="1"/>
        </c:ser>
        <c:axId val="95817194"/>
        <c:axId val="69263473"/>
      </c:scatterChart>
      <c:valAx>
        <c:axId val="9581719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600" spc="-1" strike="noStrike">
                <a:solidFill>
                  <a:srgbClr val="000000"/>
                </a:solidFill>
                <a:latin typeface="Iosevka Aile Light"/>
              </a:defRPr>
            </a:pPr>
          </a:p>
        </c:txPr>
        <c:crossAx val="69263473"/>
        <c:crosses val="autoZero"/>
        <c:crossBetween val="midCat"/>
      </c:valAx>
      <c:valAx>
        <c:axId val="69263473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0.00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600" spc="-1" strike="noStrike">
                <a:solidFill>
                  <a:srgbClr val="000000"/>
                </a:solidFill>
                <a:latin typeface="Iosevka Aile"/>
              </a:defRPr>
            </a:pPr>
          </a:p>
        </c:txPr>
        <c:crossAx val="95817194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layout>
        <c:manualLayout>
          <c:xMode val="edge"/>
          <c:yMode val="edge"/>
          <c:x val="0.717875"/>
          <c:y val="0.0877777777777778"/>
          <c:w val="0.216638539908744"/>
          <c:h val="0.0781197910878987"/>
        </c:manualLayout>
      </c:layout>
      <c:overlay val="1"/>
      <c:spPr>
        <a:noFill/>
        <a:ln w="0">
          <a:noFill/>
        </a:ln>
      </c:spPr>
      <c:txPr>
        <a:bodyPr/>
        <a:lstStyle/>
        <a:p>
          <a:pPr>
            <a:defRPr b="0" sz="700" spc="-1" strike="noStrike">
              <a:solidFill>
                <a:srgbClr val="000000"/>
              </a:solidFill>
              <a:latin typeface="Iosevka Aile"/>
            </a:defRPr>
          </a:pPr>
        </a:p>
      </c:txPr>
    </c:legend>
    <c:plotVisOnly val="1"/>
    <c:dispBlanksAs val="span"/>
  </c:chart>
  <c:spPr>
    <a:solidFill>
      <a:srgbClr val="ffffff"/>
    </a:solidFill>
    <a:ln w="0"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13025"/>
          <c:y val="0.0497777777777778"/>
          <c:w val="0.8255"/>
          <c:h val="0.906333333333333"/>
        </c:manualLayout>
      </c:layout>
      <c:scatterChart>
        <c:scatterStyle val="line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y'(x)</c:v>
                </c:pt>
              </c:strCache>
            </c:strRef>
          </c:tx>
          <c:spPr>
            <a:solidFill>
              <a:srgbClr val="77bc65"/>
            </a:solidFill>
            <a:ln w="28800">
              <a:solidFill>
                <a:srgbClr val="77bc65"/>
              </a:solidFill>
              <a:round/>
            </a:ln>
          </c:spPr>
          <c:marker>
            <c:symbol val="none"/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11"/>
                <c:pt idx="0">
                  <c:v>575</c:v>
                </c:pt>
                <c:pt idx="1">
                  <c:v>580</c:v>
                </c:pt>
                <c:pt idx="2">
                  <c:v>585</c:v>
                </c:pt>
                <c:pt idx="3">
                  <c:v>590</c:v>
                </c:pt>
                <c:pt idx="4">
                  <c:v>595</c:v>
                </c:pt>
                <c:pt idx="5">
                  <c:v>600</c:v>
                </c:pt>
                <c:pt idx="6">
                  <c:v>605</c:v>
                </c:pt>
                <c:pt idx="7">
                  <c:v>610</c:v>
                </c:pt>
                <c:pt idx="8">
                  <c:v>615</c:v>
                </c:pt>
                <c:pt idx="9">
                  <c:v>620</c:v>
                </c:pt>
                <c:pt idx="10">
                  <c:v>625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11"/>
                <c:pt idx="0">
                  <c:v>0.000879295066550926</c:v>
                </c:pt>
                <c:pt idx="1">
                  <c:v>0.000722203703703704</c:v>
                </c:pt>
                <c:pt idx="2">
                  <c:v>0.000555931640625</c:v>
                </c:pt>
                <c:pt idx="3">
                  <c:v>0.00038027662037037</c:v>
                </c:pt>
                <c:pt idx="4">
                  <c:v>0.000195034649884259</c:v>
                </c:pt>
                <c:pt idx="5">
                  <c:v>0</c:v>
                </c:pt>
                <c:pt idx="6">
                  <c:v>-0.000205034794560185</c:v>
                </c:pt>
                <c:pt idx="7">
                  <c:v>-0.000420278935185185</c:v>
                </c:pt>
                <c:pt idx="8">
                  <c:v>-0.000645943359375</c:v>
                </c:pt>
                <c:pt idx="9">
                  <c:v>-0.000882240740740741</c:v>
                </c:pt>
                <c:pt idx="10">
                  <c:v>-0.00112938548900463</c:v>
                </c:pt>
              </c:numCache>
            </c:numRef>
          </c:yVal>
          <c:smooth val="1"/>
        </c:ser>
        <c:axId val="90731048"/>
        <c:axId val="13631867"/>
      </c:scatterChart>
      <c:valAx>
        <c:axId val="90731048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600" spc="-1" strike="noStrike">
                <a:solidFill>
                  <a:srgbClr val="000000"/>
                </a:solidFill>
                <a:latin typeface="Iosevka Aile Light"/>
              </a:defRPr>
            </a:pPr>
          </a:p>
        </c:txPr>
        <c:crossAx val="13631867"/>
        <c:crosses val="autoZero"/>
        <c:crossBetween val="midCat"/>
      </c:valAx>
      <c:valAx>
        <c:axId val="13631867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0.00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600" spc="-1" strike="noStrike">
                <a:solidFill>
                  <a:srgbClr val="000000"/>
                </a:solidFill>
                <a:latin typeface="Iosevka Aile"/>
              </a:defRPr>
            </a:pPr>
          </a:p>
        </c:txPr>
        <c:crossAx val="90731048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layout>
        <c:manualLayout>
          <c:xMode val="edge"/>
          <c:yMode val="edge"/>
          <c:x val="0.714625"/>
          <c:y val="0.083"/>
          <c:w val="0.220388774298394"/>
          <c:h val="0.0860095566174019"/>
        </c:manualLayout>
      </c:layout>
      <c:overlay val="0"/>
      <c:spPr>
        <a:noFill/>
        <a:ln w="0">
          <a:noFill/>
        </a:ln>
      </c:spPr>
      <c:txPr>
        <a:bodyPr/>
        <a:lstStyle/>
        <a:p>
          <a:pPr>
            <a:defRPr b="0" sz="700" spc="-1" strike="noStrike">
              <a:solidFill>
                <a:srgbClr val="000000"/>
              </a:solidFill>
              <a:latin typeface="Iosevka Aile"/>
            </a:defRPr>
          </a:pPr>
        </a:p>
      </c:txPr>
    </c:legend>
    <c:plotVisOnly val="1"/>
    <c:dispBlanksAs val="span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Application>LibreOffice/24.2.7.2$Linux_X86_64 LibreOffice_project/420$Build-2</Application>
  <AppVersion>15.0000</AppVersion>
  <Pages>5</Pages>
  <Words>285</Words>
  <Characters>1394</Characters>
  <CharactersWithSpaces>1656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2026-01-26T18:29:00Z</dcterms:created>
  <dc:creator>GOMEZ SALAZAR, DAVID</dc:creator>
  <dc:description/>
  <dc:language>es-MX</dc:language>
  <cp:lastModifiedBy/>
  <cp:lastPrinted>2026-01-19T14:20:00Z</cp:lastPrinted>
  <dcterms:modified xsi:type="dcterms:W3CDTF">2026-02-22T17:20:09Z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