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Social</w:t>
      </w:r>
      <w:r>
        <w:t xml:space="preserve"> </w:t>
      </w:r>
      <w:r>
        <w:t xml:space="preserve">influence</w:t>
      </w:r>
      <w:r>
        <w:t xml:space="preserve"> </w:t>
      </w:r>
      <w:r>
        <w:t xml:space="preserve">and</w:t>
      </w:r>
      <w:r>
        <w:t xml:space="preserve"> </w:t>
      </w:r>
      <w:r>
        <w:t xml:space="preserve">anti-parasite</w:t>
      </w:r>
      <w:r>
        <w:t xml:space="preserve"> </w:t>
      </w:r>
      <w:r>
        <w:t xml:space="preserve">defences</w:t>
      </w:r>
      <w:r>
        <w:t xml:space="preserve"> </w:t>
      </w:r>
      <w:r>
        <w:t xml:space="preserve">during</w:t>
      </w:r>
      <w:r>
        <w:t xml:space="preserve"> </w:t>
      </w:r>
      <w:r>
        <w:t xml:space="preserve">nest-site</w:t>
      </w:r>
      <w:r>
        <w:t xml:space="preserve"> </w:t>
      </w:r>
      <w:r>
        <w:t xml:space="preserve">selection</w:t>
      </w:r>
      <w:r>
        <w:t xml:space="preserve"> </w:t>
      </w:r>
      <w:r>
        <w:t xml:space="preserve">of</w:t>
      </w:r>
      <w:r>
        <w:t xml:space="preserve"> </w:t>
      </w:r>
      <w:r>
        <w:t xml:space="preserve">solitary</w:t>
      </w:r>
      <w:r>
        <w:t xml:space="preserve"> </w:t>
      </w:r>
      <w:r>
        <w:t xml:space="preserve">cavity-nesting</w:t>
      </w:r>
      <w:r>
        <w:t xml:space="preserve"> </w:t>
      </w:r>
      <w:r>
        <w:t xml:space="preserve">bees</w:t>
      </w:r>
    </w:p>
    <w:p>
      <w:pPr>
        <w:pStyle w:val="Subtitle"/>
      </w:pPr>
      <w:r>
        <w:t xml:space="preserve">Supplementary</w:t>
      </w:r>
      <w:r>
        <w:t xml:space="preserve"> </w:t>
      </w:r>
      <w:r>
        <w:t xml:space="preserve">Material:</w:t>
      </w:r>
      <w:r>
        <w:t xml:space="preserve"> </w:t>
      </w:r>
      <w:r>
        <w:t xml:space="preserve">Model</w:t>
      </w:r>
      <w:r>
        <w:t xml:space="preserve"> </w:t>
      </w:r>
      <w:r>
        <w:t xml:space="preserve">Summaries</w:t>
      </w:r>
    </w:p>
    <w:p>
      <w:pPr>
        <w:pStyle w:val="FirstParagraph"/>
      </w:pPr>
      <w:r>
        <w:rPr>
          <w:bCs/>
          <w:b/>
        </w:rPr>
        <w:t xml:space="preserve">Table S5.</w:t>
      </w:r>
      <w:r>
        <w:t xml:space="preserve"> </w:t>
      </w:r>
      <w:r>
        <w:t xml:space="preserve">Summary of the GLMM for prediction 1, model 1_i testing for an attraction to congenerics in nesting</w:t>
      </w:r>
      <w:r>
        <w:t xml:space="preserve"> </w:t>
      </w:r>
      <w:r>
        <w:rPr>
          <w:iCs/>
          <w:i/>
        </w:rPr>
        <w:t xml:space="preserve">Osmia</w:t>
      </w:r>
      <w:r>
        <w:t xml:space="preserve">, including pseudo nests as congenerics, n = 161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including pseudo nests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ures/hist_1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S2.</w:t>
      </w:r>
      <w:r>
        <w:t xml:space="preserve"> </w:t>
      </w:r>
      <w:r>
        <w:t xml:space="preserve">Histogram of coefficients from the 100 models using simulated data (grey bars) and the coefficient from the model using observed data (red line) for prediction 1, model 1_i.</w:t>
      </w:r>
    </w:p>
    <w:p>
      <w:pPr>
        <w:pStyle w:val="BodyText"/>
      </w:pPr>
      <w:r>
        <w:rPr>
          <w:bCs/>
          <w:b/>
        </w:rPr>
        <w:t xml:space="preserve">Table S6.</w:t>
      </w:r>
      <w:r>
        <w:t xml:space="preserve"> </w:t>
      </w:r>
      <w:r>
        <w:t xml:space="preserve">Summary of the GLMM for prediction 1, model 1_ii testing for an attraction to congenerics in nesting</w:t>
      </w:r>
      <w:r>
        <w:t xml:space="preserve"> </w:t>
      </w:r>
      <w:r>
        <w:rPr>
          <w:iCs/>
          <w:i/>
        </w:rPr>
        <w:t xml:space="preserve">Osmia</w:t>
      </w:r>
      <w:r>
        <w:t xml:space="preserve">, excluding pseudo nests as congenerics, n = 161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excluding pseudo nests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hist_1i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S3.</w:t>
      </w:r>
      <w:r>
        <w:t xml:space="preserve"> </w:t>
      </w:r>
      <w:r>
        <w:t xml:space="preserve">Histogram of coefficients from the 100 models using simulated data (grey bars) and the coefficient from the model using observed data (red line) for prediction 1, model 1_ii.</w:t>
      </w:r>
    </w:p>
    <w:p>
      <w:pPr>
        <w:pStyle w:val="BodyText"/>
      </w:pPr>
      <w:r>
        <w:rPr>
          <w:bCs/>
          <w:b/>
        </w:rPr>
        <w:t xml:space="preserve">Table S7.</w:t>
      </w:r>
      <w:r>
        <w:t xml:space="preserve"> </w:t>
      </w:r>
      <w:r>
        <w:t xml:space="preserve">Summary of the GLMM for prediction 1, model 1_iii testing for an attraction to congenerics in nesting</w:t>
      </w:r>
      <w:r>
        <w:t xml:space="preserve"> </w:t>
      </w:r>
      <w:r>
        <w:rPr>
          <w:iCs/>
          <w:i/>
        </w:rPr>
        <w:t xml:space="preserve">Megachile</w:t>
      </w:r>
      <w:r>
        <w:t xml:space="preserve">, including pseudo nests as congenerics, n = 137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including pseudo nests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hist_1iii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S4.</w:t>
      </w:r>
      <w:r>
        <w:t xml:space="preserve"> </w:t>
      </w:r>
      <w:r>
        <w:t xml:space="preserve">Histogram of coefficients from the 100 models using simulated data (grey bars) and the coefficient from the model using observed data (red line) for prediction 1, model 1_iii.</w:t>
      </w:r>
    </w:p>
    <w:p>
      <w:pPr>
        <w:pStyle w:val="BodyText"/>
      </w:pPr>
      <w:r>
        <w:rPr>
          <w:bCs/>
          <w:b/>
        </w:rPr>
        <w:t xml:space="preserve">Table S8.</w:t>
      </w:r>
      <w:r>
        <w:t xml:space="preserve"> </w:t>
      </w:r>
      <w:r>
        <w:t xml:space="preserve">Summary of the GLMM for prediction 1, model 1_iv testing for an attraction to congenerics in nesting</w:t>
      </w:r>
      <w:r>
        <w:t xml:space="preserve"> </w:t>
      </w:r>
      <w:r>
        <w:rPr>
          <w:iCs/>
          <w:i/>
        </w:rPr>
        <w:t xml:space="preserve">Megachile</w:t>
      </w:r>
      <w:r>
        <w:t xml:space="preserve">, excluding pseudo nests as congenerics, n = 137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excluding pseudo nests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hist_1iv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S5.</w:t>
      </w:r>
      <w:r>
        <w:t xml:space="preserve"> </w:t>
      </w:r>
      <w:r>
        <w:t xml:space="preserve">Histogram of coefficients from the 100 models using simulated data (grey bars) and the coefficient from the model using observed data (red line) for prediction 1, model 1_iv.</w:t>
      </w:r>
    </w:p>
    <w:p>
      <w:pPr>
        <w:pStyle w:val="BodyText"/>
      </w:pPr>
      <w:r>
        <w:rPr>
          <w:bCs/>
          <w:b/>
        </w:rPr>
        <w:t xml:space="preserve">Table S9.</w:t>
      </w:r>
      <w:r>
        <w:t xml:space="preserve"> </w:t>
      </w:r>
      <w:r>
        <w:t xml:space="preserve">Summary of the GLMM output from model 2_i testing for an attraction to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nests of brood parasites (</w:t>
      </w:r>
      <w:r>
        <w:rPr>
          <w:iCs/>
          <w:i/>
        </w:rPr>
        <w:t xml:space="preserve">Sapyga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), including pseudo nests as</w:t>
      </w:r>
      <w:r>
        <w:t xml:space="preserve"> </w:t>
      </w:r>
      <w:r>
        <w:rPr>
          <w:iCs/>
          <w:i/>
        </w:rPr>
        <w:t xml:space="preserve">Osmia,</w:t>
      </w:r>
      <w:r>
        <w:t xml:space="preserve"> </w:t>
      </w:r>
      <w:r>
        <w:t xml:space="preserve">n = 286 cells. Asterisks indicate significance for the following tables.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744"/>
        <w:gridCol w:w="1152"/>
        <w:gridCol w:w="1152"/>
        <w:gridCol w:w="1152"/>
        <w:gridCol w:w="158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 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host nests, including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0.27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0.01 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0.89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1.80e-03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5.13e-04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S10.</w:t>
      </w:r>
      <w:r>
        <w:t xml:space="preserve"> </w:t>
      </w:r>
      <w:r>
        <w:t xml:space="preserve">Summary of the GLMM output from model 2_ii for prediction 2, testing an attraction to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nests of brood parasites (</w:t>
      </w:r>
      <w:r>
        <w:rPr>
          <w:iCs/>
          <w:i/>
        </w:rPr>
        <w:t xml:space="preserve">Sapyga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Osmia</w:t>
      </w:r>
      <w:r>
        <w:t xml:space="preserve">, n = 286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2.45e-03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-203.35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host nests, excluding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2.37e-03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-51.42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2.37e-03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4533.90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2.45e-03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1735.98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2.37e-03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3.04e-03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1.58e-03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S11.</w:t>
      </w:r>
      <w:r>
        <w:t xml:space="preserve"> </w:t>
      </w:r>
      <w:r>
        <w:t xml:space="preserve">Summary of the GLMM output from model 2_iii for prediction 2, testing an attraction to active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nests of brood parasites (</w:t>
      </w:r>
      <w:r>
        <w:rPr>
          <w:iCs/>
          <w:i/>
        </w:rPr>
        <w:t xml:space="preserve">Sapyga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Osmia,</w:t>
      </w:r>
      <w:r>
        <w:t xml:space="preserve"> </w:t>
      </w:r>
      <w:r>
        <w:t xml:space="preserve">n = 286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 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active host mothers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2.46e-03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-78.94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0.01 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0.19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0.87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3.36e-05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S12.</w:t>
      </w:r>
      <w:r>
        <w:t xml:space="preserve"> </w:t>
      </w:r>
      <w:r>
        <w:t xml:space="preserve">Summary of the GLMM output from model 2_iv for prediction 2, testing an attraction to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in brood parasites (</w:t>
      </w:r>
      <w:r>
        <w:rPr>
          <w:iCs/>
          <w:i/>
        </w:rPr>
        <w:t xml:space="preserve">Meloid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,</w:t>
      </w:r>
      <w:r>
        <w:t xml:space="preserve"> </w:t>
      </w:r>
      <w:r>
        <w:rPr>
          <w:iCs/>
          <w:i/>
        </w:rPr>
        <w:t xml:space="preserve">Chalcid</w:t>
      </w:r>
      <w:r>
        <w:t xml:space="preserve">, and</w:t>
      </w:r>
      <w:r>
        <w:t xml:space="preserve"> </w:t>
      </w:r>
      <w:r>
        <w:rPr>
          <w:iCs/>
          <w:i/>
        </w:rPr>
        <w:t xml:space="preserve">Coelioxys</w:t>
      </w:r>
      <w:r>
        <w:t xml:space="preserve">), including pseudo nests as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142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host nests, including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-7.04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0.44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0.58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0.54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3.12e-03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S13.</w:t>
      </w:r>
      <w:r>
        <w:t xml:space="preserve"> </w:t>
      </w:r>
      <w:r>
        <w:t xml:space="preserve">Summary of the GLMM output from model 2_v for prediction 2, testing an attraction to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in brood parasites (</w:t>
      </w:r>
      <w:r>
        <w:rPr>
          <w:iCs/>
          <w:i/>
        </w:rPr>
        <w:t xml:space="preserve">Meloid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,</w:t>
      </w:r>
      <w:r>
        <w:t xml:space="preserve"> </w:t>
      </w:r>
      <w:r>
        <w:rPr>
          <w:iCs/>
          <w:i/>
        </w:rPr>
        <w:t xml:space="preserve">Chalcid</w:t>
      </w:r>
      <w:r>
        <w:t xml:space="preserve">, and</w:t>
      </w:r>
      <w:r>
        <w:t xml:space="preserve"> </w:t>
      </w:r>
      <w:r>
        <w:rPr>
          <w:iCs/>
          <w:i/>
        </w:rPr>
        <w:t xml:space="preserve">Coelioxys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142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-4.94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host nests, excluding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0.21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0.71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0.46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S14.</w:t>
      </w:r>
      <w:r>
        <w:t xml:space="preserve"> </w:t>
      </w:r>
      <w:r>
        <w:t xml:space="preserve">Summary of the GLMM output from model 2_vi for prediction 2, testing an attraction to active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nests of brood parasites (</w:t>
      </w:r>
      <w:r>
        <w:rPr>
          <w:iCs/>
          <w:i/>
        </w:rPr>
        <w:t xml:space="preserve">Meloid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,</w:t>
      </w:r>
      <w:r>
        <w:t xml:space="preserve"> </w:t>
      </w:r>
      <w:r>
        <w:rPr>
          <w:iCs/>
          <w:i/>
        </w:rPr>
        <w:t xml:space="preserve">Chalcid</w:t>
      </w:r>
      <w:r>
        <w:t xml:space="preserve">, and</w:t>
      </w:r>
      <w:r>
        <w:t xml:space="preserve"> </w:t>
      </w:r>
      <w:r>
        <w:rPr>
          <w:iCs/>
          <w:i/>
        </w:rPr>
        <w:t xml:space="preserve">Coelioxys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142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active host mothers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-7.96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0.75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8.38e-05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1.61e-03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S15.</w:t>
      </w:r>
      <w:r>
        <w:t xml:space="preserve"> </w:t>
      </w:r>
      <w:r>
        <w:t xml:space="preserve">Summary of the GLMM output from model 3a_i for prediction 3a, testing an avoidance of parasites and an attraction to congenerics in nesting</w:t>
      </w:r>
      <w:r>
        <w:t xml:space="preserve"> </w:t>
      </w:r>
      <w:r>
        <w:rPr>
          <w:iCs/>
          <w:i/>
        </w:rPr>
        <w:t xml:space="preserve">Osmia</w:t>
      </w:r>
      <w:r>
        <w:t xml:space="preserve">, including pseudo nests as congeneric nests with no detectable parasites, n = 161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detectable parasites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no detectable parasites, including pseudo nests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hist_3a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S6.</w:t>
      </w:r>
      <w:r>
        <w:t xml:space="preserve"> </w:t>
      </w:r>
      <w:r>
        <w:t xml:space="preserve">Histogram of coefficients from the 100 models using simulated data (grey bars) and the coefficient from the model using observed data (red line) for prediction 3, model 3_i.</w:t>
      </w:r>
    </w:p>
    <w:p>
      <w:pPr>
        <w:pStyle w:val="BodyText"/>
      </w:pPr>
      <w:r>
        <w:rPr>
          <w:bCs/>
          <w:b/>
        </w:rPr>
        <w:t xml:space="preserve">Table S16.</w:t>
      </w:r>
      <w:r>
        <w:t xml:space="preserve"> </w:t>
      </w:r>
      <w:r>
        <w:t xml:space="preserve">Summary of the GLMM output from model 3a_ii for prediction 3a, testing an avoidance of parasites and an attraction to congenerics in nesting</w:t>
      </w:r>
      <w:r>
        <w:t xml:space="preserve"> </w:t>
      </w:r>
      <w:r>
        <w:rPr>
          <w:iCs/>
          <w:i/>
        </w:rPr>
        <w:t xml:space="preserve">Osmia</w:t>
      </w:r>
      <w:r>
        <w:t xml:space="preserve">, excluding pseudo nests as congeneric nests with no detectable parasites, n = 161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detectable parasites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no detectable parasites, excluding pseudo nests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hist_3aii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S6.</w:t>
      </w:r>
      <w:r>
        <w:t xml:space="preserve"> </w:t>
      </w:r>
      <w:r>
        <w:t xml:space="preserve">Histogram of coefficients from the 100 models using simulated data (grey bars) and the coefficient from the model using observed data (red line) for prediction 3, model 3_ii.</w:t>
      </w:r>
    </w:p>
    <w:p>
      <w:pPr>
        <w:pStyle w:val="BodyText"/>
      </w:pPr>
      <w:r>
        <w:rPr>
          <w:bCs/>
          <w:b/>
        </w:rPr>
        <w:t xml:space="preserve">Table S17.</w:t>
      </w:r>
      <w:r>
        <w:t xml:space="preserve"> </w:t>
      </w:r>
      <w:r>
        <w:t xml:space="preserve">Summary of the GLMM output from model 3a_iii for prediction 3a, testing an avoidance of parasites and an attraction to congenerics in nesting</w:t>
      </w:r>
      <w:r>
        <w:t xml:space="preserve"> </w:t>
      </w:r>
      <w:r>
        <w:rPr>
          <w:iCs/>
          <w:i/>
        </w:rPr>
        <w:t xml:space="preserve">Megachile</w:t>
      </w:r>
      <w:r>
        <w:t xml:space="preserve">, including pseudo nests as congeneric nests with no detectable parasites, n = 137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no detectable parasites, including pseudo nests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hist_3aiii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S6.</w:t>
      </w:r>
      <w:r>
        <w:t xml:space="preserve"> </w:t>
      </w:r>
      <w:r>
        <w:t xml:space="preserve">Histogram of coefficients from the 100 models using simulated data (grey bars) and the coefficient from the model using observed data (red line) for prediction 3, model 3_iii.</w:t>
      </w:r>
    </w:p>
    <w:p>
      <w:pPr>
        <w:pStyle w:val="BodyText"/>
      </w:pPr>
      <w:r>
        <w:rPr>
          <w:bCs/>
          <w:b/>
        </w:rPr>
        <w:t xml:space="preserve">Table S18.</w:t>
      </w:r>
      <w:r>
        <w:t xml:space="preserve"> </w:t>
      </w:r>
      <w:r>
        <w:t xml:space="preserve">Summary of the GLMM output from model 3b_i for prediction 3b, testing a change in nest investment of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in response to brood parasites, n = 74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456"/>
        <w:gridCol w:w="1152"/>
        <w:gridCol w:w="864"/>
        <w:gridCol w:w="864"/>
        <w:gridCol w:w="864"/>
        <w:gridCol w:w="1584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Straw_length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0.15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-96.94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 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Osmia nests with detectable parasites * 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Residual SD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31.74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S19.</w:t>
      </w:r>
      <w:r>
        <w:t xml:space="preserve"> </w:t>
      </w:r>
      <w:r>
        <w:t xml:space="preserve">Summary of the GLMM output from model 3b_ii for prediction 3b, testing a change in nest investment of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in response to brood parasites, n = 40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456"/>
        <w:gridCol w:w="1152"/>
        <w:gridCol w:w="864"/>
        <w:gridCol w:w="864"/>
        <w:gridCol w:w="864"/>
        <w:gridCol w:w="1584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99.04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0.65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Straw_length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0.74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-263.69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0.87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 *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Megachile nests with detectable parasites * 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0.55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Residual SD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S20.</w:t>
      </w:r>
      <w:r>
        <w:t xml:space="preserve"> </w:t>
      </w:r>
      <w:r>
        <w:t xml:space="preserve">Summary of the GLMM output from model 3c_i for prediction 3c, testing if brood cell parasitization predicts nest termination in</w:t>
      </w:r>
      <w:r>
        <w:t xml:space="preserve"> </w:t>
      </w:r>
      <w:r>
        <w:rPr>
          <w:iCs/>
          <w:i/>
        </w:rPr>
        <w:t xml:space="preserve">Osmia</w:t>
      </w:r>
      <w:r>
        <w:t xml:space="preserve">, n = 245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-5.96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Cell parasitism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0.72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0.14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0.59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Nest_ID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S21.</w:t>
      </w:r>
      <w:r>
        <w:t xml:space="preserve"> </w:t>
      </w:r>
      <w:r>
        <w:t xml:space="preserve">Summary of the GLMM output from model 3c_ii for prediction 3c, testing if brood cell parasitization predicts nest termination in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136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0.36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Cell parasitism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0.46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0.92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Nest_ID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S22.</w:t>
      </w:r>
      <w:r>
        <w:t xml:space="preserve"> </w:t>
      </w:r>
      <w:r>
        <w:t xml:space="preserve">Summary of the GLMM output from model 3d_i for prediction 3d, testing abandoning inner walls as a response to brood parasites in</w:t>
      </w:r>
      <w:r>
        <w:t xml:space="preserve"> </w:t>
      </w:r>
      <w:r>
        <w:rPr>
          <w:iCs/>
          <w:i/>
        </w:rPr>
        <w:t xml:space="preserve">Osmia</w:t>
      </w:r>
      <w:r>
        <w:t xml:space="preserve">, n = 168 nests with 28 of these nests being abandoned inner walls.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0.01 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0.22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no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89.63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0.31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0.33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 * Neighbouring congeneric nests with no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0.75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1.55e-04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sectPr w:rsidR="00C120BF" w:rsidRPr="00AD4625">
      <w:footerReference r:id="rId9" w:type="even"/>
      <w:footerReference r:id="rId10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21667205"/>
      <w:docPartObj>
        <w:docPartGallery w:val="Page Numbers (Bottom of Page)"/>
        <w:docPartUnique/>
      </w:docPartObj>
    </w:sdtPr>
    <w:sdtContent>
      <w:p w14:paraId="4D41AC4F" w14:textId="177D4805" w:rsidR="00816B33" w:rsidRDefault="00816B33" w:rsidP="006D2C5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A3996D" w14:textId="77777777" w:rsidR="00816B33" w:rsidRDefault="00816B33" w:rsidP="00816B3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69758347"/>
      <w:docPartObj>
        <w:docPartGallery w:val="Page Numbers (Bottom of Page)"/>
        <w:docPartUnique/>
      </w:docPartObj>
    </w:sdtPr>
    <w:sdtContent>
      <w:p w14:paraId="40DD30B9" w14:textId="40E56351" w:rsidR="00816B33" w:rsidRDefault="00816B33" w:rsidP="006D2C5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83CD5A7" w14:textId="77777777" w:rsidR="00816B33" w:rsidRDefault="00816B33" w:rsidP="00816B33">
    <w:pPr>
      <w:pStyle w:val="Footer"/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E1AE7B0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201932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55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756604"/>
    <w:pPr>
      <w:keepNext/>
      <w:keepLines/>
      <w:spacing w:after="0" w:before="480"/>
      <w:jc w:val="center"/>
      <w:outlineLvl w:val="0"/>
    </w:pPr>
    <w:rPr>
      <w:rFonts w:ascii="Times New Roman" w:cstheme="majorBidi" w:eastAsiaTheme="majorEastAsia" w:hAnsi="Times New Roman"/>
      <w:b/>
      <w:bCs/>
      <w:color w:themeColor="text1" w:val="00000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1"/>
    </w:pPr>
    <w:rPr>
      <w:rFonts w:ascii="Times New Roman" w:cstheme="majorBidi" w:eastAsiaTheme="majorEastAsia" w:hAnsi="Times New Roman"/>
      <w:b/>
      <w:bCs/>
      <w:color w:themeColor="text1" w:val="00000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2"/>
    </w:pPr>
    <w:rPr>
      <w:rFonts w:ascii="Times New Roman" w:cstheme="majorBidi" w:eastAsiaTheme="majorEastAsia" w:hAnsi="Times New Roman"/>
      <w:b/>
      <w:bCs/>
      <w:i/>
      <w:color w:themeColor="text1" w:val="000000"/>
    </w:rPr>
  </w:style>
  <w:style w:styleId="Heading4" w:type="paragraph">
    <w:name w:val="heading 4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3"/>
    </w:pPr>
    <w:rPr>
      <w:rFonts w:ascii="Times New Roman" w:cstheme="majorBidi" w:eastAsiaTheme="majorEastAsia" w:hAnsi="Times New Roman"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4"/>
    </w:pPr>
    <w:rPr>
      <w:rFonts w:ascii="Times New Roman" w:cstheme="majorBidi" w:eastAsiaTheme="majorEastAsia" w:hAnsi="Times New Roman"/>
      <w:iCs/>
      <w:color w:themeColor="text1" w:val="000000"/>
      <w:u w:val="single"/>
    </w:rPr>
  </w:style>
  <w:style w:styleId="Heading6" w:type="paragraph">
    <w:name w:val="heading 6"/>
    <w:basedOn w:val="Normal"/>
    <w:next w:val="BodyText"/>
    <w:uiPriority w:val="9"/>
    <w:unhideWhenUsed/>
    <w:qFormat/>
    <w:rsid w:val="003910D4"/>
    <w:pPr>
      <w:keepNext/>
      <w:keepLines/>
      <w:spacing w:after="0" w:before="200"/>
      <w:outlineLvl w:val="5"/>
    </w:pPr>
    <w:rPr>
      <w:rFonts w:ascii="Times New Roman" w:cstheme="majorBidi" w:eastAsiaTheme="majorEastAsia" w:hAnsi="Times New Roman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BalloonText"/>
    <w:link w:val="BodyTextChar"/>
    <w:qFormat/>
    <w:rsid w:val="003910D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996B2B"/>
    <w:pPr>
      <w:keepNext/>
      <w:keepLines/>
      <w:spacing w:after="240" w:before="480"/>
      <w:jc w:val="center"/>
    </w:pPr>
    <w:rPr>
      <w:rFonts w:ascii="Times New Roman" w:cstheme="majorBidi" w:eastAsiaTheme="majorEastAsia" w:hAnsi="Times New Roman"/>
      <w:b/>
      <w:bCs/>
      <w:szCs w:val="36"/>
    </w:rPr>
  </w:style>
  <w:style w:styleId="Subtitle" w:type="paragraph">
    <w:name w:val="Subtitle"/>
    <w:basedOn w:val="Title"/>
    <w:next w:val="BodyText"/>
    <w:qFormat/>
    <w:rsid w:val="0098437D"/>
    <w:pPr>
      <w:spacing w:before="240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rsid w:val="00756604"/>
    <w:pPr>
      <w:keepNext/>
      <w:keepLines/>
      <w:spacing w:after="0" w:before="300"/>
      <w:jc w:val="center"/>
    </w:pPr>
    <w:rPr>
      <w:rFonts w:ascii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756604"/>
    <w:pPr>
      <w:keepNext/>
      <w:keepLines/>
      <w:spacing w:after="300" w:before="100"/>
    </w:pPr>
    <w:rPr>
      <w:rFonts w:ascii="Times New Roman" w:hAnsi="Times New Roman"/>
      <w:sz w:val="20"/>
      <w:szCs w:val="20"/>
    </w:rPr>
  </w:style>
  <w:style w:styleId="Bibliography" w:type="paragraph">
    <w:name w:val="Bibliography"/>
    <w:basedOn w:val="Heading7"/>
    <w:qFormat/>
    <w:rsid w:val="003910D4"/>
    <w:rPr>
      <w:rFonts w:ascii="Times New Roman" w:cs="Times New Roman" w:hAnsi="Times New Roman"/>
      <w:color w:val="auto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BodyTextIndent2"/>
    <w:link w:val="CaptionChar"/>
    <w:rsid w:val="003910D4"/>
  </w:style>
  <w:style w:customStyle="1" w:styleId="TableCaption" w:type="paragraph">
    <w:name w:val="Table Caption"/>
    <w:basedOn w:val="Caption"/>
    <w:rsid w:val="001B6D52"/>
    <w:rPr>
      <w:i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3910D4"/>
    <w:rPr>
      <w:rFonts w:ascii="Times New Roman" w:cs="Times New Roman" w:eastAsiaTheme="majorEastAsia" w:hAnsi="Times New Roman"/>
    </w:rPr>
  </w:style>
  <w:style w:customStyle="1" w:styleId="VerbatimChar" w:type="character">
    <w:name w:val="Verbatim Char"/>
    <w:basedOn w:val="CaptionChar"/>
    <w:rPr>
      <w:rFonts w:ascii="Consolas" w:cs="Times New Roman" w:eastAsiaTheme="majorEastAsia" w:hAnsi="Consolas"/>
      <w:sz w:val="22"/>
    </w:rPr>
  </w:style>
  <w:style w:customStyle="1" w:styleId="SectionNumber" w:type="character">
    <w:name w:val="Section Number"/>
    <w:basedOn w:val="CaptionChar"/>
    <w:rPr>
      <w:rFonts w:ascii="Times New Roman" w:cs="Times New Roman" w:eastAsiaTheme="majorEastAsia" w:hAnsi="Times New Roman"/>
    </w:rPr>
  </w:style>
  <w:style w:styleId="FootnoteReference" w:type="character">
    <w:name w:val="footnote reference"/>
    <w:basedOn w:val="CaptionChar"/>
    <w:rPr>
      <w:rFonts w:ascii="Times New Roman" w:cs="Times New Roman" w:eastAsiaTheme="majorEastAsia" w:hAnsi="Times New Roman"/>
      <w:vertAlign w:val="superscript"/>
    </w:rPr>
  </w:style>
  <w:style w:styleId="Hyperlink" w:type="character">
    <w:name w:val="Hyperlink"/>
    <w:basedOn w:val="CaptionChar"/>
    <w:rPr>
      <w:rFonts w:ascii="Times New Roman" w:cs="Times New Roman" w:eastAsiaTheme="majorEastAsia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themeColor="accent1" w:themeShade="BF" w:val="365F91"/>
    </w:rPr>
  </w:style>
  <w:style w:styleId="TableofAuthorities" w:type="paragraph">
    <w:name w:val="table of authorities"/>
    <w:basedOn w:val="Normal"/>
    <w:next w:val="Normal"/>
    <w:rsid w:val="001B6D52"/>
    <w:pPr>
      <w:spacing w:after="0"/>
      <w:ind w:hanging="240" w:left="240"/>
    </w:pPr>
    <w:rPr>
      <w:rFonts w:ascii="Times New Roman" w:hAnsi="Times New Roman"/>
    </w:rPr>
  </w:style>
  <w:style w:styleId="TableofFigures" w:type="paragraph">
    <w:name w:val="table of figures"/>
    <w:basedOn w:val="Normal"/>
    <w:next w:val="Normal"/>
    <w:rsid w:val="001B6D52"/>
    <w:pPr>
      <w:spacing w:after="0"/>
    </w:pPr>
    <w:rPr>
      <w:rFonts w:ascii="Times New Roman" w:hAnsi="Times New Roman"/>
    </w:rPr>
  </w:style>
  <w:style w:styleId="TOC9" w:type="paragraph">
    <w:name w:val="toc 9"/>
    <w:basedOn w:val="Normal"/>
    <w:next w:val="Normal"/>
    <w:autoRedefine/>
    <w:rsid w:val="003910D4"/>
    <w:pPr>
      <w:spacing w:after="100"/>
      <w:ind w:left="1920"/>
    </w:pPr>
  </w:style>
  <w:style w:styleId="BalloonText" w:type="paragraph">
    <w:name w:val="Balloon Text"/>
    <w:basedOn w:val="Bibliography"/>
    <w:link w:val="BalloonTextChar"/>
    <w:rsid w:val="003910D4"/>
  </w:style>
  <w:style w:customStyle="1" w:styleId="BalloonTextChar" w:type="character">
    <w:name w:val="Balloon Text Char"/>
    <w:basedOn w:val="DefaultParagraphFont"/>
    <w:link w:val="BalloonText"/>
    <w:rsid w:val="003910D4"/>
    <w:rPr>
      <w:rFonts w:ascii="Times New Roman" w:cs="Times New Roman" w:eastAsiaTheme="majorEastAsia" w:hAnsi="Times New Roman"/>
    </w:rPr>
  </w:style>
  <w:style w:styleId="BodyText2" w:type="paragraph">
    <w:name w:val="Body Text 2"/>
    <w:basedOn w:val="BodyText"/>
    <w:link w:val="BodyText2Char"/>
    <w:rsid w:val="003910D4"/>
  </w:style>
  <w:style w:customStyle="1" w:styleId="BodyText2Char" w:type="character">
    <w:name w:val="Body Text 2 Char"/>
    <w:basedOn w:val="DefaultParagraphFont"/>
    <w:link w:val="BodyText2"/>
    <w:rsid w:val="003910D4"/>
    <w:rPr>
      <w:rFonts w:ascii="Times New Roman" w:cs="Times New Roman" w:eastAsiaTheme="majorEastAsia" w:hAnsi="Times New Roman"/>
    </w:rPr>
  </w:style>
  <w:style w:styleId="BodyText3" w:type="paragraph">
    <w:name w:val="Body Text 3"/>
    <w:basedOn w:val="BodyText2"/>
    <w:link w:val="BodyText3Char"/>
    <w:rsid w:val="003910D4"/>
  </w:style>
  <w:style w:customStyle="1" w:styleId="BodyText3Char" w:type="character">
    <w:name w:val="Body Text 3 Char"/>
    <w:basedOn w:val="DefaultParagraphFont"/>
    <w:link w:val="BodyText3"/>
    <w:rsid w:val="003910D4"/>
    <w:rPr>
      <w:rFonts w:ascii="Times New Roman" w:cs="Times New Roman" w:eastAsiaTheme="majorEastAsia" w:hAnsi="Times New Roman"/>
    </w:rPr>
  </w:style>
  <w:style w:styleId="BodyTextFirstIndent" w:type="paragraph">
    <w:name w:val="Body Text First Indent"/>
    <w:basedOn w:val="BodyText3"/>
    <w:link w:val="BodyTextFirstIndentChar"/>
    <w:rsid w:val="003910D4"/>
  </w:style>
  <w:style w:customStyle="1" w:styleId="BodyTextChar" w:type="character">
    <w:name w:val="Body Text Char"/>
    <w:basedOn w:val="BalloonTextChar"/>
    <w:link w:val="BodyText"/>
    <w:rsid w:val="003910D4"/>
    <w:rPr>
      <w:rFonts w:ascii="Times New Roman" w:cs="Times New Roman" w:eastAsiaTheme="majorEastAsia" w:hAnsi="Times New Roman"/>
    </w:rPr>
  </w:style>
  <w:style w:customStyle="1" w:styleId="BodyTextFirstIndentChar" w:type="character">
    <w:name w:val="Body Text First Indent Char"/>
    <w:basedOn w:val="BodyTextChar"/>
    <w:link w:val="BodyTextFirstIndent"/>
    <w:rsid w:val="003910D4"/>
    <w:rPr>
      <w:rFonts w:ascii="Times New Roman" w:cs="Times New Roman" w:eastAsiaTheme="majorEastAsia" w:hAnsi="Times New Roman"/>
    </w:rPr>
  </w:style>
  <w:style w:styleId="BodyTextIndent" w:type="paragraph">
    <w:name w:val="Body Text Indent"/>
    <w:basedOn w:val="BodyTextFirstIndent2"/>
    <w:link w:val="BodyTextIndentChar"/>
    <w:rsid w:val="003910D4"/>
  </w:style>
  <w:style w:customStyle="1" w:styleId="BodyTextIndentChar" w:type="character">
    <w:name w:val="Body Text Indent Char"/>
    <w:basedOn w:val="DefaultParagraphFont"/>
    <w:link w:val="BodyTextIndent"/>
    <w:rsid w:val="003910D4"/>
    <w:rPr>
      <w:rFonts w:ascii="Times New Roman" w:cs="Times New Roman" w:eastAsiaTheme="majorEastAsia" w:hAnsi="Times New Roman"/>
    </w:rPr>
  </w:style>
  <w:style w:styleId="BodyTextFirstIndent2" w:type="paragraph">
    <w:name w:val="Body Text First Indent 2"/>
    <w:basedOn w:val="BodyTextFirstIndent"/>
    <w:link w:val="BodyTextFirstIndent2Char"/>
    <w:rsid w:val="003910D4"/>
  </w:style>
  <w:style w:customStyle="1" w:styleId="BodyTextFirstIndent2Char" w:type="character">
    <w:name w:val="Body Text First Indent 2 Char"/>
    <w:basedOn w:val="BodyTextIndentChar"/>
    <w:link w:val="BodyTextFirstIndent2"/>
    <w:rsid w:val="003910D4"/>
    <w:rPr>
      <w:rFonts w:ascii="Times New Roman" w:cs="Times New Roman" w:eastAsiaTheme="majorEastAsia" w:hAnsi="Times New Roman"/>
    </w:rPr>
  </w:style>
  <w:style w:styleId="BodyTextIndent2" w:type="paragraph">
    <w:name w:val="Body Text Indent 2"/>
    <w:basedOn w:val="BodyTextIndent"/>
    <w:link w:val="BodyTextIndent2Char"/>
    <w:rsid w:val="003910D4"/>
  </w:style>
  <w:style w:customStyle="1" w:styleId="BodyTextIndent2Char" w:type="character">
    <w:name w:val="Body Text Indent 2 Char"/>
    <w:basedOn w:val="DefaultParagraphFont"/>
    <w:link w:val="BodyTextIndent2"/>
    <w:rsid w:val="003910D4"/>
    <w:rPr>
      <w:rFonts w:ascii="Times New Roman" w:cs="Times New Roman" w:eastAsiaTheme="majorEastAsia" w:hAnsi="Times New Roman"/>
    </w:rPr>
  </w:style>
  <w:style w:customStyle="1" w:styleId="Tablenobreaks" w:type="paragraph">
    <w:name w:val="Table no breaks"/>
    <w:basedOn w:val="TableofFigures"/>
    <w:qFormat/>
    <w:rsid w:val="00AD4625"/>
    <w:pPr>
      <w:keepNext/>
      <w:keepLines/>
    </w:pPr>
  </w:style>
  <w:style w:styleId="TOC2" w:type="paragraph">
    <w:name w:val="toc 2"/>
    <w:basedOn w:val="Normal"/>
    <w:next w:val="Normal"/>
    <w:autoRedefine/>
    <w:rsid w:val="00AD4625"/>
    <w:pPr>
      <w:spacing w:after="100"/>
      <w:ind w:left="240"/>
    </w:pPr>
  </w:style>
  <w:style w:styleId="TOC1" w:type="paragraph">
    <w:name w:val="toc 1"/>
    <w:basedOn w:val="Normal"/>
    <w:next w:val="Normal"/>
    <w:autoRedefine/>
    <w:rsid w:val="00AD4625"/>
    <w:pPr>
      <w:spacing w:after="100"/>
    </w:pPr>
  </w:style>
  <w:style w:styleId="Footer" w:type="paragraph">
    <w:name w:val="footer"/>
    <w:basedOn w:val="Normal"/>
    <w:link w:val="FooterChar"/>
    <w:rsid w:val="00816B33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816B33"/>
  </w:style>
  <w:style w:styleId="PageNumber" w:type="character">
    <w:name w:val="page number"/>
    <w:basedOn w:val="DefaultParagraphFont"/>
    <w:rsid w:val="00816B33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Id="rId10" Target="footer2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63</Words>
  <Characters>364</Characters>
  <Application>Microsoft Office Word</Application>
  <DocSecurity>0</DocSecurity>
  <Lines>3</Lines>
  <Paragraphs>1</Paragraphs>
  <ScaleCrop>false</ScaleCrop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Social influence and anti-parasite defences during nest-site selection of solitary cavity-nesting bees</dc:title>
  <dc:creator/>
  <cp:keywords/>
  <dcterms:created xsi:type="dcterms:W3CDTF">2025-11-11T20:34:19Z</dcterms:created>
  <dcterms:modified xsi:type="dcterms:W3CDTF">2025-11-11T20:34:19Z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Supplementary Material: Model Summaries</vt:lpwstr>
  </property>
  <property fmtid="{D5CDD505-2E9C-101B-9397-08002B2CF9AE}" pid="9" name="toc-title">
    <vt:lpwstr>Table of contents</vt:lpwstr>
  </property>
</Properties>
</file>