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attraction</w:t>
      </w:r>
      <w:r>
        <w:t xml:space="preserve"> </w:t>
      </w:r>
      <w:r>
        <w:t xml:space="preserve">during</w:t>
      </w:r>
      <w:r>
        <w:t xml:space="preserve"> </w:t>
      </w:r>
      <w:r>
        <w:t xml:space="preserve">nest-site</w:t>
      </w:r>
      <w:r>
        <w:t xml:space="preserve"> </w:t>
      </w:r>
      <w:r>
        <w:t xml:space="preserve">selection</w:t>
      </w:r>
      <w:r>
        <w:t xml:space="preserve"> </w:t>
      </w:r>
      <w:r>
        <w:t xml:space="preserve">and</w:t>
      </w:r>
      <w:r>
        <w:t xml:space="preserve"> </w:t>
      </w:r>
      <w:r>
        <w:t xml:space="preserve">anti-parasite</w:t>
      </w:r>
      <w:r>
        <w:t xml:space="preserve"> </w:t>
      </w:r>
      <w:r>
        <w:t xml:space="preserve">defenses</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S6.</w:t>
      </w:r>
      <w:r>
        <w:t xml:space="preserve"> </w:t>
      </w:r>
      <w:r>
        <w:t xml:space="preserve">AIC values from analyses with multiple observed-data models (which accounted for pseudo nests or active nests). Within each prediction–genus group, models with the lowest AIC values (including models within 2 AIC units of the minimum value) are in bold. Statistical summaries corresponding to these models are in Tables S7-S22. For the comprehensive description of how occupied cavities are considered in the models, see</w:t>
      </w:r>
      <w:r>
        <w:t xml:space="preserve"> </w:t>
      </w:r>
      <w:r>
        <w:rPr>
          <w:iCs/>
          <w:i/>
        </w:rPr>
        <w:t xml:space="preserve">Statistical Analyses</w:t>
      </w:r>
      <w:r>
        <w:t xml:space="preserve"> </w:t>
      </w:r>
      <w:r>
        <w:t xml:space="preserve">and Table S5.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728"/>
        <w:gridCol w:w="1296"/>
        <w:gridCol w:w="2736"/>
        <w:gridCol w:w="1440"/>
      </w:tblGrid>
      <w:tr>
        <w:trPr>
          <w:trHeight w:val="360" w:hRule="auto"/>
          <w:tblHeader/>
        </w:trPr>
        header 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Focal subjects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Model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Predictor variable (bee nests)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AIC</w:t>
            </w:r>
          </w:p>
        </w:tc>
      </w:tr>
      <w:tr>
        <w:trPr>
          <w:trHeight w:val="360" w:hRule="auto"/>
        </w:trPr>
        body 1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 Congeneric attraction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849.79</w:t>
            </w:r>
          </w:p>
        </w:tc>
      </w:tr>
      <w:tr>
        <w:trPr>
          <w:trHeight w:val="360" w:hRule="auto"/>
        </w:trPr>
        body 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843.38</w:t>
            </w:r>
          </w:p>
        </w:tc>
      </w:tr>
      <w:tr>
        <w:trPr>
          <w:trHeight w:val="360" w:hRule="auto"/>
        </w:trPr>
        body 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814.17</w:t>
            </w:r>
          </w:p>
        </w:tc>
      </w:tr>
      <w:tr>
        <w:trPr>
          <w:trHeight w:val="360" w:hRule="auto"/>
        </w:trPr>
        body 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853.97</w:t>
            </w:r>
          </w:p>
        </w:tc>
      </w:tr>
      <w:tr>
        <w:trPr>
          <w:trHeight w:val="360" w:hRule="auto"/>
        </w:trPr>
        body 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839.57</w:t>
            </w:r>
          </w:p>
        </w:tc>
      </w:tr>
      <w:tr>
        <w:trPr>
          <w:trHeight w:val="360" w:hRule="auto"/>
        </w:trPr>
        body 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840.50</w:t>
            </w:r>
          </w:p>
        </w:tc>
      </w:tr>
      <w:tr>
        <w:trPr>
          <w:trHeight w:val="360" w:hRule="auto"/>
        </w:trPr>
        body 7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 Parasitism risk in aggregations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373.18</w:t>
            </w:r>
          </w:p>
        </w:tc>
      </w:tr>
      <w:tr>
        <w:trPr>
          <w:trHeight w:val="360" w:hRule="auto"/>
        </w:trPr>
        body 8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370.47</w:t>
            </w:r>
          </w:p>
        </w:tc>
      </w:tr>
      <w:tr>
        <w:trPr>
          <w:trHeight w:val="360" w:hRule="auto"/>
        </w:trPr>
        body 9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370.63</w:t>
            </w:r>
          </w:p>
        </w:tc>
      </w:tr>
      <w:tr>
        <w:trPr>
          <w:trHeight w:val="360" w:hRule="auto"/>
        </w:trPr>
        body10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114.60</w:t>
            </w:r>
          </w:p>
        </w:tc>
      </w:tr>
      <w:tr>
        <w:trPr>
          <w:trHeight w:val="360" w:hRule="auto"/>
        </w:trPr>
        body11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113.10</w:t>
            </w:r>
          </w:p>
        </w:tc>
      </w:tr>
      <w:tr>
        <w:trPr>
          <w:trHeight w:val="360" w:hRule="auto"/>
        </w:trPr>
        body12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112.85</w:t>
            </w:r>
          </w:p>
        </w:tc>
      </w:tr>
      <w:tr>
        <w:trPr>
          <w:trHeight w:val="360" w:hRule="auto"/>
        </w:trPr>
        body13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 Avoidance of parasites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848.01</w:t>
            </w:r>
          </w:p>
        </w:tc>
      </w:tr>
      <w:tr>
        <w:trPr>
          <w:trHeight w:val="360" w:hRule="auto"/>
        </w:trPr>
        body14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833.91</w:t>
            </w:r>
          </w:p>
        </w:tc>
      </w:tr>
      <w:tr>
        <w:trPr>
          <w:trHeight w:val="360" w:hRule="auto"/>
        </w:trPr>
        body15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851.52</w:t>
            </w:r>
          </w:p>
        </w:tc>
      </w:tr>
      <w:tr>
        <w:trPr>
          <w:trHeight w:val="360" w:hRule="auto"/>
        </w:trPr>
        body16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806.89</w:t>
            </w:r>
          </w:p>
        </w:tc>
      </w:tr>
    </w:tbl>
    <w:p>
      <w:pPr>
        <w:pStyle w:val="BodyText"/>
      </w:pPr>
      <w:r>
        <w:rPr>
          <w:bCs/>
          <w:b/>
        </w:rPr>
        <w:t xml:space="preserve">Table S7.</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 The estimate (slope), error and associated statistics are reported for fixed effects, while the estimate for the random effects is the variance component.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active congeneric nests in nesting</w:t>
      </w:r>
      <w:r>
        <w:t xml:space="preserve"> </w:t>
      </w:r>
      <w:r>
        <w:rPr>
          <w:iCs/>
          <w:i/>
        </w:rPr>
        <w:t xml:space="preserve">Osmia</w:t>
      </w:r>
      <w:r>
        <w:t xml:space="preserve"> </w:t>
      </w:r>
      <w:r>
        <w:t xml:space="preserve">(model 1_iii),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2.90e-04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1" name="Picture"/>
            <a:graphic>
              <a:graphicData uri="http://schemas.openxmlformats.org/drawingml/2006/picture">
                <pic:pic>
                  <pic:nvPicPr>
                    <pic:cNvPr descr="Figures/hist_1_i_ii_iii.png" id="22" name="Picture"/>
                    <pic:cNvPicPr>
                      <a:picLocks noChangeArrowheads="1" noChangeAspect="1"/>
                    </pic:cNvPicPr>
                  </pic:nvPicPr>
                  <pic:blipFill>
                    <a:blip r:embed="rId20"/>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 Poisson GLMMs of the number of new</w:t>
      </w:r>
      <w:r>
        <w:t xml:space="preserve"> </w:t>
      </w:r>
      <w:r>
        <w:rPr>
          <w:iCs/>
          <w:i/>
        </w:rPr>
        <w:t xml:space="preserve">Osmia</w:t>
      </w:r>
      <w:r>
        <w:t xml:space="preserve"> </w:t>
      </w:r>
      <w:r>
        <w:t xml:space="preserve">nests, for prediction 1 using simulated data (grey bars) and observed data (vertical red dashed line) for the number of neighbouring congeneric nests (A) including pseudo nests (model 1_i), (B) excluding pseudo nests (model 1_ii), and (C) including only active nests (model 1_iii).</w:t>
      </w:r>
    </w:p>
    <w:p>
      <w:pPr>
        <w:pStyle w:val="BodyText"/>
      </w:pPr>
      <w:r>
        <w:rPr>
          <w:bCs/>
          <w:b/>
        </w:rPr>
        <w:t xml:space="preserve">Table S10.</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Poisson GLMM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active congeneric nests in nesting</w:t>
      </w:r>
      <w:r>
        <w:t xml:space="preserve"> </w:t>
      </w:r>
      <w:r>
        <w:rPr>
          <w:iCs/>
          <w:i/>
        </w:rPr>
        <w:t xml:space="preserve">Megachile</w:t>
      </w:r>
      <w:r>
        <w:t xml:space="preserve"> </w:t>
      </w:r>
      <w:r>
        <w:t xml:space="preserve">(model 1_vi),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4" name="Picture"/>
            <a:graphic>
              <a:graphicData uri="http://schemas.openxmlformats.org/drawingml/2006/picture">
                <pic:pic>
                  <pic:nvPicPr>
                    <pic:cNvPr descr="Figures/hist_1_iv_v_vi.png" id="25" name="Picture"/>
                    <pic:cNvPicPr>
                      <a:picLocks noChangeArrowheads="1" noChangeAspect="1"/>
                    </pic:cNvPicPr>
                  </pic:nvPicPr>
                  <pic:blipFill>
                    <a:blip r:embed="rId23"/>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 Poisson GLMMs of the number of new</w:t>
      </w:r>
      <w:r>
        <w:t xml:space="preserve"> </w:t>
      </w:r>
      <w:r>
        <w:rPr>
          <w:iCs/>
          <w:i/>
        </w:rPr>
        <w:t xml:space="preserve">Megachile</w:t>
      </w:r>
      <w:r>
        <w:t xml:space="preserve"> </w:t>
      </w:r>
      <w:r>
        <w:t xml:space="preserve">nests, for prediction 1 using simulated data (grey bars) and observed data (vertical red dashed line) for the number of neighbouring congeneric nests (A) including pseudo nests (model 1_iv), (B) excluding pseudo nests (model 1_v), and (C) including only active nests (model 1_vi).</w:t>
      </w:r>
    </w:p>
    <w:p>
      <w:pPr>
        <w:pStyle w:val="BodyText"/>
      </w:pPr>
      <w:r>
        <w:rPr>
          <w:bCs/>
          <w:b/>
        </w:rPr>
        <w:t xml:space="preserve">Table S13.</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S16.</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S17.</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S18.</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6.63e-03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6.27e-04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S20.</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S21.</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 Poisson GLMMs of the number of new</w:t>
      </w:r>
      <w:r>
        <w:t xml:space="preserve"> </w:t>
      </w:r>
      <w:r>
        <w:rPr>
          <w:iCs/>
          <w:i/>
        </w:rPr>
        <w:t xml:space="preserve">Megachile</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S22.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observed-data Poisson GLMMs of the number of new nests for prediction 3a, both models excluding pseudo nests. Plots show the interactions between the number of neighbouring congeneric nests with and without detectable parasites for (A)</w:t>
      </w:r>
      <w:r>
        <w:t xml:space="preserve"> </w:t>
      </w:r>
      <w:r>
        <w:rPr>
          <w:iCs/>
          <w:i/>
        </w:rPr>
        <w:t xml:space="preserve">Osmia</w:t>
      </w:r>
      <w:r>
        <w:t xml:space="preserve">, n = 161 nests (model 3a_ii) and (B)</w:t>
      </w:r>
      <w:r>
        <w:t xml:space="preserve"> </w:t>
      </w:r>
      <w:r>
        <w:rPr>
          <w:iCs/>
          <w:i/>
        </w:rPr>
        <w:t xml:space="preserve">Megachile</w:t>
      </w:r>
      <w:r>
        <w:t xml:space="preserve">, n = 137 nests (model 3a_iv). Lines represent a linear model created with 95% confidence intervals. Y-axis is square root adjusted for visual purposes. Note the different y-axis scales for panels A and B.</w:t>
      </w:r>
    </w:p>
    <w:p>
      <w:pPr>
        <w:pStyle w:val="BodyText"/>
      </w:pPr>
      <w:r>
        <w:rPr>
          <w:bCs/>
          <w:b/>
        </w:rPr>
        <w:t xml:space="preserve">Table S23.</w:t>
      </w:r>
      <w:r>
        <w:t xml:space="preserve"> </w:t>
      </w:r>
      <w:r>
        <w:t xml:space="preserve">Summary of the LMM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S24.</w:t>
      </w:r>
      <w:r>
        <w:t xml:space="preserve"> </w:t>
      </w:r>
      <w:r>
        <w:t xml:space="preserve">Summary of the LMM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S25.</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Osmia</w:t>
      </w:r>
      <w:r>
        <w:t xml:space="preserve"> </w:t>
      </w:r>
      <w:r>
        <w:t xml:space="preserve">(model 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S26.</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Megachile</w:t>
      </w:r>
      <w:r>
        <w:t xml:space="preserve"> </w:t>
      </w:r>
      <w:r>
        <w:t xml:space="preserve">(model 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S27.</w:t>
      </w:r>
      <w:r>
        <w:t xml:space="preserve"> </w:t>
      </w:r>
      <w:r>
        <w:t xml:space="preserve">Summary of the binomial GLMM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 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260776">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46E24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5014157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3"/>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A59FA"/>
    <w:pPr>
      <w:spacing w:after="180" w:before="18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4A59FA"/>
    <w:pPr>
      <w:keepNext/>
      <w:keepLines/>
      <w:spacing w:after="240" w:before="480"/>
      <w:jc w:val="center"/>
    </w:pPr>
    <w:rPr>
      <w:rFonts w:ascii="Times New Roman" w:cstheme="majorBidi" w:eastAsiaTheme="majorEastAsia" w:hAnsi="Times New Roman"/>
      <w:b/>
      <w:bCs/>
      <w:color w:themeColor="text1" w:val="000000"/>
      <w:szCs w:val="36"/>
    </w:rPr>
  </w:style>
  <w:style w:styleId="Subtitle" w:type="paragraph">
    <w:name w:val="Subtitle"/>
    <w:basedOn w:val="Title"/>
    <w:next w:val="BodyText"/>
    <w:qFormat/>
    <w:rsid w:val="004A59FA"/>
    <w:pPr>
      <w:spacing w:before="240"/>
    </w:pPr>
    <w:rPr>
      <w:szCs w:val="30"/>
    </w:rPr>
  </w:style>
  <w:style w:customStyle="1" w:styleId="Author" w:type="paragraph">
    <w:name w:val="Author"/>
    <w:next w:val="BodyText"/>
    <w:qFormat/>
    <w:rsid w:val="004A59FA"/>
    <w:pPr>
      <w:keepNext/>
      <w:keepLines/>
    </w:pPr>
    <w:rPr>
      <w:rFonts w:ascii="Times New Roman" w:hAnsi="Times New Roman"/>
      <w:color w:themeColor="text1"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TableofFigures" w:type="paragraph">
    <w:name w:val="table of figures"/>
    <w:basedOn w:val="Normal"/>
    <w:next w:val="Normal"/>
    <w:rsid w:val="004A59FA"/>
    <w:pPr>
      <w:spacing w:after="0"/>
    </w:pPr>
  </w:style>
  <w:style w:styleId="BodyText2" w:type="paragraph">
    <w:name w:val="Body Text 2"/>
    <w:basedOn w:val="Normal"/>
    <w:link w:val="BodyText2Char"/>
    <w:rsid w:val="004A59FA"/>
    <w:pPr>
      <w:spacing w:after="120" w:line="480" w:lineRule="auto"/>
    </w:pPr>
    <w:rPr>
      <w:rFonts w:ascii="Times New Roman" w:hAnsi="Times New Roman"/>
    </w:rPr>
  </w:style>
  <w:style w:customStyle="1" w:styleId="BodyText2Char" w:type="character">
    <w:name w:val="Body Text 2 Char"/>
    <w:basedOn w:val="DefaultParagraphFont"/>
    <w:link w:val="BodyText2"/>
    <w:rsid w:val="004A59FA"/>
    <w:rPr>
      <w:rFonts w:ascii="Times New Roman" w:hAnsi="Times New Roman"/>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attraction during nest-site selection and anti-parasite defenses of solitary cavity-nesting bees</dc:title>
  <dc:creator/>
  <cp:keywords/>
  <dcterms:created xsi:type="dcterms:W3CDTF">2026-04-30T20:23:23Z</dcterms:created>
  <dcterms:modified xsi:type="dcterms:W3CDTF">2026-04-30T20:23:23Z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