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right"/>
      </w:pPr>
      <w:r>
        <w:rPr>
          <w:rFonts w:ascii="Aptos" w:hAnsi="Aptos"/>
          <w:b/>
          <w:color w:val="171717"/>
          <w:sz w:val="17"/>
        </w:rPr>
        <w:t>ZEN FRAGRANCES  |  GO-TO-MARKET</w:t>
      </w:r>
    </w:p>
    <w:p>
      <w:pPr>
        <w:pStyle w:val="Title"/>
        <w:spacing w:after="40" w:line="240" w:lineRule="auto"/>
      </w:pPr>
      <w:r>
        <w:rPr>
          <w:rFonts w:ascii="Aptos" w:hAnsi="Aptos"/>
          <w:b/>
          <w:color w:val="171717"/>
          <w:sz w:val="40"/>
        </w:rPr>
        <w:t>90-DAY MARKET ENTRY &amp; DISTRIBUTION PLAN</w:t>
      </w:r>
    </w:p>
    <w:p>
      <w:pPr>
        <w:spacing w:after="140" w:line="240" w:lineRule="auto" w:before="40"/>
      </w:pPr>
      <w:r>
        <w:rPr>
          <w:rFonts w:ascii="Aptos" w:hAnsi="Aptos"/>
          <w:b/>
          <w:i/>
          <w:color w:val="666666"/>
          <w:sz w:val="19"/>
        </w:rPr>
        <w:t xml:space="preserve">Strategic thesis: </w:t>
      </w:r>
      <w:r>
        <w:rPr>
          <w:rFonts w:ascii="Aptos" w:hAnsi="Aptos"/>
          <w:b/>
          <w:i/>
          <w:color w:val="666666"/>
          <w:sz w:val="19"/>
        </w:rPr>
        <w:t>Build the distribution network before building the retail network.</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10368"/>
      </w:tblGrid>
      <w:tr>
        <w:tc>
          <w:tcPr>
            <w:tcW w:type="dxa" w:w="10368"/>
            <w:shd w:fill="F3F6FA"/>
            <w:vAlign w:val="center"/>
            <w:shd w:fill="171717"/>
          </w:tcPr>
          <w:p>
            <w:pPr>
              <w:spacing w:after="0" w:line="240" w:lineRule="auto"/>
            </w:pPr>
            <w:r>
              <w:rPr>
                <w:rFonts w:ascii="Aptos" w:hAnsi="Aptos"/>
                <w:b/>
                <w:color w:val="FFFFFF"/>
                <w:sz w:val="14"/>
              </w:rPr>
            </w:r>
            <w:r>
              <w:rPr>
                <w:rFonts w:ascii="Aptos" w:hAnsi="Aptos"/>
                <w:b/>
                <w:color w:val="FFFFFF"/>
                <w:sz w:val="14"/>
              </w:rPr>
              <w:t>Zen should not enter as another perfume retailer. It should enter through a WhatsApp-first agent network: Zen brand + WhatsApp commerce + independent sellers + local distribution. The website supports discovery and trust; WhatsApp drives commerce; agents provide the physical distribution layer.</w:t>
            </w:r>
          </w:p>
        </w:tc>
      </w:tr>
    </w:tbl>
    <w:p>
      <w:pPr>
        <w:pStyle w:val="Heading1"/>
        <w:spacing w:before="100" w:after="40" w:line="240" w:lineRule="auto"/>
      </w:pPr>
      <w:r>
        <w:rPr>
          <w:rFonts w:ascii="Aptos" w:hAnsi="Aptos"/>
          <w:b/>
          <w:color w:val="171717"/>
          <w:sz w:val="26"/>
        </w:rPr>
        <w:t>1. MARKET &amp; COMPETITIVE POSITION</w:t>
      </w:r>
    </w:p>
    <w:p>
      <w:pPr>
        <w:spacing w:after="40" w:line="240" w:lineRule="auto"/>
      </w:pPr>
      <w:r>
        <w:rPr>
          <w:rFonts w:ascii="Aptos" w:hAnsi="Aptos"/>
          <w:color w:val="171717"/>
          <w:sz w:val="17"/>
        </w:rPr>
        <w:t>The market is already crowded around SKUs, price, physical stores and conventional ecommerce. Zen's opportunity is to compete on accessibility, agent economics and distributed retail rather than immediately matching competitors on stores or catalogue breadth.</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2592"/>
        <w:gridCol w:w="2592"/>
        <w:gridCol w:w="2592"/>
        <w:gridCol w:w="2592"/>
      </w:tblGrid>
      <w:tr>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Competitor</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Positioning / brand hierarchy</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Indicative pricing</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Distribution</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FFC</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Established national fragrance/reseller platform</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Retail ~R40–190; starter R960</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15 national warehouses + kiosks; web + call centre</w:t>
            </w:r>
          </w:p>
        </w:tc>
      </w:tr>
      <w:tr>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M-Scents</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Large catalogue + strong regional physical presence</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Retail ~R30–400+; starter R800–R3,750</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21 stores, concentrated in KZN; web</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Fragrance Boutique</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More premium / curated boutique proposition</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~R219–419</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Physical + web + WhatsApp</w:t>
            </w:r>
          </w:p>
        </w:tc>
      </w:tr>
      <w:tr>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Perfumes for Africa</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Broad affordable selection / value</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~R12–133</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Physical + web + WhatsApp</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SensoryFX / Sensetek</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Manufacturing / B2B supplier</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B2B</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Centurion / Sandton</w:t>
            </w:r>
          </w:p>
        </w:tc>
      </w:tr>
    </w:tbl>
    <w:p>
      <w:pPr>
        <w:pStyle w:val="Heading2"/>
        <w:spacing w:before="60" w:after="40" w:line="240" w:lineRule="auto"/>
      </w:pPr>
      <w:r>
        <w:rPr>
          <w:rFonts w:ascii="Aptos" w:hAnsi="Aptos"/>
          <w:b/>
          <w:color w:val="B08D57"/>
          <w:sz w:val="17"/>
        </w:rPr>
        <w:t>Zen's white space</w:t>
      </w:r>
    </w:p>
    <w:p>
      <w:pPr>
        <w:pStyle w:val="ListBullet"/>
        <w:spacing w:after="40" w:line="240" w:lineRule="auto"/>
      </w:pPr>
      <w:r>
        <w:rPr>
          <w:rFonts w:ascii="Aptos" w:hAnsi="Aptos"/>
          <w:color w:val="171717"/>
          <w:sz w:val="17"/>
        </w:rPr>
        <w:t>No identified competitor combines WhatsApp-first ordering, low/no entry barrier, team commissions and agent-as-distribution.</w:t>
      </w:r>
    </w:p>
    <w:p>
      <w:pPr>
        <w:pStyle w:val="ListBullet"/>
        <w:spacing w:after="40" w:line="240" w:lineRule="auto"/>
      </w:pPr>
      <w:r>
        <w:rPr>
          <w:rFonts w:ascii="Aptos" w:hAnsi="Aptos"/>
          <w:color w:val="171717"/>
          <w:sz w:val="17"/>
        </w:rPr>
        <w:t>Zen's positioning: “Own a perfume business from your phone.”</w:t>
      </w:r>
    </w:p>
    <w:p>
      <w:pPr>
        <w:pStyle w:val="ListBullet"/>
        <w:spacing w:after="40" w:line="240" w:lineRule="auto"/>
      </w:pPr>
      <w:r>
        <w:rPr>
          <w:rFonts w:ascii="Aptos" w:hAnsi="Aptos"/>
          <w:color w:val="171717"/>
          <w:sz w:val="17"/>
        </w:rPr>
        <w:t>Core proposition: own-brand fragrance + WhatsApp commerce + income opportunity + distributed retail network.</w:t>
      </w:r>
    </w:p>
    <w:p>
      <w:pPr>
        <w:pStyle w:val="Heading2"/>
        <w:spacing w:before="60" w:after="40" w:line="240" w:lineRule="auto"/>
      </w:pPr>
      <w:r>
        <w:rPr>
          <w:rFonts w:ascii="Aptos" w:hAnsi="Aptos"/>
          <w:b/>
          <w:color w:val="B08D57"/>
          <w:sz w:val="17"/>
        </w:rPr>
        <w:t>Brand hierarchy &amp; launch range</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2592"/>
        <w:gridCol w:w="2592"/>
        <w:gridCol w:w="2592"/>
        <w:gridCol w:w="2592"/>
      </w:tblGrid>
      <w:tr>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Tier</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Role</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Wholesale</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Indicative retail</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Budget</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Recruitment / impulse</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R30–50</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R60–100</w:t>
            </w:r>
          </w:p>
        </w:tc>
      </w:tr>
      <w:tr>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Signature</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Main revenue engine</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R80–100</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R160–200</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Premium / Oud</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Margin / gifting</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R150–200</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R300–400</w:t>
            </w:r>
          </w:p>
        </w:tc>
      </w:tr>
    </w:tbl>
    <w:p>
      <w:pPr>
        <w:spacing w:after="40" w:line="240" w:lineRule="auto"/>
      </w:pPr>
      <w:r>
        <w:rPr>
          <w:rFonts w:ascii="Aptos" w:hAnsi="Aptos"/>
          <w:color w:val="171717"/>
          <w:sz w:val="17"/>
        </w:rPr>
        <w:t>Launch with 20 SKUs: 6 Budget, 10 Signature, 4 Premium/Oud. Budget is an acquisition product, not the economic engine.</w:t>
      </w:r>
    </w:p>
    <w:p>
      <w:pPr>
        <w:spacing w:after="40" w:line="240" w:lineRule="auto"/>
      </w:pPr>
      <w:r>
        <w:rPr>
          <w:rFonts w:ascii="Aptos" w:hAnsi="Aptos"/>
          <w:color w:val="171717"/>
          <w:sz w:val="17"/>
        </w:rPr>
        <w:br w:type="page"/>
      </w:r>
    </w:p>
    <w:p>
      <w:pPr>
        <w:pStyle w:val="Title"/>
        <w:spacing w:after="40" w:line="240" w:lineRule="auto"/>
      </w:pPr>
      <w:r>
        <w:rPr>
          <w:rFonts w:ascii="Aptos" w:hAnsi="Aptos"/>
          <w:b/>
          <w:color w:val="171717"/>
          <w:sz w:val="40"/>
        </w:rPr>
        <w:t>ZEN FRAGRANCES — CHANNEL &amp; DISTRIBUTION STRATEGY</w:t>
      </w:r>
    </w:p>
    <w:p>
      <w:pPr>
        <w:pStyle w:val="Heading1"/>
        <w:spacing w:before="100" w:after="40" w:line="240" w:lineRule="auto"/>
      </w:pPr>
      <w:r>
        <w:rPr>
          <w:rFonts w:ascii="Aptos" w:hAnsi="Aptos"/>
          <w:b/>
          <w:color w:val="171717"/>
          <w:sz w:val="26"/>
        </w:rPr>
        <w:t>2. CHANNEL ARCHITECTURE</w:t>
      </w:r>
    </w:p>
    <w:p>
      <w:pPr>
        <w:spacing w:after="40" w:line="240" w:lineRule="auto"/>
      </w:pPr>
      <w:r>
        <w:rPr>
          <w:rFonts w:ascii="Aptos" w:hAnsi="Aptos"/>
          <w:color w:val="171717"/>
          <w:sz w:val="17"/>
        </w:rPr>
        <w:t>Do not treat every channel as a simultaneous sales channel. Each has a specific job and enters at a different stage.</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3456"/>
        <w:gridCol w:w="3456"/>
        <w:gridCol w:w="3456"/>
      </w:tblGrid>
      <w:tr>
        <w:tc>
          <w:tcPr>
            <w:tcW w:type="dxa" w:w="3456"/>
            <w:vAlign w:val="center"/>
            <w:shd w:fill="D9E1F2"/>
            <w:shd w:fill="171717"/>
          </w:tcPr>
          <w:p>
            <w:pPr>
              <w:spacing w:after="0" w:line="240" w:lineRule="auto"/>
            </w:pPr>
            <w:r>
              <w:rPr>
                <w:rFonts w:ascii="Aptos" w:hAnsi="Aptos"/>
                <w:b/>
                <w:color w:val="FFFFFF"/>
                <w:sz w:val="14"/>
              </w:rPr>
            </w:r>
            <w:r>
              <w:rPr>
                <w:rFonts w:ascii="Aptos" w:hAnsi="Aptos"/>
                <w:b/>
                <w:color w:val="FFFFFF"/>
                <w:sz w:val="14"/>
              </w:rPr>
              <w:t>Stage</w:t>
            </w:r>
          </w:p>
        </w:tc>
        <w:tc>
          <w:tcPr>
            <w:tcW w:type="dxa" w:w="3456"/>
            <w:vAlign w:val="center"/>
            <w:shd w:fill="D9E1F2"/>
            <w:shd w:fill="171717"/>
          </w:tcPr>
          <w:p>
            <w:pPr>
              <w:spacing w:after="0" w:line="240" w:lineRule="auto"/>
            </w:pPr>
            <w:r>
              <w:rPr>
                <w:rFonts w:ascii="Aptos" w:hAnsi="Aptos"/>
                <w:b/>
                <w:color w:val="FFFFFF"/>
                <w:sz w:val="14"/>
              </w:rPr>
            </w:r>
            <w:r>
              <w:rPr>
                <w:rFonts w:ascii="Aptos" w:hAnsi="Aptos"/>
                <w:b/>
                <w:color w:val="FFFFFF"/>
                <w:sz w:val="14"/>
              </w:rPr>
              <w:t>Channel</w:t>
            </w:r>
          </w:p>
        </w:tc>
        <w:tc>
          <w:tcPr>
            <w:tcW w:type="dxa" w:w="3456"/>
            <w:vAlign w:val="center"/>
            <w:shd w:fill="D9E1F2"/>
            <w:shd w:fill="171717"/>
          </w:tcPr>
          <w:p>
            <w:pPr>
              <w:spacing w:after="0" w:line="240" w:lineRule="auto"/>
            </w:pPr>
            <w:r>
              <w:rPr>
                <w:rFonts w:ascii="Aptos" w:hAnsi="Aptos"/>
                <w:b/>
                <w:color w:val="FFFFFF"/>
                <w:sz w:val="14"/>
              </w:rPr>
            </w:r>
            <w:r>
              <w:rPr>
                <w:rFonts w:ascii="Aptos" w:hAnsi="Aptos"/>
                <w:b/>
                <w:color w:val="FFFFFF"/>
                <w:sz w:val="14"/>
              </w:rPr>
              <w:t>Strategic job</w:t>
            </w:r>
          </w:p>
        </w:tc>
      </w:tr>
      <w:tr>
        <w:tc>
          <w:tcPr>
            <w:tcW w:type="dxa" w:w="3456"/>
            <w:vAlign w:val="center"/>
          </w:tcPr>
          <w:p>
            <w:pPr>
              <w:spacing w:after="0" w:line="240" w:lineRule="auto"/>
            </w:pPr>
            <w:r>
              <w:rPr>
                <w:rFonts w:ascii="Aptos" w:hAnsi="Aptos"/>
                <w:color w:val="171717"/>
                <w:sz w:val="14"/>
              </w:rPr>
            </w:r>
            <w:r>
              <w:rPr>
                <w:rFonts w:ascii="Aptos" w:hAnsi="Aptos"/>
                <w:b w:val="0"/>
                <w:color w:val="171717"/>
                <w:sz w:val="14"/>
              </w:rPr>
              <w:t>1 — Launch</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WhatsApp + Agents</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Agent acquisition, ordering, reordering, communication</w:t>
            </w:r>
          </w:p>
        </w:tc>
      </w:tr>
      <w:tr>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2 — Support</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Website + Flyer</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Brand credibility, catalogue, SEO, agent locator</w:t>
            </w:r>
          </w:p>
        </w:tc>
      </w:tr>
      <w:tr>
        <w:tc>
          <w:tcPr>
            <w:tcW w:type="dxa" w:w="3456"/>
            <w:vAlign w:val="center"/>
          </w:tcPr>
          <w:p>
            <w:pPr>
              <w:spacing w:after="0" w:line="240" w:lineRule="auto"/>
            </w:pPr>
            <w:r>
              <w:rPr>
                <w:rFonts w:ascii="Aptos" w:hAnsi="Aptos"/>
                <w:color w:val="171717"/>
                <w:sz w:val="14"/>
              </w:rPr>
            </w:r>
            <w:r>
              <w:rPr>
                <w:rFonts w:ascii="Aptos" w:hAnsi="Aptos"/>
                <w:b w:val="0"/>
                <w:color w:val="171717"/>
                <w:sz w:val="14"/>
              </w:rPr>
              <w:t>3 — Expand</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Hawkers + Wholesalers</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Geographic penetration and product velocity</w:t>
            </w:r>
          </w:p>
        </w:tc>
      </w:tr>
      <w:tr>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4 — Physical</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Stores / kiosks / consignment</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Physical trust and sniff-test</w:t>
            </w:r>
          </w:p>
        </w:tc>
      </w:tr>
      <w:tr>
        <w:tc>
          <w:tcPr>
            <w:tcW w:type="dxa" w:w="3456"/>
            <w:vAlign w:val="center"/>
          </w:tcPr>
          <w:p>
            <w:pPr>
              <w:spacing w:after="0" w:line="240" w:lineRule="auto"/>
            </w:pPr>
            <w:r>
              <w:rPr>
                <w:rFonts w:ascii="Aptos" w:hAnsi="Aptos"/>
                <w:color w:val="171717"/>
                <w:sz w:val="14"/>
              </w:rPr>
            </w:r>
            <w:r>
              <w:rPr>
                <w:rFonts w:ascii="Aptos" w:hAnsi="Aptos"/>
                <w:b w:val="0"/>
                <w:color w:val="171717"/>
                <w:sz w:val="14"/>
              </w:rPr>
              <w:t>5 — Scale</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Hubs / regional DCs</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Lower fulfilment time and increase density</w:t>
            </w:r>
          </w:p>
        </w:tc>
      </w:tr>
    </w:tbl>
    <w:p>
      <w:pPr>
        <w:pStyle w:val="Heading2"/>
        <w:spacing w:before="60" w:after="40" w:line="240" w:lineRule="auto"/>
      </w:pPr>
      <w:r>
        <w:rPr>
          <w:rFonts w:ascii="Aptos" w:hAnsi="Aptos"/>
          <w:b/>
          <w:color w:val="B08D57"/>
          <w:sz w:val="17"/>
        </w:rPr>
        <w:t>The Zen distribution loop</w:t>
      </w:r>
    </w:p>
    <w:p>
      <w:pPr>
        <w:spacing w:after="40" w:line="240" w:lineRule="auto"/>
        <w:jc w:val="center"/>
      </w:pPr>
      <w:r>
        <w:rPr>
          <w:rFonts w:ascii="Aptos" w:hAnsi="Aptos"/>
          <w:b/>
          <w:color w:val="171717"/>
          <w:sz w:val="17"/>
        </w:rPr>
        <w:t>ZEN BRAND  →  WHATSAPP  →  AGENT HUB  →  LOCAL SELLERS  →  CUSTOMER</w:t>
      </w:r>
    </w:p>
    <w:p>
      <w:pPr>
        <w:spacing w:after="40" w:line="240" w:lineRule="auto"/>
      </w:pPr>
      <w:r>
        <w:rPr>
          <w:rFonts w:ascii="Aptos" w:hAnsi="Aptos"/>
          <w:color w:val="171717"/>
          <w:sz w:val="17"/>
        </w:rPr>
        <w:t>Website = “What is Zen?”   |   WhatsApp = “How do I buy/sell Zen?”   |   Agent = “Where can I get Zen locally?”</w:t>
      </w:r>
    </w:p>
    <w:p>
      <w:pPr>
        <w:pStyle w:val="Heading1"/>
        <w:spacing w:before="100" w:after="40" w:line="240" w:lineRule="auto"/>
      </w:pPr>
      <w:r>
        <w:rPr>
          <w:rFonts w:ascii="Aptos" w:hAnsi="Aptos"/>
          <w:b/>
          <w:color w:val="171717"/>
          <w:sz w:val="26"/>
        </w:rPr>
        <w:t>3. DISTRIBUTION STRATEGY: PEOPLE BEFORE PROPERTIES</w:t>
      </w:r>
    </w:p>
    <w:p>
      <w:pPr>
        <w:pStyle w:val="Heading2"/>
        <w:spacing w:before="60" w:after="40" w:line="240" w:lineRule="auto"/>
      </w:pPr>
      <w:r>
        <w:rPr>
          <w:rFonts w:ascii="Aptos" w:hAnsi="Aptos"/>
          <w:b/>
          <w:color w:val="B08D57"/>
          <w:sz w:val="17"/>
        </w:rPr>
        <w:t>Phase 1 — Agent hubs | Months 1–3</w:t>
      </w:r>
    </w:p>
    <w:p>
      <w:pPr>
        <w:pStyle w:val="ListBullet"/>
        <w:spacing w:after="40" w:line="240" w:lineRule="auto"/>
      </w:pPr>
      <w:r>
        <w:rPr>
          <w:rFonts w:ascii="Aptos" w:hAnsi="Aptos"/>
          <w:color w:val="171717"/>
          <w:sz w:val="17"/>
        </w:rPr>
        <w:t>One strong agent becomes a local distribution node.</w:t>
      </w:r>
    </w:p>
    <w:p>
      <w:pPr>
        <w:pStyle w:val="ListBullet"/>
        <w:spacing w:after="40" w:line="240" w:lineRule="auto"/>
      </w:pPr>
      <w:r>
        <w:rPr>
          <w:rFonts w:ascii="Aptos" w:hAnsi="Aptos"/>
          <w:color w:val="171717"/>
          <w:sz w:val="17"/>
        </w:rPr>
        <w:t>Hawkers / micro-sellers order through WhatsApp using the agent code.</w:t>
      </w:r>
    </w:p>
    <w:p>
      <w:pPr>
        <w:pStyle w:val="ListBullet"/>
        <w:spacing w:after="40" w:line="240" w:lineRule="auto"/>
      </w:pPr>
      <w:r>
        <w:rPr>
          <w:rFonts w:ascii="Aptos" w:hAnsi="Aptos"/>
          <w:color w:val="171717"/>
          <w:sz w:val="17"/>
        </w:rPr>
        <w:t>Zen consolidates paid orders and makes one bulk delivery to the hub.</w:t>
      </w:r>
    </w:p>
    <w:p>
      <w:pPr>
        <w:pStyle w:val="ListBullet"/>
        <w:spacing w:after="40" w:line="240" w:lineRule="auto"/>
      </w:pPr>
      <w:r>
        <w:rPr>
          <w:rFonts w:ascii="Aptos" w:hAnsi="Aptos"/>
          <w:color w:val="171717"/>
          <w:sz w:val="17"/>
        </w:rPr>
        <w:t>The hub distributes locally; the agent becomes Zen's last-mile infrastructure.</w:t>
      </w:r>
    </w:p>
    <w:p>
      <w:pPr>
        <w:pStyle w:val="ListBullet"/>
        <w:spacing w:after="40" w:line="240" w:lineRule="auto"/>
      </w:pPr>
      <w:r>
        <w:rPr>
          <w:rFonts w:ascii="Aptos" w:hAnsi="Aptos"/>
          <w:color w:val="171717"/>
          <w:sz w:val="17"/>
        </w:rPr>
        <w:t>Courier rule: single low-value bottles are not couriered alone. Consolidate orders; target ≥R500 minimum shipped value and ideally ≥R2,000 for free shipping.</w:t>
      </w:r>
    </w:p>
    <w:p>
      <w:pPr>
        <w:pStyle w:val="Heading2"/>
        <w:spacing w:before="60" w:after="40" w:line="240" w:lineRule="auto"/>
      </w:pPr>
      <w:r>
        <w:rPr>
          <w:rFonts w:ascii="Aptos" w:hAnsi="Aptos"/>
          <w:b/>
          <w:color w:val="B08D57"/>
          <w:sz w:val="17"/>
        </w:rPr>
        <w:t>Phase 2 — Hub stock | Months 3–6</w:t>
      </w:r>
    </w:p>
    <w:p>
      <w:pPr>
        <w:pStyle w:val="ListBullet"/>
        <w:spacing w:after="40" w:line="240" w:lineRule="auto"/>
      </w:pPr>
      <w:r>
        <w:rPr>
          <w:rFonts w:ascii="Aptos" w:hAnsi="Aptos"/>
          <w:color w:val="171717"/>
          <w:sz w:val="17"/>
        </w:rPr>
        <w:t>Top-performing agents hold 20–50 bottles of fast-moving SKUs.</w:t>
      </w:r>
    </w:p>
    <w:p>
      <w:pPr>
        <w:pStyle w:val="ListBullet"/>
        <w:spacing w:after="40" w:line="240" w:lineRule="auto"/>
      </w:pPr>
      <w:r>
        <w:rPr>
          <w:rFonts w:ascii="Aptos" w:hAnsi="Aptos"/>
          <w:color w:val="171717"/>
          <w:sz w:val="17"/>
        </w:rPr>
        <w:t>Objective: move from order → courier → customer to local stock → same-day fulfilment.</w:t>
      </w:r>
    </w:p>
    <w:p>
      <w:pPr>
        <w:pStyle w:val="Heading2"/>
        <w:spacing w:before="60" w:after="40" w:line="240" w:lineRule="auto"/>
      </w:pPr>
      <w:r>
        <w:rPr>
          <w:rFonts w:ascii="Aptos" w:hAnsi="Aptos"/>
          <w:b/>
          <w:color w:val="B08D57"/>
          <w:sz w:val="17"/>
        </w:rPr>
        <w:t>Phase 3 — Town-by-town network | Month 6+</w:t>
      </w:r>
    </w:p>
    <w:p>
      <w:pPr>
        <w:pStyle w:val="ListBullet"/>
        <w:spacing w:after="40" w:line="240" w:lineRule="auto"/>
      </w:pPr>
      <w:r>
        <w:rPr>
          <w:rFonts w:ascii="Aptos" w:hAnsi="Aptos"/>
          <w:color w:val="171717"/>
          <w:sz w:val="17"/>
        </w:rPr>
        <w:t>Build: lead agent → local sellers → customers.</w:t>
      </w:r>
    </w:p>
    <w:p>
      <w:pPr>
        <w:pStyle w:val="ListBullet"/>
        <w:spacing w:after="40" w:line="240" w:lineRule="auto"/>
      </w:pPr>
      <w:r>
        <w:rPr>
          <w:rFonts w:ascii="Aptos" w:hAnsi="Aptos"/>
          <w:color w:val="171717"/>
          <w:sz w:val="17"/>
        </w:rPr>
        <w:t>Target density, not stores: each meaningful township eventually has a hub and a network of active sellers.</w:t>
      </w:r>
    </w:p>
    <w:p>
      <w:pPr>
        <w:pStyle w:val="Heading2"/>
        <w:spacing w:before="60" w:after="40" w:line="240" w:lineRule="auto"/>
      </w:pPr>
      <w:r>
        <w:rPr>
          <w:rFonts w:ascii="Aptos" w:hAnsi="Aptos"/>
          <w:b/>
          <w:color w:val="B08D57"/>
          <w:sz w:val="17"/>
        </w:rPr>
        <w:t>Phase 4 — Regional distribution centres</w:t>
      </w:r>
    </w:p>
    <w:p>
      <w:pPr>
        <w:pStyle w:val="ListBullet"/>
        <w:spacing w:after="40" w:line="240" w:lineRule="auto"/>
      </w:pPr>
      <w:r>
        <w:rPr>
          <w:rFonts w:ascii="Aptos" w:hAnsi="Aptos"/>
          <w:color w:val="171717"/>
          <w:sz w:val="17"/>
        </w:rPr>
        <w:t>Only establish Zen-owned regional infrastructure when order density and economics justify the investment.</w:t>
      </w:r>
    </w:p>
    <w:p>
      <w:pPr>
        <w:pStyle w:val="ListBullet"/>
        <w:spacing w:after="40" w:line="240" w:lineRule="auto"/>
      </w:pPr>
      <w:r>
        <w:rPr>
          <w:rFonts w:ascii="Aptos" w:hAnsi="Aptos"/>
          <w:color w:val="171717"/>
          <w:sz w:val="17"/>
        </w:rPr>
        <w:t>Physical stores, kiosks and DCs should be revenue-funded rather than launch requirements.</w:t>
      </w:r>
    </w:p>
    <w:p>
      <w:pPr>
        <w:pStyle w:val="Heading1"/>
        <w:spacing w:before="100" w:after="40" w:line="240" w:lineRule="auto"/>
      </w:pPr>
      <w:r>
        <w:rPr>
          <w:rFonts w:ascii="Aptos" w:hAnsi="Aptos"/>
          <w:b/>
          <w:color w:val="171717"/>
          <w:sz w:val="26"/>
        </w:rPr>
        <w:t>4. WHAT LAUNCHES NOW — AND WHAT WAITS</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3456"/>
        <w:gridCol w:w="3456"/>
        <w:gridCol w:w="3456"/>
      </w:tblGrid>
      <w:tr>
        <w:tc>
          <w:tcPr>
            <w:tcW w:type="dxa" w:w="3456"/>
            <w:vAlign w:val="center"/>
            <w:shd w:fill="D9E1F2"/>
            <w:shd w:fill="171717"/>
          </w:tcPr>
          <w:p>
            <w:pPr>
              <w:spacing w:after="0" w:line="240" w:lineRule="auto"/>
            </w:pPr>
            <w:r>
              <w:rPr>
                <w:rFonts w:ascii="Aptos" w:hAnsi="Aptos"/>
                <w:b/>
                <w:color w:val="FFFFFF"/>
                <w:sz w:val="14"/>
              </w:rPr>
            </w:r>
            <w:r>
              <w:rPr>
                <w:rFonts w:ascii="Aptos" w:hAnsi="Aptos"/>
                <w:b/>
                <w:color w:val="FFFFFF"/>
                <w:sz w:val="14"/>
              </w:rPr>
              <w:t>NOW</w:t>
            </w:r>
          </w:p>
        </w:tc>
        <w:tc>
          <w:tcPr>
            <w:tcW w:type="dxa" w:w="3456"/>
            <w:vAlign w:val="center"/>
            <w:shd w:fill="D9E1F2"/>
            <w:shd w:fill="171717"/>
          </w:tcPr>
          <w:p>
            <w:pPr>
              <w:spacing w:after="0" w:line="240" w:lineRule="auto"/>
            </w:pPr>
            <w:r>
              <w:rPr>
                <w:rFonts w:ascii="Aptos" w:hAnsi="Aptos"/>
                <w:b/>
                <w:color w:val="FFFFFF"/>
                <w:sz w:val="14"/>
              </w:rPr>
            </w:r>
            <w:r>
              <w:rPr>
                <w:rFonts w:ascii="Aptos" w:hAnsi="Aptos"/>
                <w:b/>
                <w:color w:val="FFFFFF"/>
                <w:sz w:val="14"/>
              </w:rPr>
              <w:t>SUPPORTING</w:t>
            </w:r>
          </w:p>
        </w:tc>
        <w:tc>
          <w:tcPr>
            <w:tcW w:type="dxa" w:w="3456"/>
            <w:vAlign w:val="center"/>
            <w:shd w:fill="D9E1F2"/>
            <w:shd w:fill="171717"/>
          </w:tcPr>
          <w:p>
            <w:pPr>
              <w:spacing w:after="0" w:line="240" w:lineRule="auto"/>
            </w:pPr>
            <w:r>
              <w:rPr>
                <w:rFonts w:ascii="Aptos" w:hAnsi="Aptos"/>
                <w:b/>
                <w:color w:val="FFFFFF"/>
                <w:sz w:val="14"/>
              </w:rPr>
            </w:r>
            <w:r>
              <w:rPr>
                <w:rFonts w:ascii="Aptos" w:hAnsi="Aptos"/>
                <w:b/>
                <w:color w:val="FFFFFF"/>
                <w:sz w:val="14"/>
              </w:rPr>
              <w:t>DEFER</w:t>
            </w:r>
          </w:p>
        </w:tc>
      </w:tr>
      <w:tr>
        <w:tc>
          <w:tcPr>
            <w:tcW w:type="dxa" w:w="3456"/>
            <w:vAlign w:val="center"/>
          </w:tcPr>
          <w:p>
            <w:pPr>
              <w:spacing w:after="0" w:line="240" w:lineRule="auto"/>
            </w:pPr>
            <w:r>
              <w:rPr>
                <w:rFonts w:ascii="Aptos" w:hAnsi="Aptos"/>
                <w:color w:val="171717"/>
                <w:sz w:val="14"/>
              </w:rPr>
            </w:r>
            <w:r>
              <w:rPr>
                <w:rFonts w:ascii="Aptos" w:hAnsi="Aptos"/>
                <w:b w:val="0"/>
                <w:color w:val="171717"/>
                <w:sz w:val="14"/>
              </w:rPr>
              <w:t>WhatsApp ordering &amp; onboarding</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Website: brand / catalogue / SEO / agent locator</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Physical stores</w:t>
            </w:r>
          </w:p>
        </w:tc>
      </w:tr>
      <w:tr>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50 seed agents</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Flyer / shareable catalogue</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Mall kiosks</w:t>
            </w:r>
          </w:p>
        </w:tc>
      </w:tr>
      <w:tr>
        <w:tc>
          <w:tcPr>
            <w:tcW w:type="dxa" w:w="3456"/>
            <w:vAlign w:val="center"/>
          </w:tcPr>
          <w:p>
            <w:pPr>
              <w:spacing w:after="0" w:line="240" w:lineRule="auto"/>
            </w:pPr>
            <w:r>
              <w:rPr>
                <w:rFonts w:ascii="Aptos" w:hAnsi="Aptos"/>
                <w:color w:val="171717"/>
                <w:sz w:val="14"/>
              </w:rPr>
            </w:r>
            <w:r>
              <w:rPr>
                <w:rFonts w:ascii="Aptos" w:hAnsi="Aptos"/>
                <w:b w:val="0"/>
                <w:color w:val="171717"/>
                <w:sz w:val="14"/>
              </w:rPr>
              <w:t>20-SKU own-brand range</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Customer discovery</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Zen-owned DCs</w:t>
            </w:r>
          </w:p>
        </w:tc>
      </w:tr>
      <w:tr>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Hawker / micro-seller pilot</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Brand/social proof</w:t>
            </w:r>
          </w:p>
        </w:tc>
        <w:tc>
          <w:tcPr>
            <w:tcW w:type="dxa" w:w="3456"/>
            <w:vAlign w:val="center"/>
            <w:shd w:fill="FBF9F5"/>
          </w:tcPr>
          <w:p>
            <w:pPr>
              <w:spacing w:after="0" w:line="240" w:lineRule="auto"/>
            </w:pPr>
            <w:r>
              <w:rPr>
                <w:rFonts w:ascii="Aptos" w:hAnsi="Aptos"/>
                <w:color w:val="171717"/>
                <w:sz w:val="14"/>
              </w:rPr>
            </w:r>
            <w:r>
              <w:rPr>
                <w:rFonts w:ascii="Aptos" w:hAnsi="Aptos"/>
                <w:b w:val="0"/>
                <w:color w:val="171717"/>
                <w:sz w:val="14"/>
              </w:rPr>
              <w:t>Large paid advertising</w:t>
            </w:r>
          </w:p>
        </w:tc>
      </w:tr>
      <w:tr>
        <w:tc>
          <w:tcPr>
            <w:tcW w:type="dxa" w:w="3456"/>
            <w:vAlign w:val="center"/>
          </w:tcPr>
          <w:p>
            <w:pPr>
              <w:spacing w:after="0" w:line="240" w:lineRule="auto"/>
            </w:pPr>
            <w:r>
              <w:rPr>
                <w:rFonts w:ascii="Aptos" w:hAnsi="Aptos"/>
                <w:color w:val="171717"/>
                <w:sz w:val="14"/>
              </w:rPr>
            </w:r>
            <w:r>
              <w:rPr>
                <w:rFonts w:ascii="Aptos" w:hAnsi="Aptos"/>
                <w:b w:val="0"/>
                <w:color w:val="171717"/>
                <w:sz w:val="14"/>
              </w:rPr>
              <w:t>Bulk-to-hub fulfilment</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Agent locator</w:t>
            </w:r>
          </w:p>
        </w:tc>
        <w:tc>
          <w:tcPr>
            <w:tcW w:type="dxa" w:w="3456"/>
            <w:vAlign w:val="center"/>
          </w:tcPr>
          <w:p>
            <w:pPr>
              <w:spacing w:after="0" w:line="240" w:lineRule="auto"/>
            </w:pPr>
            <w:r>
              <w:rPr>
                <w:rFonts w:ascii="Aptos" w:hAnsi="Aptos"/>
                <w:color w:val="171717"/>
                <w:sz w:val="14"/>
              </w:rPr>
            </w:r>
            <w:r>
              <w:rPr>
                <w:rFonts w:ascii="Aptos" w:hAnsi="Aptos"/>
                <w:b w:val="0"/>
                <w:color w:val="171717"/>
                <w:sz w:val="14"/>
              </w:rPr>
              <w:t>Large SKU expansion</w:t>
            </w:r>
          </w:p>
        </w:tc>
      </w:tr>
    </w:tbl>
    <w:p>
      <w:pPr>
        <w:spacing w:after="40" w:line="240" w:lineRule="auto"/>
      </w:pPr>
      <w:r>
        <w:rPr>
          <w:rFonts w:ascii="Aptos" w:hAnsi="Aptos"/>
          <w:color w:val="171717"/>
          <w:sz w:val="17"/>
        </w:rPr>
        <w:br w:type="page"/>
      </w:r>
    </w:p>
    <w:p>
      <w:pPr>
        <w:pStyle w:val="Title"/>
        <w:spacing w:after="40" w:line="240" w:lineRule="auto"/>
      </w:pPr>
      <w:r>
        <w:rPr>
          <w:rFonts w:ascii="Aptos" w:hAnsi="Aptos"/>
          <w:b/>
          <w:color w:val="171717"/>
          <w:sz w:val="40"/>
        </w:rPr>
        <w:t>ZEN FRAGRANCES — 90-DAY EXECUTION PLAN</w:t>
      </w:r>
    </w:p>
    <w:p>
      <w:pPr>
        <w:pStyle w:val="Heading1"/>
        <w:spacing w:before="100" w:after="40" w:line="240" w:lineRule="auto"/>
      </w:pPr>
      <w:r>
        <w:rPr>
          <w:rFonts w:ascii="Aptos" w:hAnsi="Aptos"/>
          <w:b/>
          <w:color w:val="171717"/>
          <w:sz w:val="26"/>
        </w:rPr>
        <w:t>5. DAYS 0–30 — PROVE THE MODEL</w:t>
      </w:r>
    </w:p>
    <w:p>
      <w:pPr>
        <w:spacing w:after="40" w:line="240" w:lineRule="auto"/>
      </w:pPr>
      <w:r>
        <w:rPr>
          <w:rFonts w:ascii="Aptos" w:hAnsi="Aptos"/>
          <w:color w:val="171717"/>
          <w:sz w:val="17"/>
        </w:rPr>
        <w:t>Objective: prove that people will sell Zen and that the fulfilment loop works.</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5184"/>
        <w:gridCol w:w="5184"/>
      </w:tblGrid>
      <w:tr>
        <w:tc>
          <w:tcPr>
            <w:tcW w:type="dxa" w:w="5184"/>
            <w:vAlign w:val="center"/>
            <w:shd w:fill="D9E1F2"/>
            <w:shd w:fill="171717"/>
          </w:tcPr>
          <w:p>
            <w:pPr>
              <w:spacing w:after="0" w:line="240" w:lineRule="auto"/>
            </w:pPr>
            <w:r>
              <w:rPr>
                <w:rFonts w:ascii="Aptos" w:hAnsi="Aptos"/>
                <w:b/>
                <w:color w:val="FFFFFF"/>
                <w:sz w:val="14"/>
              </w:rPr>
            </w:r>
            <w:r>
              <w:rPr>
                <w:rFonts w:ascii="Aptos" w:hAnsi="Aptos"/>
                <w:b/>
                <w:color w:val="FFFFFF"/>
                <w:sz w:val="14"/>
              </w:rPr>
              <w:t>Workstream</w:t>
            </w:r>
          </w:p>
        </w:tc>
        <w:tc>
          <w:tcPr>
            <w:tcW w:type="dxa" w:w="5184"/>
            <w:vAlign w:val="center"/>
            <w:shd w:fill="D9E1F2"/>
            <w:shd w:fill="171717"/>
          </w:tcPr>
          <w:p>
            <w:pPr>
              <w:spacing w:after="0" w:line="240" w:lineRule="auto"/>
            </w:pPr>
            <w:r>
              <w:rPr>
                <w:rFonts w:ascii="Aptos" w:hAnsi="Aptos"/>
                <w:b/>
                <w:color w:val="FFFFFF"/>
                <w:sz w:val="14"/>
              </w:rPr>
            </w:r>
            <w:r>
              <w:rPr>
                <w:rFonts w:ascii="Aptos" w:hAnsi="Aptos"/>
                <w:b/>
                <w:color w:val="FFFFFF"/>
                <w:sz w:val="14"/>
              </w:rPr>
              <w:t>Actions</w:t>
            </w:r>
          </w:p>
        </w:tc>
      </w:tr>
      <w:tr>
        <w:tc>
          <w:tcPr>
            <w:tcW w:type="dxa" w:w="5184"/>
            <w:vAlign w:val="center"/>
          </w:tcPr>
          <w:p>
            <w:pPr>
              <w:spacing w:after="0" w:line="240" w:lineRule="auto"/>
            </w:pPr>
            <w:r>
              <w:rPr>
                <w:rFonts w:ascii="Aptos" w:hAnsi="Aptos"/>
                <w:color w:val="171717"/>
                <w:sz w:val="14"/>
              </w:rPr>
            </w:r>
            <w:r>
              <w:rPr>
                <w:rFonts w:ascii="Aptos" w:hAnsi="Aptos"/>
                <w:b w:val="0"/>
                <w:color w:val="171717"/>
                <w:sz w:val="14"/>
              </w:rPr>
              <w:t>Product</w:t>
            </w:r>
          </w:p>
        </w:tc>
        <w:tc>
          <w:tcPr>
            <w:tcW w:type="dxa" w:w="5184"/>
            <w:vAlign w:val="center"/>
          </w:tcPr>
          <w:p>
            <w:pPr>
              <w:spacing w:after="0" w:line="240" w:lineRule="auto"/>
            </w:pPr>
            <w:r>
              <w:rPr>
                <w:rFonts w:ascii="Aptos" w:hAnsi="Aptos"/>
                <w:color w:val="171717"/>
                <w:sz w:val="14"/>
              </w:rPr>
            </w:r>
            <w:r>
              <w:rPr>
                <w:rFonts w:ascii="Aptos" w:hAnsi="Aptos"/>
                <w:b w:val="0"/>
                <w:color w:val="171717"/>
                <w:sz w:val="14"/>
              </w:rPr>
              <w:t>Freeze 20 SKUs; confirm R30 entry product; packaging; samples; sniff/price test</w:t>
            </w:r>
          </w:p>
        </w:tc>
      </w:tr>
      <w:tr>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Infrastructure</w:t>
            </w:r>
          </w:p>
        </w:tc>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WhatsApp live; website live; flyer live; payment and manufacturing flow tested</w:t>
            </w:r>
          </w:p>
        </w:tc>
      </w:tr>
      <w:tr>
        <w:tc>
          <w:tcPr>
            <w:tcW w:type="dxa" w:w="5184"/>
            <w:vAlign w:val="center"/>
          </w:tcPr>
          <w:p>
            <w:pPr>
              <w:spacing w:after="0" w:line="240" w:lineRule="auto"/>
            </w:pPr>
            <w:r>
              <w:rPr>
                <w:rFonts w:ascii="Aptos" w:hAnsi="Aptos"/>
                <w:color w:val="171717"/>
                <w:sz w:val="14"/>
              </w:rPr>
            </w:r>
            <w:r>
              <w:rPr>
                <w:rFonts w:ascii="Aptos" w:hAnsi="Aptos"/>
                <w:b w:val="0"/>
                <w:color w:val="171717"/>
                <w:sz w:val="14"/>
              </w:rPr>
              <w:t>Distribution</w:t>
            </w:r>
          </w:p>
        </w:tc>
        <w:tc>
          <w:tcPr>
            <w:tcW w:type="dxa" w:w="5184"/>
            <w:vAlign w:val="center"/>
          </w:tcPr>
          <w:p>
            <w:pPr>
              <w:spacing w:after="0" w:line="240" w:lineRule="auto"/>
            </w:pPr>
            <w:r>
              <w:rPr>
                <w:rFonts w:ascii="Aptos" w:hAnsi="Aptos"/>
                <w:color w:val="171717"/>
                <w:sz w:val="14"/>
              </w:rPr>
            </w:r>
            <w:r>
              <w:rPr>
                <w:rFonts w:ascii="Aptos" w:hAnsi="Aptos"/>
                <w:b w:val="0"/>
                <w:color w:val="171717"/>
                <w:sz w:val="14"/>
              </w:rPr>
              <w:t>Recruit 50 seed agents; focus Soweto + Tembisa; recruit first hawkers; establish first hub</w:t>
            </w:r>
          </w:p>
        </w:tc>
      </w:tr>
      <w:tr>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Marketing</w:t>
            </w:r>
          </w:p>
        </w:tc>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Agent recruitment content; WhatsApp groups; founder-led selling; first testimonials/reviews</w:t>
            </w:r>
          </w:p>
        </w:tc>
      </w:tr>
    </w:tbl>
    <w:p>
      <w:pPr>
        <w:spacing w:after="40" w:line="240" w:lineRule="auto"/>
      </w:pPr>
      <w:r>
        <w:rPr>
          <w:rFonts w:ascii="Aptos" w:hAnsi="Aptos"/>
          <w:b/>
          <w:color w:val="B08D57"/>
          <w:sz w:val="17"/>
        </w:rPr>
        <w:t>Launch gate: 50 agents → ≥10 first orders → repeat orders beginning.</w:t>
      </w:r>
    </w:p>
    <w:p>
      <w:pPr>
        <w:pStyle w:val="Heading1"/>
        <w:spacing w:before="100" w:after="40" w:line="240" w:lineRule="auto"/>
      </w:pPr>
      <w:r>
        <w:rPr>
          <w:rFonts w:ascii="Aptos" w:hAnsi="Aptos"/>
          <w:b/>
          <w:color w:val="171717"/>
          <w:sz w:val="26"/>
        </w:rPr>
        <w:t>6. DAYS 31–60 — PROVE REPEATABILITY</w:t>
      </w:r>
    </w:p>
    <w:p>
      <w:pPr>
        <w:spacing w:after="40" w:line="240" w:lineRule="auto"/>
      </w:pPr>
      <w:r>
        <w:rPr>
          <w:rFonts w:ascii="Aptos" w:hAnsi="Aptos"/>
          <w:color w:val="171717"/>
          <w:sz w:val="17"/>
        </w:rPr>
        <w:t>Objective: determine what sells, who sells, and whether the model repeats.</w:t>
      </w:r>
    </w:p>
    <w:p>
      <w:pPr>
        <w:pStyle w:val="ListBullet"/>
        <w:spacing w:after="40" w:line="240" w:lineRule="auto"/>
      </w:pPr>
      <w:r>
        <w:rPr>
          <w:rFonts w:ascii="Aptos" w:hAnsi="Aptos"/>
          <w:color w:val="171717"/>
          <w:sz w:val="17"/>
        </w:rPr>
        <w:t>Identify top 10 SKUs and top-performing agents.</w:t>
      </w:r>
    </w:p>
    <w:p>
      <w:pPr>
        <w:pStyle w:val="ListBullet"/>
        <w:spacing w:after="40" w:line="240" w:lineRule="auto"/>
      </w:pPr>
      <w:r>
        <w:rPr>
          <w:rFonts w:ascii="Aptos" w:hAnsi="Aptos"/>
          <w:color w:val="171717"/>
          <w:sz w:val="17"/>
        </w:rPr>
        <w:t>Measure 30-day agent retention and reorder rate.</w:t>
      </w:r>
    </w:p>
    <w:p>
      <w:pPr>
        <w:pStyle w:val="ListBullet"/>
        <w:spacing w:after="40" w:line="240" w:lineRule="auto"/>
      </w:pPr>
      <w:r>
        <w:rPr>
          <w:rFonts w:ascii="Aptos" w:hAnsi="Aptos"/>
          <w:color w:val="171717"/>
          <w:sz w:val="17"/>
        </w:rPr>
        <w:t>Establish 2–3 township hubs.</w:t>
      </w:r>
    </w:p>
    <w:p>
      <w:pPr>
        <w:pStyle w:val="ListBullet"/>
        <w:spacing w:after="40" w:line="240" w:lineRule="auto"/>
      </w:pPr>
      <w:r>
        <w:rPr>
          <w:rFonts w:ascii="Aptos" w:hAnsi="Aptos"/>
          <w:color w:val="171717"/>
          <w:sz w:val="17"/>
        </w:rPr>
        <w:t>Push Signature products as the revenue engine.</w:t>
      </w:r>
    </w:p>
    <w:p>
      <w:pPr>
        <w:pStyle w:val="ListBullet"/>
        <w:spacing w:after="40" w:line="240" w:lineRule="auto"/>
      </w:pPr>
      <w:r>
        <w:rPr>
          <w:rFonts w:ascii="Aptos" w:hAnsi="Aptos"/>
          <w:color w:val="171717"/>
          <w:sz w:val="17"/>
        </w:rPr>
        <w:t>Introduce agent referral mechanics and weekly top-seller communication.</w:t>
      </w:r>
    </w:p>
    <w:p>
      <w:pPr>
        <w:pStyle w:val="ListBullet"/>
        <w:spacing w:after="40" w:line="240" w:lineRule="auto"/>
      </w:pPr>
      <w:r>
        <w:rPr>
          <w:rFonts w:ascii="Aptos" w:hAnsi="Aptos"/>
          <w:color w:val="171717"/>
          <w:sz w:val="17"/>
        </w:rPr>
        <w:t>Capture customer reviews, UGC and scent feedback.</w:t>
      </w:r>
    </w:p>
    <w:p>
      <w:pPr>
        <w:pStyle w:val="ListBullet"/>
        <w:spacing w:after="40" w:line="240" w:lineRule="auto"/>
      </w:pPr>
      <w:r>
        <w:rPr>
          <w:rFonts w:ascii="Aptos" w:hAnsi="Aptos"/>
          <w:color w:val="171717"/>
          <w:sz w:val="17"/>
        </w:rPr>
        <w:t>Test small paid acquisition campaigns only after organic conversion is understood.</w:t>
      </w:r>
    </w:p>
    <w:p>
      <w:pPr>
        <w:spacing w:after="40" w:line="240" w:lineRule="auto"/>
      </w:pPr>
      <w:r>
        <w:rPr>
          <w:rFonts w:ascii="Aptos" w:hAnsi="Aptos"/>
          <w:b/>
          <w:color w:val="B08D57"/>
          <w:sz w:val="17"/>
        </w:rPr>
        <w:t>Critical shift: stop measuring registrations; start measuring active agents × orders × reorder rate × GMV.</w:t>
      </w:r>
    </w:p>
    <w:p>
      <w:pPr>
        <w:pStyle w:val="Heading1"/>
        <w:spacing w:before="100" w:after="40" w:line="240" w:lineRule="auto"/>
      </w:pPr>
      <w:r>
        <w:rPr>
          <w:rFonts w:ascii="Aptos" w:hAnsi="Aptos"/>
          <w:b/>
          <w:color w:val="171717"/>
          <w:sz w:val="26"/>
        </w:rPr>
        <w:t>7. DAYS 61–90 — PROVE SCALE</w:t>
      </w:r>
    </w:p>
    <w:p>
      <w:pPr>
        <w:spacing w:after="40" w:line="240" w:lineRule="auto"/>
      </w:pPr>
      <w:r>
        <w:rPr>
          <w:rFonts w:ascii="Aptos" w:hAnsi="Aptos"/>
          <w:color w:val="171717"/>
          <w:sz w:val="17"/>
        </w:rPr>
        <w:t>Objective: create a repeatable acquisition + distribution machine.</w:t>
      </w:r>
    </w:p>
    <w:p>
      <w:pPr>
        <w:pStyle w:val="ListBullet"/>
        <w:spacing w:after="40" w:line="240" w:lineRule="auto"/>
      </w:pPr>
      <w:r>
        <w:rPr>
          <w:rFonts w:ascii="Aptos" w:hAnsi="Aptos"/>
          <w:color w:val="171717"/>
          <w:sz w:val="17"/>
        </w:rPr>
        <w:t>Expand from the initial seed network toward 100+ active agents.</w:t>
      </w:r>
    </w:p>
    <w:p>
      <w:pPr>
        <w:pStyle w:val="ListBullet"/>
        <w:spacing w:after="40" w:line="240" w:lineRule="auto"/>
      </w:pPr>
      <w:r>
        <w:rPr>
          <w:rFonts w:ascii="Aptos" w:hAnsi="Aptos"/>
          <w:color w:val="171717"/>
          <w:sz w:val="17"/>
        </w:rPr>
        <w:t>Move from Soweto / Tembisa into Mamelodi, Alexandra and Katlehong.</w:t>
      </w:r>
    </w:p>
    <w:p>
      <w:pPr>
        <w:pStyle w:val="ListBullet"/>
        <w:spacing w:after="40" w:line="240" w:lineRule="auto"/>
      </w:pPr>
      <w:r>
        <w:rPr>
          <w:rFonts w:ascii="Aptos" w:hAnsi="Aptos"/>
          <w:color w:val="171717"/>
          <w:sz w:val="17"/>
        </w:rPr>
        <w:t>Prepare Eastern Cape as Wave 2 after Gauteng economics are proven.</w:t>
      </w:r>
    </w:p>
    <w:p>
      <w:pPr>
        <w:pStyle w:val="ListBullet"/>
        <w:spacing w:after="40" w:line="240" w:lineRule="auto"/>
      </w:pPr>
      <w:r>
        <w:rPr>
          <w:rFonts w:ascii="Aptos" w:hAnsi="Aptos"/>
          <w:color w:val="171717"/>
          <w:sz w:val="17"/>
        </w:rPr>
        <w:t>Do not prioritise KZN initially because the source research identifies stronger competitor density there.</w:t>
      </w:r>
    </w:p>
    <w:p>
      <w:pPr>
        <w:pStyle w:val="Heading1"/>
        <w:spacing w:before="100" w:after="40" w:line="240" w:lineRule="auto"/>
      </w:pPr>
      <w:r>
        <w:rPr>
          <w:rFonts w:ascii="Aptos" w:hAnsi="Aptos"/>
          <w:b/>
          <w:color w:val="171717"/>
          <w:sz w:val="26"/>
        </w:rPr>
        <w:t>8. BOARD-LEVEL DASHBOARD</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2592"/>
        <w:gridCol w:w="2592"/>
        <w:gridCol w:w="2592"/>
        <w:gridCol w:w="2592"/>
      </w:tblGrid>
      <w:tr>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KPI</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30 days</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60 days</w:t>
            </w:r>
          </w:p>
        </w:tc>
        <w:tc>
          <w:tcPr>
            <w:tcW w:type="dxa" w:w="2592"/>
            <w:vAlign w:val="center"/>
            <w:shd w:fill="D9E1F2"/>
            <w:shd w:fill="171717"/>
          </w:tcPr>
          <w:p>
            <w:pPr>
              <w:spacing w:after="0" w:line="240" w:lineRule="auto"/>
            </w:pPr>
            <w:r>
              <w:rPr>
                <w:rFonts w:ascii="Aptos" w:hAnsi="Aptos"/>
                <w:b/>
                <w:color w:val="FFFFFF"/>
                <w:sz w:val="14"/>
              </w:rPr>
            </w:r>
            <w:r>
              <w:rPr>
                <w:rFonts w:ascii="Aptos" w:hAnsi="Aptos"/>
                <w:b/>
                <w:color w:val="FFFFFF"/>
                <w:sz w:val="14"/>
              </w:rPr>
              <w:t>90 days</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Active agents</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50</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100</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200</w:t>
            </w:r>
          </w:p>
        </w:tc>
      </w:tr>
      <w:tr>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Monthly orders</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100+</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300+</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600+</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Monthly GMV</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R30–50K</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R100K+</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R250K+</w:t>
            </w:r>
          </w:p>
        </w:tc>
      </w:tr>
      <w:tr>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Agent reorder rate</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Baseline</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&gt;30%</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&gt;40%</w:t>
            </w:r>
          </w:p>
        </w:tc>
      </w:tr>
      <w:tr>
        <w:tc>
          <w:tcPr>
            <w:tcW w:type="dxa" w:w="2592"/>
            <w:vAlign w:val="center"/>
          </w:tcPr>
          <w:p>
            <w:pPr>
              <w:spacing w:after="0" w:line="240" w:lineRule="auto"/>
            </w:pPr>
            <w:r>
              <w:rPr>
                <w:rFonts w:ascii="Aptos" w:hAnsi="Aptos"/>
                <w:color w:val="171717"/>
                <w:sz w:val="14"/>
              </w:rPr>
            </w:r>
            <w:r>
              <w:rPr>
                <w:rFonts w:ascii="Aptos" w:hAnsi="Aptos"/>
                <w:b w:val="0"/>
                <w:color w:val="171717"/>
                <w:sz w:val="14"/>
              </w:rPr>
              <w:t>Average order value</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&gt;R500</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&gt;R750</w:t>
            </w:r>
          </w:p>
        </w:tc>
        <w:tc>
          <w:tcPr>
            <w:tcW w:type="dxa" w:w="2592"/>
            <w:vAlign w:val="center"/>
          </w:tcPr>
          <w:p>
            <w:pPr>
              <w:spacing w:after="0" w:line="240" w:lineRule="auto"/>
            </w:pPr>
            <w:r>
              <w:rPr>
                <w:rFonts w:ascii="Aptos" w:hAnsi="Aptos"/>
                <w:color w:val="171717"/>
                <w:sz w:val="14"/>
              </w:rPr>
            </w:r>
            <w:r>
              <w:rPr>
                <w:rFonts w:ascii="Aptos" w:hAnsi="Aptos"/>
                <w:b w:val="0"/>
                <w:color w:val="171717"/>
                <w:sz w:val="14"/>
              </w:rPr>
              <w:t>&gt;R1,000</w:t>
            </w:r>
          </w:p>
        </w:tc>
      </w:tr>
      <w:tr>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Courier % of revenue</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&lt;10%</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&lt;8%</w:t>
            </w:r>
          </w:p>
        </w:tc>
        <w:tc>
          <w:tcPr>
            <w:tcW w:type="dxa" w:w="2592"/>
            <w:vAlign w:val="center"/>
            <w:shd w:fill="FBF9F5"/>
          </w:tcPr>
          <w:p>
            <w:pPr>
              <w:spacing w:after="0" w:line="240" w:lineRule="auto"/>
            </w:pPr>
            <w:r>
              <w:rPr>
                <w:rFonts w:ascii="Aptos" w:hAnsi="Aptos"/>
                <w:color w:val="171717"/>
                <w:sz w:val="14"/>
              </w:rPr>
            </w:r>
            <w:r>
              <w:rPr>
                <w:rFonts w:ascii="Aptos" w:hAnsi="Aptos"/>
                <w:b w:val="0"/>
                <w:color w:val="171717"/>
                <w:sz w:val="14"/>
              </w:rPr>
              <w:t>&lt;6%</w:t>
            </w:r>
          </w:p>
        </w:tc>
      </w:tr>
    </w:tbl>
    <w:p>
      <w:pPr>
        <w:pStyle w:val="Heading1"/>
        <w:spacing w:before="100" w:after="40" w:line="240" w:lineRule="auto"/>
      </w:pPr>
      <w:r>
        <w:rPr>
          <w:rFonts w:ascii="Aptos" w:hAnsi="Aptos"/>
          <w:b/>
          <w:color w:val="171717"/>
          <w:sz w:val="26"/>
        </w:rPr>
        <w:t>9. LAUNCH GATES / KEY RISKS</w:t>
      </w:r>
    </w:p>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5184"/>
        <w:gridCol w:w="5184"/>
      </w:tblGrid>
      <w:tr>
        <w:tc>
          <w:tcPr>
            <w:tcW w:type="dxa" w:w="5184"/>
            <w:vAlign w:val="center"/>
            <w:shd w:fill="D9E1F2"/>
            <w:shd w:fill="171717"/>
          </w:tcPr>
          <w:p>
            <w:pPr>
              <w:spacing w:after="0" w:line="240" w:lineRule="auto"/>
            </w:pPr>
            <w:r>
              <w:rPr>
                <w:rFonts w:ascii="Aptos" w:hAnsi="Aptos"/>
                <w:b/>
                <w:color w:val="FFFFFF"/>
                <w:sz w:val="14"/>
              </w:rPr>
            </w:r>
            <w:r>
              <w:rPr>
                <w:rFonts w:ascii="Aptos" w:hAnsi="Aptos"/>
                <w:b/>
                <w:color w:val="FFFFFF"/>
                <w:sz w:val="14"/>
              </w:rPr>
              <w:t>Issue</w:t>
            </w:r>
          </w:p>
        </w:tc>
        <w:tc>
          <w:tcPr>
            <w:tcW w:type="dxa" w:w="5184"/>
            <w:vAlign w:val="center"/>
            <w:shd w:fill="D9E1F2"/>
            <w:shd w:fill="171717"/>
          </w:tcPr>
          <w:p>
            <w:pPr>
              <w:spacing w:after="0" w:line="240" w:lineRule="auto"/>
            </w:pPr>
            <w:r>
              <w:rPr>
                <w:rFonts w:ascii="Aptos" w:hAnsi="Aptos"/>
                <w:b/>
                <w:color w:val="FFFFFF"/>
                <w:sz w:val="14"/>
              </w:rPr>
            </w:r>
            <w:r>
              <w:rPr>
                <w:rFonts w:ascii="Aptos" w:hAnsi="Aptos"/>
                <w:b/>
                <w:color w:val="FFFFFF"/>
                <w:sz w:val="14"/>
              </w:rPr>
              <w:t>Decision / mitigation</w:t>
            </w:r>
          </w:p>
        </w:tc>
      </w:tr>
      <w:tr>
        <w:tc>
          <w:tcPr>
            <w:tcW w:type="dxa" w:w="5184"/>
            <w:vAlign w:val="center"/>
          </w:tcPr>
          <w:p>
            <w:pPr>
              <w:spacing w:after="0" w:line="240" w:lineRule="auto"/>
            </w:pPr>
            <w:r>
              <w:rPr>
                <w:rFonts w:ascii="Aptos" w:hAnsi="Aptos"/>
                <w:color w:val="171717"/>
                <w:sz w:val="14"/>
              </w:rPr>
            </w:r>
            <w:r>
              <w:rPr>
                <w:rFonts w:ascii="Aptos" w:hAnsi="Aptos"/>
                <w:b w:val="0"/>
                <w:color w:val="171717"/>
                <w:sz w:val="14"/>
              </w:rPr>
              <w:t>Manufacturing dependency</w:t>
            </w:r>
          </w:p>
        </w:tc>
        <w:tc>
          <w:tcPr>
            <w:tcW w:type="dxa" w:w="5184"/>
            <w:vAlign w:val="center"/>
          </w:tcPr>
          <w:p>
            <w:pPr>
              <w:spacing w:after="0" w:line="240" w:lineRule="auto"/>
            </w:pPr>
            <w:r>
              <w:rPr>
                <w:rFonts w:ascii="Aptos" w:hAnsi="Aptos"/>
                <w:color w:val="171717"/>
                <w:sz w:val="14"/>
              </w:rPr>
            </w:r>
            <w:r>
              <w:rPr>
                <w:rFonts w:ascii="Aptos" w:hAnsi="Aptos"/>
                <w:b w:val="0"/>
                <w:color w:val="171717"/>
                <w:sz w:val="14"/>
              </w:rPr>
              <w:t>Confirm private-label inventory model; establish dual-source capability by Month 3</w:t>
            </w:r>
          </w:p>
        </w:tc>
      </w:tr>
      <w:tr>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No physical presence</w:t>
            </w:r>
          </w:p>
        </w:tc>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Agents + tester events become initial physical presence</w:t>
            </w:r>
          </w:p>
        </w:tc>
      </w:tr>
      <w:tr>
        <w:tc>
          <w:tcPr>
            <w:tcW w:type="dxa" w:w="5184"/>
            <w:vAlign w:val="center"/>
          </w:tcPr>
          <w:p>
            <w:pPr>
              <w:spacing w:after="0" w:line="240" w:lineRule="auto"/>
            </w:pPr>
            <w:r>
              <w:rPr>
                <w:rFonts w:ascii="Aptos" w:hAnsi="Aptos"/>
                <w:color w:val="171717"/>
                <w:sz w:val="14"/>
              </w:rPr>
            </w:r>
            <w:r>
              <w:rPr>
                <w:rFonts w:ascii="Aptos" w:hAnsi="Aptos"/>
                <w:b w:val="0"/>
                <w:color w:val="171717"/>
                <w:sz w:val="14"/>
              </w:rPr>
              <w:t>No brand recognition</w:t>
            </w:r>
          </w:p>
        </w:tc>
        <w:tc>
          <w:tcPr>
            <w:tcW w:type="dxa" w:w="5184"/>
            <w:vAlign w:val="center"/>
          </w:tcPr>
          <w:p>
            <w:pPr>
              <w:spacing w:after="0" w:line="240" w:lineRule="auto"/>
            </w:pPr>
            <w:r>
              <w:rPr>
                <w:rFonts w:ascii="Aptos" w:hAnsi="Aptos"/>
                <w:color w:val="171717"/>
                <w:sz w:val="14"/>
              </w:rPr>
            </w:r>
            <w:r>
              <w:rPr>
                <w:rFonts w:ascii="Aptos" w:hAnsi="Aptos"/>
                <w:b w:val="0"/>
                <w:color w:val="171717"/>
                <w:sz w:val="14"/>
              </w:rPr>
              <w:t>Build reviews, UGC, agent stories and consistent packaging from day 1</w:t>
            </w:r>
          </w:p>
        </w:tc>
      </w:tr>
      <w:tr>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Courier economics</w:t>
            </w:r>
          </w:p>
        </w:tc>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Bulk-to-hub only; do not courier single budget bottles</w:t>
            </w:r>
          </w:p>
        </w:tc>
      </w:tr>
      <w:tr>
        <w:tc>
          <w:tcPr>
            <w:tcW w:type="dxa" w:w="5184"/>
            <w:vAlign w:val="center"/>
          </w:tcPr>
          <w:p>
            <w:pPr>
              <w:spacing w:after="0" w:line="240" w:lineRule="auto"/>
            </w:pPr>
            <w:r>
              <w:rPr>
                <w:rFonts w:ascii="Aptos" w:hAnsi="Aptos"/>
                <w:color w:val="171717"/>
                <w:sz w:val="14"/>
              </w:rPr>
            </w:r>
            <w:r>
              <w:rPr>
                <w:rFonts w:ascii="Aptos" w:hAnsi="Aptos"/>
                <w:b w:val="0"/>
                <w:color w:val="171717"/>
                <w:sz w:val="14"/>
              </w:rPr>
              <w:t>WhatsApp payment friction</w:t>
            </w:r>
          </w:p>
        </w:tc>
        <w:tc>
          <w:tcPr>
            <w:tcW w:type="dxa" w:w="5184"/>
            <w:vAlign w:val="center"/>
          </w:tcPr>
          <w:p>
            <w:pPr>
              <w:spacing w:after="0" w:line="240" w:lineRule="auto"/>
            </w:pPr>
            <w:r>
              <w:rPr>
                <w:rFonts w:ascii="Aptos" w:hAnsi="Aptos"/>
                <w:color w:val="171717"/>
                <w:sz w:val="14"/>
              </w:rPr>
            </w:r>
            <w:r>
              <w:rPr>
                <w:rFonts w:ascii="Aptos" w:hAnsi="Aptos"/>
                <w:b w:val="0"/>
                <w:color w:val="171717"/>
                <w:sz w:val="14"/>
              </w:rPr>
              <w:t>Use payment links / EFT + POP initially; add card flow as available</w:t>
            </w:r>
          </w:p>
        </w:tc>
      </w:tr>
      <w:tr>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Copycat risk</w:t>
            </w:r>
          </w:p>
        </w:tc>
        <w:tc>
          <w:tcPr>
            <w:tcW w:type="dxa" w:w="5184"/>
            <w:vAlign w:val="center"/>
            <w:shd w:fill="FBF9F5"/>
          </w:tcPr>
          <w:p>
            <w:pPr>
              <w:spacing w:after="0" w:line="240" w:lineRule="auto"/>
            </w:pPr>
            <w:r>
              <w:rPr>
                <w:rFonts w:ascii="Aptos" w:hAnsi="Aptos"/>
                <w:color w:val="171717"/>
                <w:sz w:val="14"/>
              </w:rPr>
            </w:r>
            <w:r>
              <w:rPr>
                <w:rFonts w:ascii="Aptos" w:hAnsi="Aptos"/>
                <w:b w:val="0"/>
                <w:color w:val="171717"/>
                <w:sz w:val="14"/>
              </w:rPr>
              <w:t>Speed-to-market, agent density and proprietary blends become the moat</w:t>
            </w:r>
          </w:p>
        </w:tc>
      </w:tr>
    </w:tbl>
    <w:tbl>
      <w:tblPr>
        <w:tblStyle w:val="TableGrid"/>
        <w:tblW w:type="auto" w:w="0"/>
        <w:jc w:val="center"/>
        <w:tblLayout w:type="autofit"/>
        <w:tblLook w:firstColumn="1" w:firstRow="1" w:lastColumn="0" w:lastRow="0" w:noHBand="0" w:noVBand="1" w:val="04A0"/>
        <w:tblBorders>
          <w:top w:val="single" w:sz="5" w:color="D8D3C8"/>
          <w:left w:val="single" w:sz="5" w:color="D8D3C8"/>
          <w:bottom w:val="single" w:sz="5" w:color="D8D3C8"/>
          <w:right w:val="single" w:sz="5" w:color="D8D3C8"/>
          <w:insideH w:val="single" w:sz="5" w:color="D8D3C8"/>
          <w:insideV w:val="single" w:sz="5" w:color="D8D3C8"/>
        </w:tblBorders>
      </w:tblPr>
      <w:tblGrid>
        <w:gridCol w:w="10368"/>
      </w:tblGrid>
      <w:tr>
        <w:tc>
          <w:tcPr>
            <w:tcW w:type="dxa" w:w="10368"/>
            <w:shd w:fill="D9E1F2"/>
            <w:vAlign w:val="center"/>
            <w:shd w:fill="171717"/>
          </w:tcPr>
          <w:p>
            <w:pPr>
              <w:spacing w:after="0" w:line="240" w:lineRule="auto"/>
            </w:pPr>
            <w:r>
              <w:rPr>
                <w:rFonts w:ascii="Aptos" w:hAnsi="Aptos"/>
                <w:b/>
                <w:color w:val="FFFFFF"/>
                <w:sz w:val="14"/>
              </w:rPr>
            </w:r>
            <w:r>
              <w:rPr>
                <w:rFonts w:ascii="Aptos" w:hAnsi="Aptos"/>
                <w:b/>
                <w:color w:val="FFFFFF"/>
                <w:sz w:val="14"/>
              </w:rPr>
              <w:t>THE STRATEGIC THESIS: Build the distribution network before building the retail network. Zen's competitive advantage is not simply producing perfume; it is connecting own-brand production to WhatsApp commerce and a dense network of independent local sellers.</w:t>
            </w:r>
          </w:p>
        </w:tc>
      </w:tr>
    </w:tbl>
    <w:sectPr w:rsidR="00FC693F" w:rsidRPr="0006063C" w:rsidSect="00034616">
      <w:footerReference w:type="default" r:id="rId9"/>
      <w:head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66666"/>
        <w:sz w:val="14"/>
      </w:rPr>
      <w:t>ZEN FRAGRANCES  •  MARKET ENTRY &amp; DISTRIBUTION PLAN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Display" w:hAnsi="Aptos Display"/>
        <w:b/>
        <w:color w:val="B08D57"/>
        <w:sz w:val="20"/>
      </w:rPr>
      <w:t>ZEN</w:t>
    </w:r>
    <w:r>
      <w:rPr>
        <w:rFonts w:ascii="Aptos" w:hAnsi="Aptos"/>
        <w:b/>
        <w:color w:val="666666"/>
        <w:sz w:val="16"/>
      </w:rPr>
      <w:t xml:space="preserve">  |  FRAGRANCES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17171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w:hAnsi="Aptos"/>
      <w:b/>
      <w:bCs/>
      <w:color w:val="171717"/>
      <w:sz w:val="26"/>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ptos" w:hAnsi="Aptos"/>
      <w:b/>
      <w:bCs/>
      <w:color w:val="B08D5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71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