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1CC" w:rsidRPr="009C664B" w:rsidRDefault="00F371CC" w:rsidP="00F371CC">
      <w:pPr>
        <w:rPr>
          <w:b/>
          <w:sz w:val="32"/>
          <w:szCs w:val="32"/>
          <w:highlight w:val="yellow"/>
          <w:u w:val="single"/>
        </w:rPr>
      </w:pPr>
      <w:proofErr w:type="spellStart"/>
      <w:r w:rsidRPr="009C664B">
        <w:rPr>
          <w:b/>
          <w:sz w:val="32"/>
          <w:szCs w:val="32"/>
          <w:u w:val="single"/>
        </w:rPr>
        <w:t>crspq.dsf</w:t>
      </w:r>
      <w:proofErr w:type="spellEnd"/>
      <w:r w:rsidRPr="009C664B">
        <w:rPr>
          <w:b/>
          <w:sz w:val="32"/>
          <w:szCs w:val="32"/>
          <w:u w:val="single"/>
        </w:rPr>
        <w:t xml:space="preserve"> &amp; </w:t>
      </w:r>
      <w:proofErr w:type="spellStart"/>
      <w:r w:rsidRPr="009C664B">
        <w:rPr>
          <w:b/>
          <w:sz w:val="32"/>
          <w:szCs w:val="32"/>
          <w:u w:val="single"/>
        </w:rPr>
        <w:t>comp.fundq</w:t>
      </w:r>
      <w:proofErr w:type="spellEnd"/>
    </w:p>
    <w:p w:rsidR="00F371CC" w:rsidRDefault="00F371CC" w:rsidP="00F371CC">
      <w:proofErr w:type="spellStart"/>
      <w:r w:rsidRPr="00D516A3">
        <w:rPr>
          <w:b/>
          <w:highlight w:val="yellow"/>
        </w:rPr>
        <w:t>cusip</w:t>
      </w:r>
      <w:proofErr w:type="spellEnd"/>
      <w:r>
        <w:t xml:space="preserve">: </w:t>
      </w:r>
      <w:r w:rsidRPr="00D516A3">
        <w:t xml:space="preserve">the latest eight-character CUSIP identifier </w:t>
      </w:r>
    </w:p>
    <w:p w:rsidR="00F371CC" w:rsidRDefault="00F371CC" w:rsidP="00F371CC">
      <w:proofErr w:type="spellStart"/>
      <w:r w:rsidRPr="00D516A3">
        <w:rPr>
          <w:b/>
          <w:highlight w:val="yellow"/>
        </w:rPr>
        <w:t>conm</w:t>
      </w:r>
      <w:proofErr w:type="spellEnd"/>
      <w:r>
        <w:t>: company name</w:t>
      </w:r>
    </w:p>
    <w:p w:rsidR="00F371CC" w:rsidRDefault="00F371CC" w:rsidP="00F371CC">
      <w:r w:rsidRPr="00D516A3">
        <w:rPr>
          <w:b/>
          <w:highlight w:val="yellow"/>
        </w:rPr>
        <w:t>tic</w:t>
      </w:r>
      <w:r>
        <w:t>: ticker symbol</w:t>
      </w:r>
    </w:p>
    <w:p w:rsidR="00F371CC" w:rsidRDefault="00F371CC" w:rsidP="00F371CC">
      <w:proofErr w:type="spellStart"/>
      <w:r w:rsidRPr="00D516A3">
        <w:rPr>
          <w:b/>
          <w:highlight w:val="yellow"/>
        </w:rPr>
        <w:t>rdq</w:t>
      </w:r>
      <w:proofErr w:type="spellEnd"/>
      <w:r>
        <w:t>: report date of quarterly e</w:t>
      </w:r>
      <w:r w:rsidRPr="00D516A3">
        <w:t>arnings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atq</w:t>
      </w:r>
      <w:proofErr w:type="spellEnd"/>
      <w:r>
        <w:t>: assets in total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dlltq</w:t>
      </w:r>
      <w:proofErr w:type="spellEnd"/>
      <w:r>
        <w:t>: long-term debt in t</w:t>
      </w:r>
      <w:r w:rsidRPr="00D516A3">
        <w:t>otal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ltq</w:t>
      </w:r>
      <w:proofErr w:type="spellEnd"/>
      <w:r>
        <w:t>: liabilities in total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cheq</w:t>
      </w:r>
      <w:proofErr w:type="spellEnd"/>
      <w:r>
        <w:t>: cash and short-term i</w:t>
      </w:r>
      <w:r w:rsidRPr="00D516A3">
        <w:t>nvestments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obidpq</w:t>
      </w:r>
      <w:proofErr w:type="spellEnd"/>
      <w:r>
        <w:t>: operating income before depreciation – q</w:t>
      </w:r>
      <w:r w:rsidRPr="00D516A3">
        <w:t>uarterly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ppentq</w:t>
      </w:r>
      <w:proofErr w:type="spellEnd"/>
      <w:r>
        <w:t>: property p</w:t>
      </w:r>
      <w:r w:rsidRPr="00D516A3">
        <w:t>lant and</w:t>
      </w:r>
      <w:r>
        <w:t xml:space="preserve"> equipment in t</w:t>
      </w:r>
      <w:r w:rsidRPr="00D516A3">
        <w:t>otal (Net)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piq</w:t>
      </w:r>
      <w:proofErr w:type="spellEnd"/>
      <w:r>
        <w:t xml:space="preserve">: pretax income 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revtq</w:t>
      </w:r>
      <w:proofErr w:type="spellEnd"/>
      <w:r>
        <w:t>: revenue in total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niq</w:t>
      </w:r>
      <w:proofErr w:type="spellEnd"/>
      <w:r>
        <w:t>: net income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cogsq</w:t>
      </w:r>
      <w:proofErr w:type="spellEnd"/>
      <w:r>
        <w:t>: cost of goods sold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xoprq</w:t>
      </w:r>
      <w:proofErr w:type="spellEnd"/>
      <w:r>
        <w:t>: operating expenses (total)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xintq</w:t>
      </w:r>
      <w:proofErr w:type="spellEnd"/>
      <w:r>
        <w:t>: interest and related expense (t</w:t>
      </w:r>
      <w:r w:rsidRPr="004968ED">
        <w:t>otal</w:t>
      </w:r>
      <w:r>
        <w:t>)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oiadpq</w:t>
      </w:r>
      <w:proofErr w:type="spellEnd"/>
      <w:r>
        <w:t>: operating income after d</w:t>
      </w:r>
      <w:r w:rsidRPr="004968ED">
        <w:t xml:space="preserve">epreciation </w:t>
      </w:r>
      <w:r>
        <w:t>–</w:t>
      </w:r>
      <w:r w:rsidRPr="004968ED">
        <w:t xml:space="preserve"> Quarterly</w:t>
      </w:r>
    </w:p>
    <w:p w:rsidR="00F371CC" w:rsidRDefault="00F371CC" w:rsidP="00F371CC">
      <w:proofErr w:type="spellStart"/>
      <w:r w:rsidRPr="00B27789">
        <w:rPr>
          <w:b/>
          <w:highlight w:val="yellow"/>
        </w:rPr>
        <w:t>dlcq</w:t>
      </w:r>
      <w:proofErr w:type="spellEnd"/>
      <w:r>
        <w:t>: debt in current l</w:t>
      </w:r>
      <w:r w:rsidRPr="004968ED">
        <w:t>iabilities</w:t>
      </w:r>
    </w:p>
    <w:p w:rsidR="000923D8" w:rsidRDefault="00F371CC"/>
    <w:p w:rsidR="00F371CC" w:rsidRDefault="00F371CC" w:rsidP="00F371CC">
      <w:pPr>
        <w:rPr>
          <w:rFonts w:hint="eastAsia"/>
          <w:b/>
          <w:sz w:val="32"/>
          <w:szCs w:val="32"/>
          <w:u w:val="single"/>
        </w:rPr>
      </w:pPr>
      <w:proofErr w:type="spellStart"/>
      <w:r w:rsidRPr="009C664B">
        <w:rPr>
          <w:b/>
          <w:sz w:val="32"/>
          <w:szCs w:val="32"/>
          <w:u w:val="single"/>
        </w:rPr>
        <w:t>crspq.msf</w:t>
      </w:r>
      <w:proofErr w:type="spellEnd"/>
    </w:p>
    <w:p w:rsidR="00F371CC" w:rsidRDefault="00F371CC" w:rsidP="00F371CC">
      <w:proofErr w:type="spellStart"/>
      <w:r w:rsidRPr="009C664B">
        <w:rPr>
          <w:b/>
          <w:highlight w:val="yellow"/>
        </w:rPr>
        <w:t>cusip</w:t>
      </w:r>
      <w:proofErr w:type="spellEnd"/>
      <w:r>
        <w:t xml:space="preserve">: </w:t>
      </w:r>
      <w:proofErr w:type="spellStart"/>
      <w:r>
        <w:t>cusip</w:t>
      </w:r>
      <w:proofErr w:type="spellEnd"/>
      <w:r>
        <w:t xml:space="preserve"> identifier number</w:t>
      </w:r>
    </w:p>
    <w:p w:rsidR="00F371CC" w:rsidRDefault="00F371CC" w:rsidP="00F371CC">
      <w:proofErr w:type="spellStart"/>
      <w:r w:rsidRPr="008E6CF8">
        <w:rPr>
          <w:b/>
          <w:highlight w:val="yellow"/>
        </w:rPr>
        <w:t>vol</w:t>
      </w:r>
      <w:proofErr w:type="spellEnd"/>
      <w:r>
        <w:t>: share volume</w:t>
      </w:r>
    </w:p>
    <w:p w:rsidR="00F371CC" w:rsidRDefault="00F371CC" w:rsidP="00F371CC">
      <w:r w:rsidRPr="008E6CF8">
        <w:rPr>
          <w:b/>
          <w:highlight w:val="yellow"/>
        </w:rPr>
        <w:t>ret</w:t>
      </w:r>
      <w:r>
        <w:t xml:space="preserve">: holding period return; the </w:t>
      </w:r>
      <w:r w:rsidRPr="009C664B">
        <w:t>return is the change in the total value of an investment in a common stock over some period of time per dollar of initial investment</w:t>
      </w:r>
    </w:p>
    <w:p w:rsidR="00F371CC" w:rsidRDefault="00F371CC" w:rsidP="00F371CC">
      <w:r w:rsidRPr="008E6CF8">
        <w:rPr>
          <w:b/>
          <w:highlight w:val="yellow"/>
        </w:rPr>
        <w:t>bid</w:t>
      </w:r>
      <w:r>
        <w:t>: closing bid</w:t>
      </w:r>
    </w:p>
    <w:p w:rsidR="00F371CC" w:rsidRDefault="00F371CC" w:rsidP="00F371CC">
      <w:r w:rsidRPr="008E6CF8">
        <w:rPr>
          <w:b/>
          <w:highlight w:val="yellow"/>
        </w:rPr>
        <w:t>ask</w:t>
      </w:r>
      <w:r>
        <w:t>: closing ask</w:t>
      </w:r>
    </w:p>
    <w:p w:rsidR="00F371CC" w:rsidRDefault="00F371CC" w:rsidP="00F371CC">
      <w:proofErr w:type="spellStart"/>
      <w:r w:rsidRPr="008E6CF8">
        <w:rPr>
          <w:b/>
          <w:highlight w:val="yellow"/>
        </w:rPr>
        <w:t>shrout</w:t>
      </w:r>
      <w:proofErr w:type="spellEnd"/>
      <w:r>
        <w:t>: number of share outstanding</w:t>
      </w:r>
    </w:p>
    <w:p w:rsidR="00F371CC" w:rsidRDefault="00F371CC" w:rsidP="00F371CC">
      <w:proofErr w:type="spellStart"/>
      <w:r w:rsidRPr="009C664B">
        <w:rPr>
          <w:b/>
          <w:highlight w:val="yellow"/>
        </w:rPr>
        <w:t>prc</w:t>
      </w:r>
      <w:proofErr w:type="spellEnd"/>
      <w:r>
        <w:t>: closing price (a</w:t>
      </w:r>
      <w:r w:rsidRPr="009C664B">
        <w:t xml:space="preserve"> positive amount is an actual close for the trading </w:t>
      </w:r>
      <w:proofErr w:type="spellStart"/>
      <w:r w:rsidRPr="009C664B">
        <w:t>dat</w:t>
      </w:r>
      <w:proofErr w:type="spellEnd"/>
      <w:r w:rsidRPr="009C664B">
        <w:t xml:space="preserve"> e while a negative amount denotes the average between BIDLO and A</w:t>
      </w:r>
      <w:r>
        <w:t>SKHI)</w:t>
      </w:r>
    </w:p>
    <w:p w:rsidR="00F371CC" w:rsidRDefault="00F371CC">
      <w:bookmarkStart w:id="0" w:name="_GoBack"/>
      <w:bookmarkEnd w:id="0"/>
    </w:p>
    <w:sectPr w:rsidR="00F371CC" w:rsidSect="0078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CC"/>
    <w:rsid w:val="00454127"/>
    <w:rsid w:val="00783C54"/>
    <w:rsid w:val="00F3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82747"/>
  <w15:chartTrackingRefBased/>
  <w15:docId w15:val="{09116F76-5C88-0641-9CA6-06484AA2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2018-06-27T00:52:00Z</dcterms:created>
  <dcterms:modified xsi:type="dcterms:W3CDTF">2018-06-27T00:52:00Z</dcterms:modified>
</cp:coreProperties>
</file>