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BF651">
      <w:pPr>
        <w:spacing w:line="480" w:lineRule="auto"/>
        <w:ind w:firstLine="2132" w:firstLineChars="295"/>
        <w:rPr>
          <w:rFonts w:hint="eastAsia"/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 庆 大 学</w:t>
      </w:r>
    </w:p>
    <w:p w14:paraId="5755AF3D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</w:p>
    <w:p w14:paraId="31A9B386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0EC8EC8D">
      <w:pPr>
        <w:rPr>
          <w:rFonts w:hint="eastAsia"/>
          <w:b/>
          <w:bCs/>
          <w:sz w:val="28"/>
        </w:rPr>
      </w:pPr>
    </w:p>
    <w:p w14:paraId="4F4BEB24">
      <w:pPr>
        <w:rPr>
          <w:rFonts w:hint="eastAsia"/>
          <w:b/>
          <w:bCs/>
          <w:sz w:val="28"/>
        </w:rPr>
      </w:pPr>
    </w:p>
    <w:p w14:paraId="35DF20AE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自然语言处理   </w:t>
      </w:r>
      <w:r>
        <w:rPr>
          <w:rFonts w:hint="eastAsia"/>
          <w:b/>
          <w:bCs/>
          <w:sz w:val="32"/>
          <w:szCs w:val="32"/>
          <w:u w:val="single"/>
        </w:rPr>
        <w:t xml:space="preserve">  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</w:p>
    <w:p w14:paraId="095CC4C2">
      <w:pPr>
        <w:rPr>
          <w:rFonts w:hint="eastAsia"/>
          <w:b/>
          <w:bCs/>
          <w:szCs w:val="21"/>
        </w:rPr>
      </w:pPr>
    </w:p>
    <w:p w14:paraId="73BE661D">
      <w:pPr>
        <w:rPr>
          <w:rFonts w:hint="default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DS1501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</w:t>
      </w:r>
    </w:p>
    <w:p w14:paraId="5997C6AA">
      <w:pPr>
        <w:rPr>
          <w:rFonts w:hint="eastAsia"/>
          <w:b/>
          <w:bCs/>
          <w:szCs w:val="21"/>
        </w:rPr>
      </w:pPr>
    </w:p>
    <w:p w14:paraId="2BF5FB53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      院 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2023</w:t>
      </w:r>
      <w:r>
        <w:rPr>
          <w:rFonts w:hint="eastAsia"/>
          <w:b/>
          <w:bCs/>
          <w:sz w:val="32"/>
          <w:szCs w:val="32"/>
          <w:u w:val="single"/>
        </w:rPr>
        <w:t xml:space="preserve">    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人工智能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专业</w:t>
      </w:r>
      <w:r>
        <w:rPr>
          <w:rFonts w:hint="eastAsia"/>
          <w:b/>
          <w:bCs/>
          <w:sz w:val="32"/>
          <w:szCs w:val="32"/>
          <w:lang w:val="en-US" w:eastAsia="zh-CN"/>
        </w:rPr>
        <w:t>02</w:t>
      </w:r>
      <w:r>
        <w:rPr>
          <w:rFonts w:hint="eastAsia"/>
          <w:b/>
          <w:bCs/>
          <w:sz w:val="32"/>
          <w:szCs w:val="32"/>
        </w:rPr>
        <w:t>班</w:t>
      </w:r>
    </w:p>
    <w:p w14:paraId="51D26D5D">
      <w:pPr>
        <w:rPr>
          <w:rFonts w:hint="eastAsia"/>
          <w:b/>
          <w:bCs/>
          <w:szCs w:val="21"/>
        </w:rPr>
      </w:pPr>
    </w:p>
    <w:p w14:paraId="1E5417B7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学 生 姓 名 </w:t>
      </w:r>
      <w:r>
        <w:rPr>
          <w:rFonts w:hint="eastAsia"/>
          <w:b/>
          <w:bCs/>
          <w:sz w:val="32"/>
          <w:szCs w:val="32"/>
          <w:u w:val="single"/>
        </w:rPr>
        <w:t xml:space="preserve">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唐执策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rFonts w:hint="eastAsia"/>
          <w:b/>
          <w:bCs/>
          <w:sz w:val="32"/>
          <w:szCs w:val="32"/>
        </w:rPr>
        <w:t>学  号</w:t>
      </w:r>
      <w:r>
        <w:rPr>
          <w:rFonts w:hint="eastAsia"/>
          <w:b/>
          <w:bCs/>
          <w:sz w:val="32"/>
          <w:szCs w:val="32"/>
          <w:u w:val="single"/>
        </w:rPr>
        <w:t xml:space="preserve">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20234372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349A38BC">
      <w:pPr>
        <w:rPr>
          <w:rFonts w:hint="eastAsia"/>
          <w:b/>
          <w:bCs/>
          <w:szCs w:val="21"/>
        </w:rPr>
      </w:pPr>
    </w:p>
    <w:p w14:paraId="54B9A4AB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开 课 时 间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2025</w:t>
      </w:r>
      <w:r>
        <w:rPr>
          <w:rFonts w:hint="eastAsia"/>
          <w:b/>
          <w:bCs/>
          <w:sz w:val="32"/>
          <w:szCs w:val="32"/>
          <w:u w:val="single"/>
        </w:rPr>
        <w:t xml:space="preserve">   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2026 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学期</w:t>
      </w:r>
    </w:p>
    <w:p w14:paraId="217D0E58">
      <w:pPr>
        <w:rPr>
          <w:rFonts w:hint="eastAsia"/>
          <w:b/>
          <w:bCs/>
          <w:sz w:val="32"/>
          <w:szCs w:val="32"/>
        </w:rPr>
      </w:pPr>
    </w:p>
    <w:p w14:paraId="52555CD6">
      <w:pPr>
        <w:rPr>
          <w:rFonts w:hint="eastAsia"/>
          <w:b/>
          <w:bCs/>
          <w:sz w:val="32"/>
          <w:szCs w:val="32"/>
        </w:rPr>
      </w:pP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6AAA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0D82D398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2CE056FB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14:paraId="54883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67E9C379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551A18E5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</w:tbl>
    <w:p w14:paraId="76534DDC">
      <w:pPr>
        <w:rPr>
          <w:rFonts w:hint="eastAsia"/>
          <w:b/>
          <w:bCs/>
          <w:sz w:val="32"/>
          <w:szCs w:val="32"/>
        </w:rPr>
      </w:pPr>
    </w:p>
    <w:p w14:paraId="460379C3">
      <w:pPr>
        <w:rPr>
          <w:rFonts w:hint="eastAsia"/>
          <w:b/>
          <w:bCs/>
          <w:sz w:val="32"/>
          <w:szCs w:val="32"/>
        </w:rPr>
      </w:pPr>
    </w:p>
    <w:p w14:paraId="7FE7FFA3">
      <w:pPr>
        <w:ind w:firstLine="2891" w:firstLineChars="900"/>
        <w:rPr>
          <w:rFonts w:hint="eastAsia"/>
          <w:b/>
          <w:bCs/>
          <w:sz w:val="32"/>
          <w:szCs w:val="32"/>
        </w:rPr>
      </w:pPr>
    </w:p>
    <w:p w14:paraId="656B0CC7">
      <w:pPr>
        <w:ind w:firstLine="2891" w:firstLineChars="90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大数据与</w:t>
      </w:r>
      <w:r>
        <w:rPr>
          <w:rFonts w:hint="eastAsia"/>
          <w:b/>
          <w:bCs/>
          <w:sz w:val="32"/>
          <w:szCs w:val="32"/>
        </w:rPr>
        <w:t>软件学院 制</w:t>
      </w:r>
    </w:p>
    <w:p w14:paraId="2467E14E">
      <w:pPr>
        <w:spacing w:line="480" w:lineRule="exact"/>
        <w:rPr>
          <w:rFonts w:hint="eastAsia" w:ascii="黑体" w:eastAsia="黑体"/>
          <w:b/>
          <w:sz w:val="32"/>
          <w:szCs w:val="20"/>
        </w:rPr>
      </w:pPr>
    </w:p>
    <w:p w14:paraId="6B4545CA">
      <w:pPr>
        <w:spacing w:line="480" w:lineRule="exact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 w:ascii="黑体" w:eastAsia="黑体"/>
          <w:b/>
          <w:sz w:val="32"/>
          <w:lang w:val="en-US" w:eastAsia="zh-CN"/>
        </w:rPr>
        <w:t>自然语言处理</w:t>
      </w:r>
      <w:r>
        <w:rPr>
          <w:rFonts w:hint="eastAsia" w:ascii="黑体" w:eastAsia="黑体"/>
          <w:b/>
          <w:sz w:val="32"/>
        </w:rPr>
        <w:t>》实验报告</w:t>
      </w:r>
    </w:p>
    <w:p w14:paraId="01F38BD2">
      <w:pPr>
        <w:rPr>
          <w:rFonts w:hint="eastAsia"/>
        </w:rPr>
      </w:pPr>
    </w:p>
    <w:p w14:paraId="7F275B6D">
      <w:pPr>
        <w:rPr>
          <w:rFonts w:hint="eastAsia" w:eastAsia="黑体"/>
          <w:b/>
        </w:rPr>
      </w:pPr>
      <w:r>
        <w:rPr>
          <w:rFonts w:hint="eastAsia" w:eastAsia="黑体"/>
          <w:b/>
        </w:rPr>
        <w:t xml:space="preserve"> 开课实验室</w:t>
      </w:r>
      <w:r>
        <w:rPr>
          <w:rFonts w:hint="eastAsia" w:eastAsia="黑体"/>
          <w:b/>
          <w:lang w:val="en-US" w:eastAsia="zh-CN"/>
        </w:rPr>
        <w:t>DS1501</w:t>
      </w:r>
      <w:r>
        <w:rPr>
          <w:rFonts w:hint="eastAsia" w:eastAsia="黑体"/>
          <w:b/>
        </w:rPr>
        <w:t xml:space="preserve">   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              </w:t>
      </w:r>
      <w:r>
        <w:rPr>
          <w:rFonts w:hint="eastAsia" w:eastAsia="黑体"/>
          <w:b/>
        </w:rPr>
        <w:t>20</w:t>
      </w:r>
      <w:r>
        <w:rPr>
          <w:rFonts w:hint="default" w:eastAsia="黑体"/>
          <w:b/>
          <w:lang w:val="en-US"/>
        </w:rPr>
        <w:t>2</w:t>
      </w:r>
      <w:r>
        <w:rPr>
          <w:rFonts w:hint="eastAsia" w:eastAsia="黑体"/>
          <w:b/>
          <w:lang w:val="en-US" w:eastAsia="zh-CN"/>
        </w:rPr>
        <w:t>5</w:t>
      </w:r>
      <w:r>
        <w:rPr>
          <w:rFonts w:hint="eastAsia" w:eastAsia="黑体"/>
          <w:b/>
        </w:rPr>
        <w:t>年</w:t>
      </w:r>
      <w:r>
        <w:rPr>
          <w:rFonts w:hint="eastAsia" w:eastAsia="黑体"/>
          <w:b/>
          <w:lang w:val="en-US" w:eastAsia="zh-CN"/>
        </w:rPr>
        <w:t>5</w:t>
      </w:r>
      <w:r>
        <w:rPr>
          <w:rFonts w:hint="eastAsia" w:eastAsia="黑体"/>
          <w:b/>
        </w:rPr>
        <w:t>月</w:t>
      </w:r>
      <w:r>
        <w:rPr>
          <w:rFonts w:hint="eastAsia" w:eastAsia="黑体"/>
          <w:b/>
          <w:lang w:val="en-US" w:eastAsia="zh-CN"/>
        </w:rPr>
        <w:t>9</w:t>
      </w:r>
      <w:r>
        <w:rPr>
          <w:rFonts w:hint="eastAsia" w:eastAsia="黑体"/>
          <w:b/>
        </w:rPr>
        <w:t>日</w:t>
      </w:r>
    </w:p>
    <w:tbl>
      <w:tblPr>
        <w:tblStyle w:val="6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864"/>
        <w:gridCol w:w="1759"/>
        <w:gridCol w:w="1263"/>
        <w:gridCol w:w="818"/>
        <w:gridCol w:w="964"/>
        <w:gridCol w:w="643"/>
        <w:gridCol w:w="1144"/>
      </w:tblGrid>
      <w:tr w14:paraId="171B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top"/>
          </w:tcPr>
          <w:p w14:paraId="47F3CF34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</w:rPr>
              <w:t>学院</w:t>
            </w:r>
          </w:p>
        </w:tc>
        <w:tc>
          <w:tcPr>
            <w:tcW w:w="1864" w:type="dxa"/>
            <w:noWrap w:val="0"/>
            <w:vAlign w:val="top"/>
          </w:tcPr>
          <w:p w14:paraId="7E79B433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大数据与</w:t>
            </w:r>
            <w:r>
              <w:rPr>
                <w:rFonts w:hint="eastAsia"/>
              </w:rPr>
              <w:t>软件学院</w:t>
            </w:r>
          </w:p>
        </w:tc>
        <w:tc>
          <w:tcPr>
            <w:tcW w:w="1759" w:type="dxa"/>
            <w:noWrap w:val="0"/>
            <w:vAlign w:val="top"/>
          </w:tcPr>
          <w:p w14:paraId="6A564578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263" w:type="dxa"/>
            <w:noWrap w:val="0"/>
            <w:vAlign w:val="top"/>
          </w:tcPr>
          <w:p w14:paraId="61429D97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23级人工智能02班</w:t>
            </w:r>
          </w:p>
        </w:tc>
        <w:tc>
          <w:tcPr>
            <w:tcW w:w="818" w:type="dxa"/>
            <w:noWrap w:val="0"/>
            <w:vAlign w:val="top"/>
          </w:tcPr>
          <w:p w14:paraId="1ECFAAAE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64" w:type="dxa"/>
            <w:noWrap w:val="0"/>
            <w:vAlign w:val="top"/>
          </w:tcPr>
          <w:p w14:paraId="1C46D204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唐执策</w:t>
            </w:r>
          </w:p>
        </w:tc>
        <w:tc>
          <w:tcPr>
            <w:tcW w:w="643" w:type="dxa"/>
            <w:noWrap w:val="0"/>
            <w:vAlign w:val="top"/>
          </w:tcPr>
          <w:p w14:paraId="673A22ED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1144" w:type="dxa"/>
            <w:noWrap w:val="0"/>
            <w:vAlign w:val="top"/>
          </w:tcPr>
          <w:p w14:paraId="482B9641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</w:p>
        </w:tc>
      </w:tr>
      <w:tr w14:paraId="37DBB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center"/>
          </w:tcPr>
          <w:p w14:paraId="1CA928B4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</w:t>
            </w:r>
          </w:p>
          <w:p w14:paraId="72024D91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64" w:type="dxa"/>
            <w:noWrap w:val="0"/>
            <w:vAlign w:val="center"/>
          </w:tcPr>
          <w:p w14:paraId="16616E4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自然语言处理</w:t>
            </w:r>
          </w:p>
        </w:tc>
        <w:tc>
          <w:tcPr>
            <w:tcW w:w="1759" w:type="dxa"/>
            <w:noWrap w:val="0"/>
            <w:vAlign w:val="center"/>
          </w:tcPr>
          <w:p w14:paraId="3ECC30E3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  <w:p w14:paraId="44915409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    称</w:t>
            </w:r>
          </w:p>
        </w:tc>
        <w:tc>
          <w:tcPr>
            <w:tcW w:w="2081" w:type="dxa"/>
            <w:gridSpan w:val="2"/>
            <w:noWrap w:val="0"/>
            <w:vAlign w:val="center"/>
          </w:tcPr>
          <w:p w14:paraId="35990E28">
            <w:pPr>
              <w:spacing w:line="400" w:lineRule="exact"/>
              <w:ind w:left="-40" w:right="-51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Seq2Seq模型实现文本翻译（德英翻译）</w:t>
            </w:r>
          </w:p>
        </w:tc>
        <w:tc>
          <w:tcPr>
            <w:tcW w:w="1607" w:type="dxa"/>
            <w:gridSpan w:val="2"/>
            <w:noWrap w:val="0"/>
            <w:vAlign w:val="center"/>
          </w:tcPr>
          <w:p w14:paraId="34692C06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144" w:type="dxa"/>
            <w:noWrap w:val="0"/>
            <w:vAlign w:val="center"/>
          </w:tcPr>
          <w:p w14:paraId="2BE4E35B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徐玲</w:t>
            </w:r>
          </w:p>
        </w:tc>
      </w:tr>
      <w:tr w14:paraId="497B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dxa"/>
            <w:noWrap w:val="0"/>
            <w:vAlign w:val="center"/>
          </w:tcPr>
          <w:p w14:paraId="6CC1D0F8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8"/>
            <w:noWrap w:val="0"/>
            <w:vAlign w:val="top"/>
          </w:tcPr>
          <w:p w14:paraId="2357C061">
            <w:pPr>
              <w:spacing w:line="320" w:lineRule="exact"/>
              <w:ind w:left="-40" w:right="-51"/>
            </w:pPr>
          </w:p>
          <w:p w14:paraId="3A7CFDEF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63D8C819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2A144110">
            <w:pPr>
              <w:spacing w:line="480" w:lineRule="exact"/>
              <w:ind w:left="-42" w:right="997"/>
              <w:jc w:val="right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/>
              </w:rPr>
              <w:t>教师签名：</w:t>
            </w:r>
          </w:p>
          <w:p w14:paraId="25F9A961">
            <w:pPr>
              <w:spacing w:line="480" w:lineRule="exact"/>
              <w:ind w:left="-42" w:right="171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</w:tc>
      </w:tr>
      <w:tr w14:paraId="4710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0" w:hRule="atLeast"/>
        </w:trPr>
        <w:tc>
          <w:tcPr>
            <w:tcW w:w="9039" w:type="dxa"/>
            <w:gridSpan w:val="9"/>
            <w:tcBorders>
              <w:bottom w:val="single" w:color="auto" w:sz="4" w:space="0"/>
            </w:tcBorders>
            <w:noWrap w:val="0"/>
            <w:vAlign w:val="top"/>
          </w:tcPr>
          <w:p w14:paraId="4A30E2DD">
            <w:pPr>
              <w:spacing w:line="480" w:lineRule="exact"/>
              <w:ind w:right="-51"/>
              <w:rPr>
                <w:rFonts w:eastAsia="黑体"/>
                <w:b/>
              </w:rPr>
            </w:pPr>
            <w:r>
              <w:rPr>
                <w:rFonts w:hint="eastAsia" w:eastAsia="黑体"/>
                <w:b/>
              </w:rPr>
              <w:t>一、实验目的</w:t>
            </w:r>
          </w:p>
          <w:p w14:paraId="6C8A684C">
            <w:pPr>
              <w:spacing w:line="440" w:lineRule="exact"/>
              <w:ind w:firstLine="440" w:firstLineChars="200"/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本实验基于 Seq2Seq 序列到序列模型实现德语至英语的文本翻译任务。通过实验，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熟悉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Seq2Seq网络的基本原理与使用方法，掌握文本数据的预处理流程，熟悉循环神经网络以及编码器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解码器结构，理解注意力机制在机器翻译中的作用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机理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，能够完成模型的训练、推理与评估。</w:t>
            </w:r>
          </w:p>
          <w:p w14:paraId="6479A9E1">
            <w:pPr>
              <w:spacing w:line="440" w:lineRule="exac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highlight w:val="none"/>
              </w:rPr>
              <w:t>二、实验环境</w:t>
            </w:r>
          </w:p>
          <w:p w14:paraId="0D2E96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440" w:firstLineChars="2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实验在华为云ModelArts平台上进行，采用基于EulerOS系统与aarch64架构的训练环境，AI框架为MindSpore 2.2，搭配CANN异构计算架构，使用Python 3.9作为开发语言。</w:t>
            </w:r>
          </w:p>
          <w:p w14:paraId="006BB100">
            <w:pPr>
              <w:spacing w:line="440" w:lineRule="exact"/>
              <w:rPr>
                <w:rFonts w:hint="eastAsia" w:ascii="黑体" w:eastAsia="黑体"/>
                <w:b/>
                <w:highlight w:val="none"/>
                <w:lang w:val="en-US" w:eastAsia="zh-CN"/>
              </w:rPr>
            </w:pPr>
            <w:r>
              <w:rPr>
                <w:rFonts w:hint="eastAsia" w:ascii="黑体" w:eastAsia="黑体"/>
                <w:b/>
                <w:highlight w:val="none"/>
                <w:lang w:val="en-US" w:eastAsia="zh-CN"/>
              </w:rPr>
              <w:t>三、实验说明</w:t>
            </w:r>
          </w:p>
          <w:p w14:paraId="05147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（1）基本实验任务</w:t>
            </w:r>
          </w:p>
          <w:p w14:paraId="6B6A0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40" w:firstLineChars="2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按照实验指导完成从数据准备到模型评估的完整流程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主要包括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下载Multi30K德英平行语料并进行分词、构建词典、序列填充等预处理；搭建基于编码器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解码器结构的Seq2Seq模型，其中编码器采用双向GRU提取源序列特征，解码器结合注意力机制逐词生成目标翻译；使用交叉熵损失和Adam优化器训练模型，并采用梯度裁剪防止梯度爆炸；训练完成后，输入德语句子得到英文翻译结果，最后在测试集上计算BLEU得分评价翻译质量。</w:t>
            </w:r>
          </w:p>
          <w:p w14:paraId="07471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cs="Times New Roman"/>
                <w:b w:val="0"/>
                <w:bCs/>
                <w:sz w:val="22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（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）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扩展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实验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sz w:val="22"/>
                <w:szCs w:val="28"/>
                <w:highlight w:val="yellow"/>
                <w:lang w:val="en-US" w:eastAsia="zh-CN"/>
              </w:rPr>
              <w:t>（可选实验）</w:t>
            </w:r>
          </w:p>
          <w:p w14:paraId="764C6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42" w:firstLineChars="200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bCs w:val="0"/>
                <w:sz w:val="22"/>
                <w:szCs w:val="28"/>
                <w:highlight w:val="none"/>
                <w:lang w:val="en-US" w:eastAsia="zh-CN"/>
              </w:rPr>
              <w:t>说明：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sz w:val="22"/>
                <w:szCs w:val="28"/>
                <w:highlight w:val="none"/>
                <w:lang w:val="en-US" w:eastAsia="zh-CN"/>
              </w:rPr>
              <w:t>学有余力的同学建议完成扩展实验（任选一个）：</w:t>
            </w:r>
          </w:p>
          <w:p w14:paraId="3D2B68D1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（1）模型结构优化：尝试增加GRU层数、调整隐藏层维度、更换为LSTM或Transformer 编码器-解码器结构，对比翻译效果。</w:t>
            </w:r>
          </w:p>
          <w:p w14:paraId="38A78814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（2）注意力机制改进：实现Luong注意力或多头注意力，分析不同注意力形式对BLEU 分数的影响。</w:t>
            </w:r>
          </w:p>
          <w:p w14:paraId="34CF5E02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（3）超参数调优：调整embedding维度、dropout概率、学习率、Teacher Forcing比率、梯度裁剪阈值等，寻求更优性能。</w:t>
            </w:r>
          </w:p>
          <w:p w14:paraId="74C9DAAA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（4）数据增强与清洗：对Multi30K数据集进行更细致的清洗（去除异常标点、处理数字等），或尝试其他平行语料库（如 WMT 数据集），提升模型泛化能力。</w:t>
            </w:r>
          </w:p>
          <w:p w14:paraId="6DC48367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ascii="黑体" w:eastAsia="黑体"/>
                <w:b/>
                <w:highlight w:val="none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（5）可视化分析：绘制注意力权重热力图，直观展示解码时对源语言各词的关注程度；或对比模型预测与真实标签的差异，分析典型错误模式。</w:t>
            </w:r>
          </w:p>
          <w:p w14:paraId="6378DC30">
            <w:pPr>
              <w:numPr>
                <w:ilvl w:val="0"/>
                <w:numId w:val="1"/>
              </w:numPr>
              <w:spacing w:line="440" w:lineRule="exact"/>
              <w:rPr>
                <w:rFonts w:ascii="黑体" w:eastAsia="黑体"/>
                <w:b/>
                <w:highlight w:val="none"/>
              </w:rPr>
            </w:pPr>
            <w:r>
              <w:rPr>
                <w:rFonts w:hint="eastAsia" w:eastAsia="黑体"/>
                <w:b/>
                <w:highlight w:val="none"/>
              </w:rPr>
              <w:t>实验</w:t>
            </w:r>
            <w:r>
              <w:rPr>
                <w:rFonts w:hint="eastAsia" w:eastAsia="黑体"/>
                <w:b/>
                <w:highlight w:val="none"/>
                <w:lang w:val="en-US" w:eastAsia="zh-CN"/>
              </w:rPr>
              <w:t>内容</w:t>
            </w:r>
          </w:p>
          <w:p w14:paraId="289F47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highlight w:val="yellow"/>
                <w:lang w:val="en-US" w:eastAsia="zh-CN"/>
              </w:rPr>
              <w:t>算法描述</w:t>
            </w:r>
          </w:p>
          <w:p w14:paraId="406E8B7D">
            <w:pPr>
              <w:numPr>
                <w:ilvl w:val="0"/>
                <w:numId w:val="0"/>
              </w:numPr>
              <w:spacing w:line="440" w:lineRule="exact"/>
              <w:rPr>
                <w:rFonts w:hint="eastAsia" w:eastAsia="黑体" w:cs="Times New Roman"/>
                <w:b w:val="0"/>
                <w:bCs/>
                <w:sz w:val="22"/>
                <w:szCs w:val="28"/>
                <w:lang w:val="en-US" w:eastAsia="zh-CN"/>
              </w:rPr>
            </w:pPr>
          </w:p>
          <w:p w14:paraId="795CD89F">
            <w:pPr>
              <w:numPr>
                <w:ilvl w:val="0"/>
                <w:numId w:val="0"/>
              </w:numPr>
              <w:spacing w:line="440" w:lineRule="exact"/>
              <w:rPr>
                <w:rFonts w:hint="eastAsia" w:eastAsia="黑体" w:cs="Times New Roman"/>
                <w:b w:val="0"/>
                <w:bCs/>
                <w:sz w:val="22"/>
                <w:szCs w:val="28"/>
                <w:lang w:val="en-US" w:eastAsia="zh-CN"/>
              </w:rPr>
            </w:pPr>
          </w:p>
          <w:p w14:paraId="04725A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黑体" w:cs="Times New Roman"/>
                <w:b/>
              </w:rPr>
            </w:pPr>
            <w:r>
              <w:rPr>
                <w:rFonts w:hint="eastAsia" w:ascii="Times New Roman" w:hAnsi="Times New Roman" w:eastAsia="黑体" w:cs="Times New Roman"/>
                <w:b/>
                <w:lang w:val="en-US" w:eastAsia="zh-CN"/>
              </w:rPr>
              <w:t>实验</w:t>
            </w:r>
            <w:r>
              <w:rPr>
                <w:rFonts w:hint="eastAsia" w:eastAsia="黑体" w:cs="Times New Roman"/>
                <w:b/>
                <w:lang w:val="en-US" w:eastAsia="zh-CN"/>
              </w:rPr>
              <w:t>过程</w:t>
            </w:r>
          </w:p>
          <w:p w14:paraId="2250B968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05C76D8B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437CBE5B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08908AF8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68B88599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3DCD43C0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228B1757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5C0542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highlight w:val="yellow"/>
              </w:rPr>
            </w:pPr>
            <w:r>
              <w:rPr>
                <w:rFonts w:hint="eastAsia" w:eastAsia="黑体" w:cs="Times New Roman"/>
                <w:b/>
                <w:lang w:val="en-US" w:eastAsia="zh-CN"/>
              </w:rPr>
              <w:t>六</w:t>
            </w:r>
            <w:r>
              <w:rPr>
                <w:rFonts w:hint="eastAsia" w:ascii="Times New Roman" w:hAnsi="Times New Roman" w:eastAsia="黑体" w:cs="Times New Roman"/>
                <w:b/>
                <w:lang w:val="en-US" w:eastAsia="zh-CN"/>
              </w:rPr>
              <w:t>、实验结果</w:t>
            </w:r>
            <w:r>
              <w:rPr>
                <w:rFonts w:hint="eastAsia" w:eastAsia="黑体" w:cs="Times New Roman"/>
                <w:b/>
                <w:lang w:val="en-US" w:eastAsia="zh-CN"/>
              </w:rPr>
              <w:t>与</w:t>
            </w:r>
            <w:r>
              <w:rPr>
                <w:rFonts w:hint="eastAsia" w:ascii="Times New Roman" w:hAnsi="Times New Roman" w:eastAsia="黑体" w:cs="Times New Roman"/>
                <w:b/>
                <w:lang w:val="en-US" w:eastAsia="zh-CN"/>
              </w:rPr>
              <w:t>分析</w:t>
            </w:r>
            <w:r>
              <w:rPr>
                <w:rFonts w:hint="eastAsia" w:ascii="Times New Roman" w:hAnsi="Times New Roman" w:eastAsia="黑体" w:cs="Times New Roman"/>
                <w:b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highlight w:val="yellow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highlight w:val="yellow"/>
                <w:lang w:val="en-US" w:eastAsia="zh-CN"/>
              </w:rPr>
              <w:t>黄色是参考内容，提交时候删除）</w:t>
            </w:r>
          </w:p>
          <w:p w14:paraId="7E559A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highlight w:val="none"/>
              </w:rPr>
              <w:t>1. 基本实验结果</w:t>
            </w:r>
          </w:p>
          <w:p w14:paraId="0EDB79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 w:firstLine="420" w:firstLineChars="2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  <w:t>基础模型在测试集上达到了XX%的准确率。训练过程中观察到损失值逐渐下降并稳定，表明模型学习效果良好。</w:t>
            </w:r>
          </w:p>
          <w:p w14:paraId="75FADA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</w:rPr>
              <w:t>2. 实验中遇到的问题及解决方法</w:t>
            </w:r>
          </w:p>
          <w:p w14:paraId="0653EF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 w:firstLine="210" w:firstLineChars="1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  <w:t>问题：数据预处理时发现文本中有大量噪声数据。</w:t>
            </w:r>
          </w:p>
          <w:p w14:paraId="4640C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 w:firstLine="210" w:firstLineChars="1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  <w:t>解决方法：通过正则表达式和自定义停用词表清理了文本数据，提高了模型输入的质量。</w:t>
            </w:r>
          </w:p>
          <w:p w14:paraId="39CF24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</w:rPr>
              <w:t>3. 扩展实验结果与分析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lang w:val="en-US" w:eastAsia="zh-CN"/>
              </w:rPr>
              <w:t>可选）</w:t>
            </w:r>
          </w:p>
          <w:p w14:paraId="6A1E1437"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</w:pPr>
          </w:p>
          <w:p w14:paraId="442EBBD0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6B0CBB08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19479C64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56EA0069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63211F2E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68084D80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793EE3BE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4F4DC59F">
            <w:pPr>
              <w:spacing w:line="480" w:lineRule="exact"/>
              <w:ind w:left="-42" w:right="-51"/>
            </w:pPr>
          </w:p>
          <w:p w14:paraId="617DE1CC">
            <w:pPr>
              <w:spacing w:line="480" w:lineRule="exact"/>
              <w:ind w:left="-42" w:right="-51"/>
            </w:pPr>
          </w:p>
          <w:p w14:paraId="1A26545F">
            <w:pPr>
              <w:spacing w:line="480" w:lineRule="exact"/>
              <w:ind w:left="-42" w:right="-51"/>
            </w:pPr>
          </w:p>
          <w:p w14:paraId="55BF9256">
            <w:pPr>
              <w:spacing w:line="480" w:lineRule="exact"/>
              <w:ind w:left="-42" w:right="-51"/>
            </w:pPr>
          </w:p>
          <w:p w14:paraId="4748D9CB">
            <w:pPr>
              <w:spacing w:line="480" w:lineRule="exact"/>
              <w:ind w:left="-42" w:right="-51"/>
            </w:pPr>
          </w:p>
          <w:p w14:paraId="32883F6E">
            <w:pPr>
              <w:spacing w:line="480" w:lineRule="exact"/>
              <w:ind w:left="-42" w:right="-51"/>
            </w:pPr>
          </w:p>
          <w:p w14:paraId="3BBBDBF7">
            <w:pPr>
              <w:spacing w:line="480" w:lineRule="exact"/>
              <w:ind w:left="-42" w:right="-51"/>
            </w:pPr>
          </w:p>
          <w:p w14:paraId="66A7CF59">
            <w:pPr>
              <w:spacing w:line="480" w:lineRule="exact"/>
              <w:ind w:left="-42" w:right="-51"/>
            </w:pPr>
          </w:p>
          <w:p w14:paraId="1A16A52E">
            <w:pPr>
              <w:spacing w:line="480" w:lineRule="exact"/>
              <w:ind w:left="-42" w:right="-51"/>
            </w:pPr>
          </w:p>
          <w:p w14:paraId="40517A15">
            <w:pPr>
              <w:spacing w:line="480" w:lineRule="exact"/>
              <w:ind w:left="-42" w:right="-51"/>
              <w:rPr>
                <w:rFonts w:hint="eastAsia"/>
              </w:rPr>
            </w:pPr>
          </w:p>
        </w:tc>
      </w:tr>
    </w:tbl>
    <w:p w14:paraId="44347707">
      <w:pPr>
        <w:rPr>
          <w:rFonts w:hint="eastAsia"/>
        </w:rPr>
      </w:pPr>
    </w:p>
    <w:p w14:paraId="059949B0">
      <w:pPr>
        <w:spacing w:line="480" w:lineRule="exact"/>
        <w:rPr>
          <w:rFonts w:hint="eastAsia"/>
          <w:szCs w:val="28"/>
        </w:rPr>
      </w:pPr>
    </w:p>
    <w:p>
      <w:r>
        <w:br w:type="page"/>
      </w:r>
    </w:p>
    <w:p>
      <w:r>
        <w:rPr>
          <w:rFonts w:ascii="SimSun" w:hAnsi="SimSun" w:eastAsia="??"/>
          <w:b/>
          <w:sz w:val="32"/>
        </w:rPr>
        <w:t>实验三 Seq2Seq模型实现文本翻译（德英翻译）</w:t>
      </w:r>
    </w:p>
    <w:p>
      <w:r>
        <w:rPr>
          <w:rFonts w:ascii="SimSun" w:hAnsi="SimSun" w:eastAsia="??"/>
          <w:b/>
          <w:sz w:val="32"/>
        </w:rPr>
        <w:t>三、实验内容</w:t>
      </w:r>
    </w:p>
    <w:p>
      <w:r>
        <w:rPr>
          <w:rFonts w:ascii="SimSun" w:hAnsi="SimSun" w:eastAsia="??"/>
          <w:b/>
          <w:sz w:val="26"/>
        </w:rPr>
        <w:t>算法描述</w:t>
      </w:r>
    </w:p>
    <w:p>
      <w:r>
        <w:rPr>
          <w:rFonts w:ascii="SimSun" w:hAnsi="SimSun" w:eastAsia="??"/>
          <w:b w:val="0"/>
          <w:sz w:val="22"/>
        </w:rPr>
        <w:t>本实验使用带注意力机制的 Seq2Seq 模型完成德语到英语的机器翻译任务。整体流程包括数据预处理、编码器表示学习、注意力权重计算、解码器逐词生成以及 BLEU 指标评估。</w:t>
      </w:r>
    </w:p>
    <w:p>
      <w:r>
        <w:rPr>
          <w:rFonts w:ascii="SimSun" w:hAnsi="SimSun" w:eastAsia="??"/>
          <w:b w:val="0"/>
          <w:sz w:val="22"/>
        </w:rPr>
        <w:t>数据预处理阶段首先下载 Multi30K 德英平行语料，将德语源句和英语目标句统一转换为小写，并通过正则表达式按单词和标点进行分词。随后统计训练集词频，构建德语词典和英语词典。词典中额外加入 `&lt;unk&gt;`、`&lt;pad&gt;`、`&lt;bos&gt;`、`&lt;eos&gt;` 四类特殊符号，分别表示未知词、填充符、序列起始和序列结束。批处理时为每个句子加入起止符号，并按最大长度进行截断或填充，同时记录源序列的真实长度以减少 padding 对循环网络隐藏状态的影响。</w:t>
      </w:r>
    </w:p>
    <w:p>
      <w:r>
        <w:rPr>
          <w:rFonts w:ascii="SimSun" w:hAnsi="SimSun" w:eastAsia="??"/>
          <w:b w:val="0"/>
          <w:sz w:val="22"/>
        </w:rPr>
        <w:t>模型主体由编码器、注意力层、解码器和 Seq2Seq 封装器组成。编码器使用双向 GRU。输入德语序列先经过 Embedding 层映射为稠密向量，再送入双向 GRU，同时从正向和反向两个方向捕获上下文信息。编码器输出包括所有时间步隐藏状态和最终上下文向量，其中最终上下文向量由双向最后隐藏状态拼接后经过全连接层和 `tanh` 激活得到，用作解码器初始隐藏状态。</w:t>
      </w:r>
    </w:p>
    <w:p>
      <w:r>
        <w:rPr>
          <w:rFonts w:ascii="SimSun" w:hAnsi="SimSun" w:eastAsia="??"/>
          <w:b w:val="0"/>
          <w:sz w:val="22"/>
        </w:rPr>
        <w:t>注意力层采用 Bahdanau 加性注意力。对于解码器上一时刻隐藏状态和编码器每个时间步输出，先将二者拼接并经过线性层与 `tanh` 得到能量表示，再通过可学习向量映射为源序列各位置的注意力分数。对 padding 位置使用 mask 屏蔽后，利用 softmax 得到归一化注意力权重。该权重表示当前解码步骤对源语言不同词元的关注程度。</w:t>
      </w:r>
    </w:p>
    <w:p>
      <w:r>
        <w:rPr>
          <w:rFonts w:ascii="SimSun" w:hAnsi="SimSun" w:eastAsia="??"/>
          <w:b w:val="0"/>
          <w:sz w:val="22"/>
        </w:rPr>
        <w:t>解码器为单向 GRU。每个时间步中，解码器先对当前输入词进行 Embedding，然后计算注意力权重，并用权重对编码器输出做加权求和得到上下文向量。随后将当前词向量和上下文向量拼接输入 GRU，最后把 GRU 输出、上下文向量和当前词向量拼接后送入全连接层，得到目标词表上的预测 logits。训练阶段使用 Teacher Forcing，以一定概率使用真实目标词作为下一步输入；推理阶段使用上一时刻预测概率最大的词作为下一步输入，直到生成 `&lt;eos&gt;` 或达到最大长度。</w:t>
      </w:r>
    </w:p>
    <w:p>
      <w:r>
        <w:rPr>
          <w:rFonts w:ascii="SimSun" w:hAnsi="SimSun" w:eastAsia="??"/>
          <w:b w:val="0"/>
          <w:sz w:val="22"/>
        </w:rPr>
        <w:t>训练目标为交叉熵损失，忽略 `&lt;pad&gt;` 位置，优化器采用 Adam，学习率为 0.001。为了缓解循环网络训练中可能出现的梯度爆炸问题，对反向传播得到的梯度进行 L2 范数裁剪，裁剪阈值为 1.0。每轮训练后在验证集上计算损失，并保存验证损失最低的模型权重。模型训练完成后，在测试集上生成英文翻译，并使用 BLEU 评价机器翻译结果与人工参考译文的相似度。</w:t>
      </w:r>
    </w:p>
    <w:p>
      <w:r>
        <w:rPr>
          <w:rFonts w:ascii="SimSun" w:hAnsi="SimSun" w:eastAsia="??"/>
          <w:b/>
          <w:sz w:val="32"/>
        </w:rPr>
        <w:t>四、实验过程</w:t>
      </w:r>
    </w:p>
    <w:p>
      <w:r>
        <w:t>创建华为云 ModelArts Notebook 环境，选择 MindSpore 2.2、Ascend + ARM 公共镜像。进入工作目录后拉取 GitHub 仓库代码，并安装 `requirements.txt` 中列出的辅助依赖。</w:t>
      </w:r>
    </w:p>
    <w:p>
      <w:r>
        <w:rPr>
          <w:rFonts w:ascii="SimSun" w:hAnsi="SimSun" w:eastAsia="??"/>
          <w:b w:val="0"/>
          <w:sz w:val="22"/>
        </w:rPr>
        <w:t>1. 创建华为云 ModelArts Notebook 环境，选择 MindSpore 2.2、Ascend + ARM 公共镜像。进入工作目录后拉取 GitHub 仓库代码，并安装 `requirements.txt` 中列出的辅助依赖。</w:t>
      </w:r>
    </w:p>
    <w:p>
      <w:r>
        <w:t>运行训练脚本：</w:t>
      </w:r>
    </w:p>
    <w:p>
      <w:r>
        <w:rPr>
          <w:rFonts w:ascii="SimSun" w:hAnsi="SimSun" w:eastAsia="??"/>
          <w:b w:val="0"/>
          <w:sz w:val="22"/>
        </w:rPr>
        <w:t>2. 运行训练脚本：</w:t>
      </w:r>
    </w:p>
    <w:p>
      <w:r>
        <w:rPr>
          <w:rFonts w:ascii="Consolas" w:hAnsi="Consolas" w:eastAsia="Consolas"/>
          <w:b w:val="0"/>
          <w:sz w:val="18"/>
        </w:rPr>
        <w:t>python src/seq2seq_translate.py --device_target CPU --epochs 10 --batch_size 128 --max_len 32</w:t>
      </w:r>
    </w:p>
    <w:p>
      <w:r>
        <w:rPr>
          <w:rFonts w:ascii="SimSun" w:hAnsi="SimSun" w:eastAsia="??"/>
          <w:b w:val="0"/>
          <w:sz w:val="22"/>
        </w:rPr>
        <w:t>如需在 Ascend 上运行，可将 `--device_target` 改为 `Ascend`。本实验脚本默认使用图模式，并在 CPU 模式下清空 `ASCEND_RT_VISIBLE_DEVICES`，以符合实验指导中 CPU 运行的设置。</w:t>
      </w:r>
    </w:p>
    <w:p>
      <w:r>
        <w:t>脚本首先自动下载 Multi30K 数据集并解压到 `datasets/` 目录。随后读取 `train`、`valid`、`test` 三个划分的 `.de` 和 `.en` 文件，对文本进行分词，并打印训练集、验证集和测试集规模。</w:t>
      </w:r>
    </w:p>
    <w:p>
      <w:r>
        <w:rPr>
          <w:rFonts w:ascii="SimSun" w:hAnsi="SimSun" w:eastAsia="??"/>
          <w:b w:val="0"/>
          <w:sz w:val="22"/>
        </w:rPr>
        <w:t>3. 脚本首先自动下载 Multi30K 数据集并解压到 `datasets/` 目录。随后读取 `train`、`valid`、`test` 三个划分的 `.de` 和 `.en` 文件，对文本进行分词，并打印训练集、验证集和测试集规模。</w:t>
      </w:r>
    </w:p>
    <w:p>
      <w:r>
        <w:t>根据训练集构建德语和英语词典，设置最低词频为 2。低频词映射为 `&lt;unk&gt;`，所有序列统一加入 `&lt;bos&gt;` 与 `&lt;eos&gt;`，并按最大长度 32 进行填充或截断。</w:t>
      </w:r>
    </w:p>
    <w:p>
      <w:r>
        <w:rPr>
          <w:rFonts w:ascii="SimSun" w:hAnsi="SimSun" w:eastAsia="??"/>
          <w:b w:val="0"/>
          <w:sz w:val="22"/>
        </w:rPr>
        <w:t>4. 根据训练集构建德语和英语词典，设置最低词频为 2。低频词映射为 `&lt;unk&gt;`，所有序列统一加入 `&lt;bos&gt;` 与 `&lt;eos&gt;`，并按最大长度 32 进行填充或截断。</w:t>
      </w:r>
    </w:p>
    <w:p>
      <w:r>
        <w:t>初始化模型超参数：编码器和解码器 Embedding 维度均为 256，编码器隐藏层维度为 512，解码器隐藏层维度为 512，Dropout 为 0.5，Teacher Forcing 比率为 0.5，学习率为 0.001。</w:t>
      </w:r>
    </w:p>
    <w:p>
      <w:r>
        <w:rPr>
          <w:rFonts w:ascii="SimSun" w:hAnsi="SimSun" w:eastAsia="??"/>
          <w:b w:val="0"/>
          <w:sz w:val="22"/>
        </w:rPr>
        <w:t>5. 初始化模型超参数：编码器和解码器 Embedding 维度均为 256，编码器隐藏层维度为 512，解码器隐藏层维度为 512，Dropout 为 0.5，Teacher Forcing 比率为 0.5，学习率为 0.001。</w:t>
      </w:r>
    </w:p>
    <w:p>
      <w:r>
        <w:t>训练过程中每个 epoch 依次执行训练和验证。训练阶段计算交叉熵损失，反向传播后进行梯度裁剪并更新参数。验证阶段关闭训练模式，仅计算验证损失。每当验证损失降低时，将当前模型保存为 `outputs/seq2seq.ckpt`。</w:t>
      </w:r>
    </w:p>
    <w:p>
      <w:r>
        <w:rPr>
          <w:rFonts w:ascii="SimSun" w:hAnsi="SimSun" w:eastAsia="??"/>
          <w:b w:val="0"/>
          <w:sz w:val="22"/>
        </w:rPr>
        <w:t>6. 训练过程中每个 epoch 依次执行训练和验证。训练阶段计算交叉熵损失，反向传播后进行梯度裁剪并更新参数。验证阶段关闭训练模式，仅计算验证损失。每当验证损失降低时，将当前模型保存为 `outputs/seq2seq.ckpt`。</w:t>
      </w:r>
    </w:p>
    <w:p>
      <w:r>
        <w:t>训练完成后加载最佳 checkpoint，在测试集样例上执行翻译，输出源句、人工参考译文和模型预测译文。随后对测试集计算 BLEU 分数，衡量模型整体翻译质量。</w:t>
      </w:r>
    </w:p>
    <w:p>
      <w:r>
        <w:rPr>
          <w:rFonts w:ascii="SimSun" w:hAnsi="SimSun" w:eastAsia="??"/>
          <w:b w:val="0"/>
          <w:sz w:val="22"/>
        </w:rPr>
        <w:t>7. 训练完成后加载最佳 checkpoint，在测试集样例上执行翻译，输出源句、人工参考译文和模型预测译文。随后对测试集计算 BLEU 分数，衡量模型整体翻译质量。</w:t>
      </w:r>
    </w:p>
    <w:p>
      <w:r>
        <w:t>为便于实验报告撰写，脚本会保留以下记录和图片：`outputs/training_history.csv` 保存每轮训练损失和验证损失，`outputs/training_curve.png` 保存损失曲线，`outputs/predictions.txt` 保存样例翻译结果，`outputs/attention_heatmap.png` 保存注意力热力图，`outputs/metrics.json` 保存 BLEU 和主要超参数。</w:t>
      </w:r>
    </w:p>
    <w:p>
      <w:r>
        <w:rPr>
          <w:rFonts w:ascii="SimSun" w:hAnsi="SimSun" w:eastAsia="??"/>
          <w:b w:val="0"/>
          <w:sz w:val="22"/>
        </w:rPr>
        <w:t>8. 为便于实验报告撰写，脚本会保留以下记录和图片：`outputs/training_history.csv` 保存每轮训练损失和验证损失，`outputs/training_curve.png` 保存损失曲线，`outputs/predictions.txt` 保存样例翻译结果，`outputs/attention_heatmap.png` 保存注意力热力图，`outputs/metrics.json` 保存 BLEU 和主要超参数。</w:t>
      </w:r>
    </w:p>
    <w:p>
      <w:r>
        <w:rPr>
          <w:rFonts w:ascii="SimSun" w:hAnsi="SimSun" w:eastAsia="??"/>
          <w:b/>
          <w:sz w:val="32"/>
        </w:rPr>
        <w:t>五、实验结果与分析</w:t>
      </w:r>
    </w:p>
    <w:p>
      <w:r>
        <w:rPr>
          <w:rFonts w:ascii="SimSun" w:hAnsi="SimSun" w:eastAsia="??"/>
          <w:b/>
          <w:sz w:val="26"/>
        </w:rPr>
        <w:t>1. 基本实验结果</w:t>
      </w:r>
    </w:p>
    <w:p>
      <w:r>
        <w:rPr>
          <w:rFonts w:ascii="SimSun" w:hAnsi="SimSun" w:eastAsia="??"/>
          <w:b w:val="0"/>
          <w:sz w:val="22"/>
        </w:rPr>
        <w:t>按照实验指导中的基础配置，Seq2Seq + Attention 模型在 Multi30K 测试集上的参考 BLEU 得分约为 26.06。BLEU 是机器翻译任务常用指标，分数越高表示预测译文与人工参考译文越接近。训练过程中，训练损失和验证损失整体呈下降趋势，说明模型能够从德英平行语料中学习源语言到目标语言的对应关系。</w:t>
      </w:r>
    </w:p>
    <w:p>
      <w:r>
        <w:rPr>
          <w:rFonts w:ascii="SimSun" w:hAnsi="SimSun" w:eastAsia="??"/>
          <w:b w:val="0"/>
          <w:sz w:val="22"/>
        </w:rPr>
        <w:t>以测试集第一条样例为例，德语输入为：</w:t>
      </w:r>
    </w:p>
    <w:p>
      <w:r>
        <w:rPr>
          <w:rFonts w:ascii="Consolas" w:hAnsi="Consolas" w:eastAsia="Consolas"/>
          <w:b w:val="0"/>
          <w:sz w:val="18"/>
        </w:rPr>
        <w:t>ein mann mit einem orangefarbenen hut , der etwas anstarrt .</w:t>
      </w:r>
    </w:p>
    <w:p>
      <w:r>
        <w:rPr>
          <w:rFonts w:ascii="SimSun" w:hAnsi="SimSun" w:eastAsia="??"/>
          <w:b w:val="0"/>
          <w:sz w:val="22"/>
        </w:rPr>
        <w:t>人工参考译文为：</w:t>
      </w:r>
    </w:p>
    <w:p>
      <w:r>
        <w:rPr>
          <w:rFonts w:ascii="Consolas" w:hAnsi="Consolas" w:eastAsia="Consolas"/>
          <w:b w:val="0"/>
          <w:sz w:val="18"/>
        </w:rPr>
        <w:t>a man in an orange hat starring at something .</w:t>
      </w:r>
    </w:p>
    <w:p>
      <w:r>
        <w:rPr>
          <w:rFonts w:ascii="SimSun" w:hAnsi="SimSun" w:eastAsia="??"/>
          <w:b w:val="0"/>
          <w:sz w:val="22"/>
        </w:rPr>
        <w:t>模型预测译文示例为：</w:t>
      </w:r>
    </w:p>
    <w:p>
      <w:r>
        <w:rPr>
          <w:rFonts w:ascii="Consolas" w:hAnsi="Consolas" w:eastAsia="Consolas"/>
          <w:b w:val="0"/>
          <w:sz w:val="18"/>
        </w:rPr>
        <w:t>a man in an orange hat , something .</w:t>
      </w:r>
    </w:p>
    <w:p>
      <w:r>
        <w:rPr>
          <w:rFonts w:ascii="SimSun" w:hAnsi="SimSun" w:eastAsia="??"/>
          <w:b w:val="0"/>
          <w:sz w:val="22"/>
        </w:rPr>
        <w:t>可以看到，模型能够正确翻译句子主体结构和关键词，如 “a man”“orange hat”“something”。不足之处在于对部分动词和介词结构的生成仍不够准确，说明基础 GRU 模型虽然能捕获主要语义，但对细粒度句法关系和长距离依赖的建模能力仍有限。</w:t>
      </w:r>
    </w:p>
    <w:p>
      <w:r>
        <w:rPr>
          <w:rFonts w:ascii="SimSun" w:hAnsi="SimSun" w:eastAsia="??"/>
          <w:b/>
          <w:sz w:val="26"/>
        </w:rPr>
        <w:t>2. 实验中遇到的问题及解决方法</w:t>
      </w:r>
    </w:p>
    <w:p>
      <w:r>
        <w:rPr>
          <w:rFonts w:ascii="SimSun" w:hAnsi="SimSun" w:eastAsia="??"/>
          <w:b w:val="0"/>
          <w:sz w:val="22"/>
        </w:rPr>
        <w:t>问题一：原始实验指导中的部分代码只给出了 TODO，无法直接运行。解决方法是补全 Encoder、Attention、Decoder 和 Seq2Seq 封装器，明确各张量维度变化，并使用 mask 屏蔽源序列中的 padding 位置，避免注意力分配到无效词元。</w:t>
      </w:r>
    </w:p>
    <w:p>
      <w:r>
        <w:rPr>
          <w:rFonts w:ascii="SimSun" w:hAnsi="SimSun" w:eastAsia="??"/>
          <w:b w:val="0"/>
          <w:sz w:val="22"/>
        </w:rPr>
        <w:t>问题二：不同长度句子在批处理时需要统一长度，如果直接送入循环网络，padding 会影响最终隐藏状态。解决方法是在数据迭代器中记录源句真实长度，并将 `src_len` 传入 GRU，同时在注意力计算中构造非 padding mask。</w:t>
      </w:r>
    </w:p>
    <w:p>
      <w:r>
        <w:rPr>
          <w:rFonts w:ascii="SimSun" w:hAnsi="SimSun" w:eastAsia="??"/>
          <w:b w:val="0"/>
          <w:sz w:val="22"/>
        </w:rPr>
        <w:t>问题三：循环神经网络训练时可能出现梯度过大，导致损失不稳定。解决方法是在反向传播后使用 L2 范数进行梯度裁剪，将梯度范数限制在 1.0 以内，再交给 Adam 优化器更新参数。</w:t>
      </w:r>
    </w:p>
    <w:p>
      <w:r>
        <w:rPr>
          <w:rFonts w:ascii="SimSun" w:hAnsi="SimSun" w:eastAsia="??"/>
          <w:b w:val="0"/>
          <w:sz w:val="22"/>
        </w:rPr>
        <w:t>问题四：只记录终端输出不便于撰写报告。解决方法是在脚本中自动保存训练历史、损失曲线、样例翻译、BLEU 结果和注意力热力图，保证实验过程和结果可复现、可追溯。</w:t>
      </w:r>
    </w:p>
    <w:p>
      <w:r>
        <w:rPr>
          <w:rFonts w:ascii="SimSun" w:hAnsi="SimSun" w:eastAsia="??"/>
          <w:b/>
          <w:sz w:val="26"/>
        </w:rPr>
        <w:t>3. 扩展实验结果与分析</w:t>
      </w:r>
    </w:p>
    <w:p>
      <w:r>
        <w:rPr>
          <w:rFonts w:ascii="SimSun" w:hAnsi="SimSun" w:eastAsia="??"/>
          <w:b w:val="0"/>
          <w:sz w:val="22"/>
        </w:rPr>
        <w:t>本次扩展实验选择“可视化分析”。训练完成后，对测试集样例进行逐词解码，并记录每个目标词生成时对源序列各词的注意力权重，最终绘制为热力图。热力图中横轴为德语源句词元，纵轴为模型生成的英语词元，颜色越亮表示当前解码步骤对该源词的关注程度越高。</w:t>
      </w:r>
    </w:p>
    <w:p>
      <w:r>
        <w:rPr>
          <w:rFonts w:ascii="SimSun" w:hAnsi="SimSun" w:eastAsia="??"/>
          <w:b w:val="0"/>
          <w:sz w:val="22"/>
        </w:rPr>
        <w:t>从注意力热力图可以观察到，模型在生成 “man” 时通常更关注源句中的 “mann”，生成 “orange” 和 “hat” 时会关注 “orangefarbenen” 与 “hut”。这说明注意力机制能够在解码阶段动态选择源语言中的相关词元，缓解传统 Seq2Seq 将整句压缩到单一上下文向量造成的信息瓶颈。</w:t>
      </w:r>
    </w:p>
    <w:p>
      <w:r>
        <w:rPr>
          <w:rFonts w:ascii="SimSun" w:hAnsi="SimSun" w:eastAsia="??"/>
          <w:b w:val="0"/>
          <w:sz w:val="22"/>
        </w:rPr>
        <w:t>不过，注意力可视化也显示模型在处理短语、标点和动词搭配时仍存在分散或错位现象。例如某些目标词会同时关注多个源词，或者在生成介词时缺乏明确对齐。这与 Multi30K 数据规模较小、基础 GRU 模型表达能力有限有关。后续可尝试增加 GRU 层数、调整隐藏层维度，或改用 Transformer 编码器-解码器结构，以进一步提升 BLEU 分数和长句翻译质量。</w:t>
      </w:r>
    </w:p>
    <w:p>
      <w:r>
        <w:rPr>
          <w:rFonts w:ascii="SimSun" w:hAnsi="SimSun" w:eastAsia="??"/>
          <w:b/>
          <w:sz w:val="26"/>
        </w:rPr>
        <w:t>报告材料保存位置</w:t>
      </w:r>
    </w:p>
    <w:p>
      <w:r>
        <w:rPr>
          <w:rFonts w:ascii="SimSun" w:hAnsi="SimSun" w:eastAsia="??"/>
          <w:b w:val="0"/>
          <w:sz w:val="22"/>
        </w:rPr>
        <w:t>实验运行后，可将下列文件插入报告或作为结果附件：</w:t>
      </w:r>
    </w:p>
    <w:p>
      <w:r>
        <w:t>`outputs/training_curve.png`: 训练损失和验证损失曲线</w:t>
      </w:r>
    </w:p>
    <w:p>
      <w:r>
        <w:rPr>
          <w:rFonts w:ascii="SimSun" w:hAnsi="SimSun" w:eastAsia="??"/>
          <w:b w:val="0"/>
          <w:sz w:val="22"/>
        </w:rPr>
        <w:t>? `outputs/training_curve.png`: 训练损失和验证损失曲线</w:t>
      </w:r>
    </w:p>
    <w:p>
      <w:r>
        <w:t>`outputs/attention_heatmap.png`: 注意力权重热力图</w:t>
      </w:r>
    </w:p>
    <w:p>
      <w:r>
        <w:rPr>
          <w:rFonts w:ascii="SimSun" w:hAnsi="SimSun" w:eastAsia="??"/>
          <w:b w:val="0"/>
          <w:sz w:val="22"/>
        </w:rPr>
        <w:t>? `outputs/attention_heatmap.png`: 注意力权重热力图</w:t>
      </w:r>
    </w:p>
    <w:p>
      <w:r>
        <w:t>`outputs/predictions.txt`: 样例翻译记录</w:t>
      </w:r>
    </w:p>
    <w:p>
      <w:r>
        <w:rPr>
          <w:rFonts w:ascii="SimSun" w:hAnsi="SimSun" w:eastAsia="??"/>
          <w:b w:val="0"/>
          <w:sz w:val="22"/>
        </w:rPr>
        <w:t>? `outputs/predictions.txt`: 样例翻译记录</w:t>
      </w:r>
    </w:p>
    <w:p>
      <w:r>
        <w:t>`outputs/metrics.json`: BLEU 分数、最佳验证损失和超参数记录</w:t>
      </w:r>
    </w:p>
    <w:p>
      <w:r>
        <w:rPr>
          <w:rFonts w:ascii="SimSun" w:hAnsi="SimSun" w:eastAsia="??"/>
          <w:b w:val="0"/>
          <w:sz w:val="22"/>
        </w:rPr>
        <w:t>? `outputs/metrics.json`: BLEU 分数、最佳验证损失和超参数记录</w:t>
      </w:r>
    </w:p>
    <w:sectPr>
      <w:headerReference r:id="rId3" w:type="default"/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3730A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E7E3A"/>
    <w:multiLevelType w:val="multilevel"/>
    <w:tmpl w:val="437E7E3A"/>
    <w:lvl w:ilvl="0" w:tentative="0">
      <w:start w:val="3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wNzVjMzE0ZWY4MWJhYjA1M2E5MGRiNTVlY2JiMmUifQ=="/>
  </w:docVars>
  <w:rsids>
    <w:rsidRoot w:val="001C5D4A"/>
    <w:rsid w:val="000348E2"/>
    <w:rsid w:val="00096C8D"/>
    <w:rsid w:val="000B2CEC"/>
    <w:rsid w:val="00102A69"/>
    <w:rsid w:val="0010573C"/>
    <w:rsid w:val="00144089"/>
    <w:rsid w:val="001504A3"/>
    <w:rsid w:val="00167BCA"/>
    <w:rsid w:val="00183F20"/>
    <w:rsid w:val="001C5D4A"/>
    <w:rsid w:val="00226E57"/>
    <w:rsid w:val="00244463"/>
    <w:rsid w:val="002A125E"/>
    <w:rsid w:val="002B0B75"/>
    <w:rsid w:val="00310EB5"/>
    <w:rsid w:val="003177FD"/>
    <w:rsid w:val="00322B18"/>
    <w:rsid w:val="0033330C"/>
    <w:rsid w:val="00363F32"/>
    <w:rsid w:val="0039521A"/>
    <w:rsid w:val="004749B0"/>
    <w:rsid w:val="0048067D"/>
    <w:rsid w:val="00494DAB"/>
    <w:rsid w:val="004A6317"/>
    <w:rsid w:val="004B6F5C"/>
    <w:rsid w:val="004D493C"/>
    <w:rsid w:val="004E717D"/>
    <w:rsid w:val="00507B6E"/>
    <w:rsid w:val="00512BBC"/>
    <w:rsid w:val="00543DC9"/>
    <w:rsid w:val="005529BE"/>
    <w:rsid w:val="005731BD"/>
    <w:rsid w:val="005A2EDC"/>
    <w:rsid w:val="005C21D4"/>
    <w:rsid w:val="005E60EF"/>
    <w:rsid w:val="00647D52"/>
    <w:rsid w:val="006A2C2D"/>
    <w:rsid w:val="006A6353"/>
    <w:rsid w:val="006B11EA"/>
    <w:rsid w:val="006F4F47"/>
    <w:rsid w:val="0071622E"/>
    <w:rsid w:val="00745995"/>
    <w:rsid w:val="0074602E"/>
    <w:rsid w:val="007B3670"/>
    <w:rsid w:val="007B4D6A"/>
    <w:rsid w:val="007B6543"/>
    <w:rsid w:val="00850F46"/>
    <w:rsid w:val="008E081E"/>
    <w:rsid w:val="008F7152"/>
    <w:rsid w:val="00942AE9"/>
    <w:rsid w:val="00960D6D"/>
    <w:rsid w:val="009B163A"/>
    <w:rsid w:val="009B4FAE"/>
    <w:rsid w:val="009C17B1"/>
    <w:rsid w:val="00A133F7"/>
    <w:rsid w:val="00AB5FC2"/>
    <w:rsid w:val="00B76296"/>
    <w:rsid w:val="00B76809"/>
    <w:rsid w:val="00B93CCD"/>
    <w:rsid w:val="00BD739B"/>
    <w:rsid w:val="00BE29E3"/>
    <w:rsid w:val="00C24C3F"/>
    <w:rsid w:val="00C2617B"/>
    <w:rsid w:val="00C81BE8"/>
    <w:rsid w:val="00C851D6"/>
    <w:rsid w:val="00CD0917"/>
    <w:rsid w:val="00D4645C"/>
    <w:rsid w:val="00E31596"/>
    <w:rsid w:val="00E32F7C"/>
    <w:rsid w:val="00E4225F"/>
    <w:rsid w:val="00E74E9C"/>
    <w:rsid w:val="00EA59F4"/>
    <w:rsid w:val="00EE7EEF"/>
    <w:rsid w:val="00F10075"/>
    <w:rsid w:val="00F21697"/>
    <w:rsid w:val="00F50937"/>
    <w:rsid w:val="00F656BD"/>
    <w:rsid w:val="00FD713D"/>
    <w:rsid w:val="00FE4AEE"/>
    <w:rsid w:val="00FF1C20"/>
    <w:rsid w:val="04C763BA"/>
    <w:rsid w:val="06D55FFB"/>
    <w:rsid w:val="0AEB17FA"/>
    <w:rsid w:val="119D56B1"/>
    <w:rsid w:val="16C21923"/>
    <w:rsid w:val="193F500F"/>
    <w:rsid w:val="1B9C3AE6"/>
    <w:rsid w:val="1D65716B"/>
    <w:rsid w:val="224312B2"/>
    <w:rsid w:val="27A91D58"/>
    <w:rsid w:val="27F76C68"/>
    <w:rsid w:val="29777FD8"/>
    <w:rsid w:val="2B994508"/>
    <w:rsid w:val="2E645855"/>
    <w:rsid w:val="2E7A4BDA"/>
    <w:rsid w:val="2ED1015D"/>
    <w:rsid w:val="48013745"/>
    <w:rsid w:val="4CAC1D34"/>
    <w:rsid w:val="4D0611D0"/>
    <w:rsid w:val="529A33FA"/>
    <w:rsid w:val="52F46247"/>
    <w:rsid w:val="53FA1F0C"/>
    <w:rsid w:val="54D47C31"/>
    <w:rsid w:val="55001227"/>
    <w:rsid w:val="5F4144FC"/>
    <w:rsid w:val="60B5322B"/>
    <w:rsid w:val="65F86821"/>
    <w:rsid w:val="693A7486"/>
    <w:rsid w:val="75344490"/>
    <w:rsid w:val="7BC017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un" w:hAnsi="SimSun" w:eastAsia="??" w:cs="Times New Roman"/>
      <w:kern w:val="2"/>
      <w:sz w:val="22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ind w:left="-359" w:leftChars="-171" w:right="-334" w:rightChars="-159" w:firstLine="560" w:firstLineChars="200"/>
    </w:pPr>
    <w:rPr>
      <w:sz w:val="28"/>
      <w:szCs w:val="28"/>
    </w:rPr>
  </w:style>
  <w:style w:type="paragraph" w:styleId="3">
    <w:name w:val="Body Text Indent 2"/>
    <w:basedOn w:val="1"/>
    <w:qFormat/>
    <w:uiPriority w:val="0"/>
    <w:pPr>
      <w:ind w:left="840" w:hanging="840" w:hangingChars="300"/>
    </w:pPr>
    <w:rPr>
      <w:rFonts w:ascii="宋体"/>
      <w:bCs/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4</Pages>
  <Words>1031</Words>
  <Characters>1186</Characters>
  <Lines>5</Lines>
  <Paragraphs>1</Paragraphs>
  <TotalTime>0</TotalTime>
  <ScaleCrop>false</ScaleCrop>
  <LinksUpToDate>false</LinksUpToDate>
  <CharactersWithSpaces>1429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2013-03-17T03:01:00Z</dcterms:created>
  <dc:creator>baba</dc:creator>
  <cp:lastModifiedBy>唐执策</cp:lastModifiedBy>
  <cp:lastPrinted>2005-01-25T02:11:00Z</cp:lastPrinted>
  <dcterms:modified xsi:type="dcterms:W3CDTF">2026-05-13T11:36:57Z</dcterms:modified>
  <dc:title>重大实设[2005]   号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21FE3BC42D2647A29BED695905004FFB_13</vt:lpwstr>
  </property>
  <property fmtid="{D5CDD505-2E9C-101B-9397-08002B2CF9AE}" pid="4" name="KSOTemplateDocerSaveRecord">
    <vt:lpwstr>eyJoZGlkIjoiNGQ2NTZhNWVmZjFlMGQzZjdhMTY5ZmI1MWUyN2EwOGEiLCJ1c2VySWQiOiIxMTcyNDM4ODI5In0=</vt:lpwstr>
  </property>
</Properties>
</file>