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DTitle"/>
      </w:pPr>
      <w:r>
        <w:rPr>
          <w:rFonts w:ascii="Aptos Display" w:hAnsi="Aptos Display"/>
          <w:b/>
          <w:i w:val="0"/>
          <w:color w:val="16375C"/>
          <w:sz w:val="48"/>
        </w:rPr>
        <w:t>Exposure Scenario MCP</w:t>
      </w:r>
    </w:p>
    <w:p>
      <w:pPr>
        <w:spacing w:before="0" w:after="280" w:line="276" w:lineRule="auto"/>
      </w:pPr>
      <w:r>
        <w:rPr>
          <w:rFonts w:ascii="Aptos" w:hAnsi="Aptos"/>
          <w:b w:val="0"/>
          <w:i w:val="0"/>
          <w:color w:val="5D6979"/>
          <w:sz w:val="24"/>
        </w:rPr>
        <w:t>Product Requirements Document</w:t>
      </w:r>
    </w:p>
    <w:tbl>
      <w:tblPr>
        <w:tblW w:type="auto" w:w="0"/>
        <w:jc w:val="center"/>
        <w:tblLook w:firstColumn="1" w:firstRow="1" w:lastColumn="0" w:lastRow="0" w:noHBand="0" w:noVBand="1" w:val="04A0"/>
      </w:tblPr>
      <w:tblGrid>
        <w:gridCol w:w="9648"/>
      </w:tblGrid>
      <w:tr>
        <w:tc>
          <w:tcPr>
            <w:tcW w:type="dxa" w:w="9216"/>
            <w:shd w:fill="EAF0F8"/>
            <w:vAlign w:val="center"/>
          </w:tcPr>
          <w:p>
            <w:pPr>
              <w:spacing w:before="80" w:after="80" w:line="259" w:lineRule="auto"/>
            </w:pPr>
            <w:r>
              <w:rPr>
                <w:rFonts w:ascii="Aptos" w:hAnsi="Aptos"/>
                <w:b/>
                <w:i w:val="0"/>
                <w:color w:val="16375C"/>
                <w:sz w:val="20"/>
              </w:rPr>
              <w:t xml:space="preserve">Role in suite: </w:t>
            </w:r>
            <w:r>
              <w:rPr>
                <w:rFonts w:ascii="Aptos" w:hAnsi="Aptos"/>
                <w:b w:val="0"/>
                <w:i w:val="0"/>
                <w:color w:val="282828"/>
                <w:sz w:val="20"/>
              </w:rPr>
              <w:t>Dedicated external-exposure construction and refinement engine for exposure-led NGRA workflows; downstream-consumable by ToxClaw and upstream of PBPK MCP.</w:t>
            </w:r>
          </w:p>
        </w:tc>
      </w:tr>
    </w:tbl>
    <w:p/>
    <w:tbl>
      <w:tblPr>
        <w:tblW w:type="auto" w:w="0"/>
        <w:jc w:val="left"/>
        <w:tblLook w:firstColumn="1" w:firstRow="1" w:lastColumn="0" w:lastRow="0" w:noHBand="0" w:noVBand="1" w:val="04A0"/>
      </w:tblPr>
      <w:tblGrid>
        <w:gridCol w:w="4824"/>
        <w:gridCol w:w="4824"/>
      </w:tblGrid>
      <w:tr>
        <w:tc>
          <w:tcPr>
            <w:tcW w:type="dxa" w:w="2592"/>
            <w:shd w:fill="F5F7FA"/>
            <w:vAlign w:val="center"/>
          </w:tcPr>
          <w:p>
            <w:pPr>
              <w:spacing w:before="20" w:after="20" w:line="252" w:lineRule="auto"/>
            </w:pPr>
            <w:r>
              <w:rPr>
                <w:rFonts w:ascii="Aptos" w:hAnsi="Aptos"/>
                <w:b/>
                <w:i w:val="0"/>
                <w:color w:val="1F4E79"/>
                <w:sz w:val="18"/>
              </w:rPr>
              <w:t>Document type</w:t>
            </w:r>
          </w:p>
        </w:tc>
        <w:tc>
          <w:tcPr>
            <w:tcW w:type="dxa" w:w="6623"/>
            <w:vAlign w:val="center"/>
          </w:tcPr>
          <w:p>
            <w:pPr>
              <w:spacing w:before="20" w:after="20" w:line="252" w:lineRule="auto"/>
            </w:pPr>
            <w:r>
              <w:rPr>
                <w:rFonts w:ascii="Aptos" w:hAnsi="Aptos"/>
                <w:b w:val="0"/>
                <w:i w:val="0"/>
                <w:color w:val="282828"/>
                <w:sz w:val="18"/>
              </w:rPr>
              <w:t>Product Requirements Document</w:t>
            </w:r>
          </w:p>
        </w:tc>
      </w:tr>
      <w:tr>
        <w:tc>
          <w:tcPr>
            <w:tcW w:type="dxa" w:w="2592"/>
            <w:shd w:fill="F5F7FA"/>
            <w:vAlign w:val="center"/>
          </w:tcPr>
          <w:p>
            <w:pPr>
              <w:spacing w:before="20" w:after="20" w:line="252" w:lineRule="auto"/>
            </w:pPr>
            <w:r>
              <w:rPr>
                <w:rFonts w:ascii="Aptos" w:hAnsi="Aptos"/>
                <w:b/>
                <w:i w:val="0"/>
                <w:color w:val="1F4E79"/>
                <w:sz w:val="18"/>
              </w:rPr>
              <w:t>Version</w:t>
            </w:r>
          </w:p>
        </w:tc>
        <w:tc>
          <w:tcPr>
            <w:tcW w:type="dxa" w:w="6623"/>
            <w:vAlign w:val="center"/>
          </w:tcPr>
          <w:p>
            <w:pPr>
              <w:spacing w:before="20" w:after="20" w:line="252" w:lineRule="auto"/>
            </w:pPr>
            <w:r>
              <w:rPr>
                <w:rFonts w:ascii="Aptos" w:hAnsi="Aptos"/>
                <w:b w:val="0"/>
                <w:i w:val="0"/>
                <w:color w:val="282828"/>
                <w:sz w:val="18"/>
              </w:rPr>
              <w:t>v1.0</w:t>
            </w:r>
          </w:p>
        </w:tc>
      </w:tr>
      <w:tr>
        <w:tc>
          <w:tcPr>
            <w:tcW w:type="dxa" w:w="2592"/>
            <w:shd w:fill="F5F7FA"/>
            <w:vAlign w:val="center"/>
          </w:tcPr>
          <w:p>
            <w:pPr>
              <w:spacing w:before="20" w:after="20" w:line="252" w:lineRule="auto"/>
            </w:pPr>
            <w:r>
              <w:rPr>
                <w:rFonts w:ascii="Aptos" w:hAnsi="Aptos"/>
                <w:b/>
                <w:i w:val="0"/>
                <w:color w:val="1F4E79"/>
                <w:sz w:val="18"/>
              </w:rPr>
              <w:t>Primary consumer</w:t>
            </w:r>
          </w:p>
        </w:tc>
        <w:tc>
          <w:tcPr>
            <w:tcW w:type="dxa" w:w="6623"/>
            <w:vAlign w:val="center"/>
          </w:tcPr>
          <w:p>
            <w:pPr>
              <w:spacing w:before="20" w:after="20" w:line="252" w:lineRule="auto"/>
            </w:pPr>
            <w:r>
              <w:rPr>
                <w:rFonts w:ascii="Aptos" w:hAnsi="Aptos"/>
                <w:b w:val="0"/>
                <w:i w:val="0"/>
                <w:color w:val="282828"/>
                <w:sz w:val="18"/>
              </w:rPr>
              <w:t>ToxClaw + ToxMCP module maintainers</w:t>
            </w:r>
          </w:p>
        </w:tc>
      </w:tr>
      <w:tr>
        <w:tc>
          <w:tcPr>
            <w:tcW w:type="dxa" w:w="2592"/>
            <w:shd w:fill="F5F7FA"/>
            <w:vAlign w:val="center"/>
          </w:tcPr>
          <w:p>
            <w:pPr>
              <w:spacing w:before="20" w:after="20" w:line="252" w:lineRule="auto"/>
            </w:pPr>
            <w:r>
              <w:rPr>
                <w:rFonts w:ascii="Aptos" w:hAnsi="Aptos"/>
                <w:b/>
                <w:i w:val="0"/>
                <w:color w:val="1F4E79"/>
                <w:sz w:val="18"/>
              </w:rPr>
              <w:t>Design stance</w:t>
            </w:r>
          </w:p>
        </w:tc>
        <w:tc>
          <w:tcPr>
            <w:tcW w:type="dxa" w:w="6623"/>
            <w:vAlign w:val="center"/>
          </w:tcPr>
          <w:p>
            <w:pPr>
              <w:spacing w:before="20" w:after="20" w:line="252" w:lineRule="auto"/>
            </w:pPr>
            <w:r>
              <w:rPr>
                <w:rFonts w:ascii="Aptos" w:hAnsi="Aptos"/>
                <w:b w:val="0"/>
                <w:i w:val="0"/>
                <w:color w:val="282828"/>
                <w:sz w:val="18"/>
              </w:rPr>
              <w:t>WoE-ready, auditable, MCP-native</w:t>
            </w:r>
          </w:p>
        </w:tc>
      </w:tr>
    </w:tbl>
    <w:p/>
    <w:p>
      <w:pPr>
        <w:pStyle w:val="SmallNote"/>
      </w:pPr>
      <w:r>
        <w:rPr>
          <w:rFonts w:ascii="Aptos" w:hAnsi="Aptos"/>
          <w:b w:val="0"/>
          <w:i w:val="0"/>
          <w:color w:val="5D6979"/>
          <w:sz w:val="18"/>
        </w:rPr>
        <w:t>Design basis: integrates the deep research studies, the current ToxMCP role map, and a WoE-centered ToxClaw architecture.</w:t>
      </w:r>
    </w:p>
    <w:p>
      <w:r>
        <w:br w:type="page"/>
      </w:r>
    </w:p>
    <w:p>
      <w:pPr>
        <w:pStyle w:val="Heading1"/>
      </w:pPr>
      <w:r>
        <w:t>1. Executive summary</w:t>
      </w:r>
    </w:p>
    <w:p>
      <w:pPr>
        <w:spacing w:before="0" w:after="160" w:line="276" w:lineRule="auto"/>
      </w:pPr>
      <w:r>
        <w:rPr>
          <w:rFonts w:ascii="Aptos" w:hAnsi="Aptos"/>
          <w:b w:val="0"/>
          <w:i w:val="0"/>
          <w:color w:val="282828"/>
          <w:sz w:val="21"/>
        </w:rPr>
        <w:t>Exposure Scenario MCP makes external exposure a first-class, auditable computation layer in the ToxMCP suite. It turns product-use assumptions into explicit route-specific scenario objects, supports deterministic screening and basic aggregate scenarios in v0.1, and exports PBPK-ready handoffs without taking over toxicokinetics or final decision logic.</w:t>
      </w:r>
    </w:p>
    <w:tbl>
      <w:tblPr>
        <w:tblW w:type="auto" w:w="0"/>
        <w:jc w:val="center"/>
        <w:tblLook w:firstColumn="1" w:firstRow="1" w:lastColumn="0" w:lastRow="0" w:noHBand="0" w:noVBand="1" w:val="04A0"/>
      </w:tblPr>
      <w:tblGrid>
        <w:gridCol w:w="9648"/>
      </w:tblGrid>
      <w:tr>
        <w:tc>
          <w:tcPr>
            <w:tcW w:type="dxa" w:w="9072"/>
            <w:shd w:fill="F3F7FC"/>
          </w:tcPr>
          <w:p>
            <w:pPr>
              <w:spacing w:before="40" w:after="20" w:line="252" w:lineRule="auto"/>
            </w:pPr>
            <w:r>
              <w:rPr>
                <w:rFonts w:ascii="Aptos" w:hAnsi="Aptos"/>
                <w:b/>
                <w:i w:val="0"/>
                <w:color w:val="16375C"/>
                <w:sz w:val="20"/>
              </w:rPr>
              <w:t>Non-negotiable v0.1 design choices</w:t>
            </w:r>
          </w:p>
          <w:p>
            <w:pPr>
              <w:spacing w:before="0" w:after="40" w:line="259" w:lineRule="auto"/>
            </w:pPr>
            <w:r>
              <w:rPr>
                <w:rFonts w:ascii="Aptos" w:hAnsi="Aptos"/>
                <w:b w:val="0"/>
                <w:i w:val="0"/>
                <w:color w:val="282828"/>
                <w:sz w:val="20"/>
              </w:rPr>
              <w:t>Keep the module external-dose only. Do not implement internal exposure, PBPK execution, BER, or WoE here. Favor deterministic screening and simple aggregate logic first; treat probabilistic population engines and occupational-scale models as later-stage capabilities.</w:t>
            </w:r>
          </w:p>
        </w:tc>
      </w:tr>
    </w:tbl>
    <w:p/>
    <w:tbl>
      <w:tblPr>
        <w:tblStyle w:val="TableGrid"/>
        <w:tblW w:type="auto" w:w="0"/>
        <w:jc w:val="center"/>
        <w:tblLook w:firstColumn="1" w:firstRow="1" w:lastColumn="0" w:lastRow="0" w:noHBand="0" w:noVBand="1" w:val="04A0"/>
      </w:tblPr>
      <w:tblGrid>
        <w:gridCol w:w="4824"/>
        <w:gridCol w:w="4824"/>
      </w:tblGrid>
      <w:tr>
        <w:tc>
          <w:tcPr>
            <w:tcW w:type="dxa" w:w="3888"/>
            <w:shd w:fill="D9E7F5"/>
            <w:vAlign w:val="center"/>
          </w:tcPr>
          <w:p>
            <w:pPr>
              <w:spacing w:before="40" w:after="40" w:line="252" w:lineRule="auto"/>
            </w:pPr>
            <w:r>
              <w:rPr>
                <w:rFonts w:ascii="Aptos" w:hAnsi="Aptos"/>
                <w:b/>
                <w:i w:val="0"/>
                <w:color w:val="16375C"/>
                <w:sz w:val="18"/>
              </w:rPr>
              <w:t>Research-backed directive</w:t>
            </w:r>
          </w:p>
        </w:tc>
        <w:tc>
          <w:tcPr>
            <w:tcW w:type="dxa" w:w="5184"/>
            <w:shd w:fill="D9E7F5"/>
            <w:vAlign w:val="center"/>
          </w:tcPr>
          <w:p>
            <w:pPr>
              <w:spacing w:before="40" w:after="40" w:line="252" w:lineRule="auto"/>
            </w:pPr>
            <w:r>
              <w:rPr>
                <w:rFonts w:ascii="Aptos" w:hAnsi="Aptos"/>
                <w:b/>
                <w:i w:val="0"/>
                <w:color w:val="16375C"/>
                <w:sz w:val="18"/>
              </w:rPr>
              <w:t>Decision in this PRD</w:t>
            </w:r>
          </w:p>
        </w:tc>
      </w:tr>
      <w:tr>
        <w:tc>
          <w:tcPr>
            <w:tcW w:type="dxa" w:w="3888"/>
            <w:vAlign w:val="center"/>
          </w:tcPr>
          <w:p>
            <w:pPr>
              <w:spacing w:before="40" w:after="40" w:line="257" w:lineRule="auto"/>
            </w:pPr>
            <w:r>
              <w:rPr>
                <w:rFonts w:ascii="Aptos" w:hAnsi="Aptos"/>
                <w:b w:val="0"/>
                <w:i w:val="0"/>
                <w:color w:val="282828"/>
                <w:sz w:val="18"/>
              </w:rPr>
              <w:t>Boundary bleed with PBPK MCP or ToxClaw is the largest architecture risk.</w:t>
            </w:r>
          </w:p>
        </w:tc>
        <w:tc>
          <w:tcPr>
            <w:tcW w:type="dxa" w:w="5184"/>
            <w:vAlign w:val="center"/>
          </w:tcPr>
          <w:p>
            <w:pPr>
              <w:spacing w:before="40" w:after="40" w:line="257" w:lineRule="auto"/>
            </w:pPr>
            <w:r>
              <w:rPr>
                <w:rFonts w:ascii="Aptos" w:hAnsi="Aptos"/>
                <w:b w:val="0"/>
                <w:i w:val="0"/>
                <w:color w:val="282828"/>
                <w:sz w:val="18"/>
              </w:rPr>
              <w:t>This module owns scenario parameterization and external dose estimation only; PBPK and WoE remain outside.</w:t>
            </w:r>
          </w:p>
        </w:tc>
      </w:tr>
      <w:tr>
        <w:tc>
          <w:tcPr>
            <w:tcW w:type="dxa" w:w="3888"/>
            <w:vAlign w:val="center"/>
          </w:tcPr>
          <w:p>
            <w:pPr>
              <w:spacing w:before="40" w:after="40" w:line="257" w:lineRule="auto"/>
            </w:pPr>
            <w:r>
              <w:rPr>
                <w:rFonts w:ascii="Aptos" w:hAnsi="Aptos"/>
                <w:b w:val="0"/>
                <w:i w:val="0"/>
                <w:color w:val="282828"/>
                <w:sz w:val="18"/>
              </w:rPr>
              <w:t>Probabilistic modeling can create false precision when data support is weak.</w:t>
            </w:r>
          </w:p>
        </w:tc>
        <w:tc>
          <w:tcPr>
            <w:tcW w:type="dxa" w:w="5184"/>
            <w:vAlign w:val="center"/>
          </w:tcPr>
          <w:p>
            <w:pPr>
              <w:spacing w:before="40" w:after="40" w:line="257" w:lineRule="auto"/>
            </w:pPr>
            <w:r>
              <w:rPr>
                <w:rFonts w:ascii="Aptos" w:hAnsi="Aptos"/>
                <w:b w:val="0"/>
                <w:i w:val="0"/>
                <w:color w:val="282828"/>
                <w:sz w:val="18"/>
              </w:rPr>
              <w:t>v0.1 is deterministic-first with optional distribution-ready contracts but no mandatory Monte Carlo core.</w:t>
            </w:r>
          </w:p>
        </w:tc>
      </w:tr>
      <w:tr>
        <w:tc>
          <w:tcPr>
            <w:tcW w:type="dxa" w:w="3888"/>
            <w:vAlign w:val="center"/>
          </w:tcPr>
          <w:p>
            <w:pPr>
              <w:spacing w:before="40" w:after="40" w:line="257" w:lineRule="auto"/>
            </w:pPr>
            <w:r>
              <w:rPr>
                <w:rFonts w:ascii="Aptos" w:hAnsi="Aptos"/>
                <w:b w:val="0"/>
                <w:i w:val="0"/>
                <w:color w:val="282828"/>
                <w:sz w:val="18"/>
              </w:rPr>
              <w:t>Exposure outputs must map cleanly to regulatory-style scenario records and remain auditable.</w:t>
            </w:r>
          </w:p>
        </w:tc>
        <w:tc>
          <w:tcPr>
            <w:tcW w:type="dxa" w:w="5184"/>
            <w:vAlign w:val="center"/>
          </w:tcPr>
          <w:p>
            <w:pPr>
              <w:spacing w:before="40" w:after="40" w:line="257" w:lineRule="auto"/>
            </w:pPr>
            <w:r>
              <w:rPr>
                <w:rFonts w:ascii="Aptos" w:hAnsi="Aptos"/>
                <w:b w:val="0"/>
                <w:i w:val="0"/>
                <w:color w:val="282828"/>
                <w:sz w:val="18"/>
              </w:rPr>
              <w:t>Schemas align to harmonized exposure semantics and explicit provenance/assumption records.</w:t>
            </w:r>
          </w:p>
        </w:tc>
      </w:tr>
      <w:tr>
        <w:tc>
          <w:tcPr>
            <w:tcW w:type="dxa" w:w="3888"/>
            <w:vAlign w:val="center"/>
          </w:tcPr>
          <w:p>
            <w:pPr>
              <w:spacing w:before="40" w:after="40" w:line="257" w:lineRule="auto"/>
            </w:pPr>
            <w:r>
              <w:rPr>
                <w:rFonts w:ascii="Aptos" w:hAnsi="Aptos"/>
                <w:b w:val="0"/>
                <w:i w:val="0"/>
                <w:color w:val="282828"/>
                <w:sz w:val="18"/>
              </w:rPr>
              <w:t>Heavy validation inside inner simulation loops will hurt future performance.</w:t>
            </w:r>
          </w:p>
        </w:tc>
        <w:tc>
          <w:tcPr>
            <w:tcW w:type="dxa" w:w="5184"/>
            <w:vAlign w:val="center"/>
          </w:tcPr>
          <w:p>
            <w:pPr>
              <w:spacing w:before="40" w:after="40" w:line="257" w:lineRule="auto"/>
            </w:pPr>
            <w:r>
              <w:rPr>
                <w:rFonts w:ascii="Aptos" w:hAnsi="Aptos"/>
                <w:b w:val="0"/>
                <w:i w:val="0"/>
                <w:color w:val="282828"/>
                <w:sz w:val="18"/>
              </w:rPr>
              <w:t>Boundary validation uses rich models; execution paths use optimized in-memory representations.</w:t>
            </w:r>
          </w:p>
        </w:tc>
      </w:tr>
    </w:tbl>
    <w:p/>
    <w:p>
      <w:pPr>
        <w:pStyle w:val="Heading1"/>
      </w:pPr>
      <w:r>
        <w:t>2. Role in the ToxMCP stack</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fill="D9E7F5"/>
            <w:vAlign w:val="center"/>
          </w:tcPr>
          <w:p>
            <w:pPr>
              <w:spacing w:before="40" w:after="40" w:line="252" w:lineRule="auto"/>
            </w:pPr>
            <w:r>
              <w:rPr>
                <w:rFonts w:ascii="Aptos" w:hAnsi="Aptos"/>
                <w:b/>
                <w:i w:val="0"/>
                <w:color w:val="16375C"/>
                <w:sz w:val="18"/>
              </w:rPr>
              <w:t>Module</w:t>
            </w:r>
          </w:p>
        </w:tc>
        <w:tc>
          <w:tcPr>
            <w:tcW w:type="dxa" w:w="3816"/>
            <w:shd w:fill="D9E7F5"/>
            <w:vAlign w:val="center"/>
          </w:tcPr>
          <w:p>
            <w:pPr>
              <w:spacing w:before="40" w:after="40" w:line="252" w:lineRule="auto"/>
            </w:pPr>
            <w:r>
              <w:rPr>
                <w:rFonts w:ascii="Aptos" w:hAnsi="Aptos"/>
                <w:b/>
                <w:i w:val="0"/>
                <w:color w:val="16375C"/>
                <w:sz w:val="18"/>
              </w:rPr>
              <w:t>What it provides to Exposure Scenario MCP</w:t>
            </w:r>
          </w:p>
        </w:tc>
        <w:tc>
          <w:tcPr>
            <w:tcW w:type="dxa" w:w="3456"/>
            <w:shd w:fill="D9E7F5"/>
            <w:vAlign w:val="center"/>
          </w:tcPr>
          <w:p>
            <w:pPr>
              <w:spacing w:before="40" w:after="40" w:line="252" w:lineRule="auto"/>
            </w:pPr>
            <w:r>
              <w:rPr>
                <w:rFonts w:ascii="Aptos" w:hAnsi="Aptos"/>
                <w:b/>
                <w:i w:val="0"/>
                <w:color w:val="16375C"/>
                <w:sz w:val="18"/>
              </w:rPr>
              <w:t>What Exposure Scenario MCP returns</w:t>
            </w:r>
          </w:p>
        </w:tc>
      </w:tr>
      <w:tr>
        <w:tc>
          <w:tcPr>
            <w:tcW w:type="dxa" w:w="1944"/>
            <w:vAlign w:val="center"/>
          </w:tcPr>
          <w:p>
            <w:pPr>
              <w:spacing w:before="40" w:after="40" w:line="257" w:lineRule="auto"/>
            </w:pPr>
            <w:r>
              <w:rPr>
                <w:rFonts w:ascii="Aptos" w:hAnsi="Aptos"/>
                <w:b w:val="0"/>
                <w:i w:val="0"/>
                <w:color w:val="282828"/>
                <w:sz w:val="18"/>
              </w:rPr>
              <w:t>CompTox MCP</w:t>
            </w:r>
          </w:p>
        </w:tc>
        <w:tc>
          <w:tcPr>
            <w:tcW w:type="dxa" w:w="3816"/>
            <w:vAlign w:val="center"/>
          </w:tcPr>
          <w:p>
            <w:pPr>
              <w:spacing w:before="40" w:after="40" w:line="257" w:lineRule="auto"/>
            </w:pPr>
            <w:r>
              <w:rPr>
                <w:rFonts w:ascii="Aptos" w:hAnsi="Aptos"/>
                <w:b w:val="0"/>
                <w:i w:val="0"/>
                <w:color w:val="282828"/>
                <w:sz w:val="18"/>
              </w:rPr>
              <w:t>Chemical identity, physicochemical context, product-use metadata, exposure-related evidence.</w:t>
            </w:r>
          </w:p>
        </w:tc>
        <w:tc>
          <w:tcPr>
            <w:tcW w:type="dxa" w:w="3456"/>
            <w:vAlign w:val="center"/>
          </w:tcPr>
          <w:p>
            <w:pPr>
              <w:spacing w:before="40" w:after="40" w:line="257" w:lineRule="auto"/>
            </w:pPr>
            <w:r>
              <w:rPr>
                <w:rFonts w:ascii="Aptos" w:hAnsi="Aptos"/>
                <w:b w:val="0"/>
                <w:i w:val="0"/>
                <w:color w:val="282828"/>
                <w:sz w:val="18"/>
              </w:rPr>
              <w:t>Scenario objects that reference known chemical identity and route assumptions.</w:t>
            </w:r>
          </w:p>
        </w:tc>
      </w:tr>
      <w:tr>
        <w:tc>
          <w:tcPr>
            <w:tcW w:type="dxa" w:w="1944"/>
            <w:vAlign w:val="center"/>
          </w:tcPr>
          <w:p>
            <w:pPr>
              <w:spacing w:before="40" w:after="40" w:line="257" w:lineRule="auto"/>
            </w:pPr>
            <w:r>
              <w:rPr>
                <w:rFonts w:ascii="Aptos" w:hAnsi="Aptos"/>
                <w:b w:val="0"/>
                <w:i w:val="0"/>
                <w:color w:val="282828"/>
                <w:sz w:val="18"/>
              </w:rPr>
              <w:t>PBPK MCP</w:t>
            </w:r>
          </w:p>
        </w:tc>
        <w:tc>
          <w:tcPr>
            <w:tcW w:type="dxa" w:w="3816"/>
            <w:vAlign w:val="center"/>
          </w:tcPr>
          <w:p>
            <w:pPr>
              <w:spacing w:before="40" w:after="40" w:line="257" w:lineRule="auto"/>
            </w:pPr>
            <w:r>
              <w:rPr>
                <w:rFonts w:ascii="Aptos" w:hAnsi="Aptos"/>
                <w:b w:val="0"/>
                <w:i w:val="0"/>
                <w:color w:val="282828"/>
                <w:sz w:val="18"/>
              </w:rPr>
              <w:t>No scenario-generation logic; consumes structured dosing handoffs.</w:t>
            </w:r>
          </w:p>
        </w:tc>
        <w:tc>
          <w:tcPr>
            <w:tcW w:type="dxa" w:w="3456"/>
            <w:vAlign w:val="center"/>
          </w:tcPr>
          <w:p>
            <w:pPr>
              <w:spacing w:before="40" w:after="40" w:line="257" w:lineRule="auto"/>
            </w:pPr>
            <w:r>
              <w:rPr>
                <w:rFonts w:ascii="Aptos" w:hAnsi="Aptos"/>
                <w:b w:val="0"/>
                <w:i w:val="0"/>
                <w:color w:val="282828"/>
                <w:sz w:val="18"/>
              </w:rPr>
              <w:t>Explicit PBPK scenario inputs with route, magnitude, timing, and population semantics.</w:t>
            </w:r>
          </w:p>
        </w:tc>
      </w:tr>
      <w:tr>
        <w:tc>
          <w:tcPr>
            <w:tcW w:type="dxa" w:w="1944"/>
            <w:vAlign w:val="center"/>
          </w:tcPr>
          <w:p>
            <w:pPr>
              <w:spacing w:before="40" w:after="40" w:line="257" w:lineRule="auto"/>
            </w:pPr>
            <w:r>
              <w:rPr>
                <w:rFonts w:ascii="Aptos" w:hAnsi="Aptos"/>
                <w:b w:val="0"/>
                <w:i w:val="0"/>
                <w:color w:val="282828"/>
                <w:sz w:val="18"/>
              </w:rPr>
              <w:t>ToxClaw</w:t>
            </w:r>
          </w:p>
        </w:tc>
        <w:tc>
          <w:tcPr>
            <w:tcW w:type="dxa" w:w="3816"/>
            <w:vAlign w:val="center"/>
          </w:tcPr>
          <w:p>
            <w:pPr>
              <w:spacing w:before="40" w:after="40" w:line="257" w:lineRule="auto"/>
            </w:pPr>
            <w:r>
              <w:rPr>
                <w:rFonts w:ascii="Aptos" w:hAnsi="Aptos"/>
                <w:b w:val="0"/>
                <w:i w:val="0"/>
                <w:color w:val="282828"/>
                <w:sz w:val="18"/>
              </w:rPr>
              <w:t>Problem formulation, tier selection, refinement policy, scenario comparison requests, WoE and BER logic.</w:t>
            </w:r>
          </w:p>
        </w:tc>
        <w:tc>
          <w:tcPr>
            <w:tcW w:type="dxa" w:w="3456"/>
            <w:vAlign w:val="center"/>
          </w:tcPr>
          <w:p>
            <w:pPr>
              <w:spacing w:before="40" w:after="40" w:line="257" w:lineRule="auto"/>
            </w:pPr>
            <w:r>
              <w:rPr>
                <w:rFonts w:ascii="Aptos" w:hAnsi="Aptos"/>
                <w:b w:val="0"/>
                <w:i w:val="0"/>
                <w:color w:val="282828"/>
                <w:sz w:val="18"/>
              </w:rPr>
              <w:t>Auditable external exposure estimates and scenario comparison records.</w:t>
            </w:r>
          </w:p>
        </w:tc>
      </w:tr>
      <w:tr>
        <w:tc>
          <w:tcPr>
            <w:tcW w:type="dxa" w:w="1944"/>
            <w:vAlign w:val="center"/>
          </w:tcPr>
          <w:p>
            <w:pPr>
              <w:spacing w:before="40" w:after="40" w:line="257" w:lineRule="auto"/>
            </w:pPr>
            <w:r>
              <w:rPr>
                <w:rFonts w:ascii="Aptos" w:hAnsi="Aptos"/>
                <w:b w:val="0"/>
                <w:i w:val="0"/>
                <w:color w:val="282828"/>
                <w:sz w:val="18"/>
              </w:rPr>
              <w:t>Literature / Evidence MCP (later)</w:t>
            </w:r>
          </w:p>
        </w:tc>
        <w:tc>
          <w:tcPr>
            <w:tcW w:type="dxa" w:w="3816"/>
            <w:vAlign w:val="center"/>
          </w:tcPr>
          <w:p>
            <w:pPr>
              <w:spacing w:before="40" w:after="40" w:line="257" w:lineRule="auto"/>
            </w:pPr>
            <w:r>
              <w:rPr>
                <w:rFonts w:ascii="Aptos" w:hAnsi="Aptos"/>
                <w:b w:val="0"/>
                <w:i w:val="0"/>
                <w:color w:val="282828"/>
                <w:sz w:val="18"/>
              </w:rPr>
              <w:t>Evidence for refined defaults or scenario assumptions when needed.</w:t>
            </w:r>
          </w:p>
        </w:tc>
        <w:tc>
          <w:tcPr>
            <w:tcW w:type="dxa" w:w="3456"/>
            <w:vAlign w:val="center"/>
          </w:tcPr>
          <w:p>
            <w:pPr>
              <w:spacing w:before="40" w:after="40" w:line="257" w:lineRule="auto"/>
            </w:pPr>
            <w:r>
              <w:rPr>
                <w:rFonts w:ascii="Aptos" w:hAnsi="Aptos"/>
                <w:b w:val="0"/>
                <w:i w:val="0"/>
                <w:color w:val="282828"/>
                <w:sz w:val="18"/>
              </w:rPr>
              <w:t>More defensible assumption records and refined scenario provenance.</w:t>
            </w:r>
          </w:p>
        </w:tc>
      </w:tr>
    </w:tbl>
    <w:p/>
    <w:tbl>
      <w:tblPr>
        <w:tblW w:type="auto" w:w="0"/>
        <w:jc w:val="center"/>
        <w:tblLook w:firstColumn="1" w:firstRow="1" w:lastColumn="0" w:lastRow="0" w:noHBand="0" w:noVBand="1" w:val="04A0"/>
      </w:tblPr>
      <w:tblGrid>
        <w:gridCol w:w="9648"/>
      </w:tblGrid>
      <w:tr>
        <w:tc>
          <w:tcPr>
            <w:tcW w:type="dxa" w:w="9072"/>
            <w:shd w:fill="F3F7FC"/>
          </w:tcPr>
          <w:p>
            <w:pPr>
              <w:spacing w:before="40" w:after="20" w:line="252" w:lineRule="auto"/>
            </w:pPr>
            <w:r>
              <w:rPr>
                <w:rFonts w:ascii="Aptos" w:hAnsi="Aptos"/>
                <w:b/>
                <w:i w:val="0"/>
                <w:color w:val="16375C"/>
                <w:sz w:val="20"/>
              </w:rPr>
              <w:t>Boundary rule</w:t>
            </w:r>
          </w:p>
          <w:p>
            <w:pPr>
              <w:spacing w:before="0" w:after="40" w:line="259" w:lineRule="auto"/>
            </w:pPr>
            <w:r>
              <w:rPr>
                <w:rFonts w:ascii="Aptos" w:hAnsi="Aptos"/>
                <w:b w:val="0"/>
                <w:i w:val="0"/>
                <w:color w:val="282828"/>
                <w:sz w:val="20"/>
              </w:rPr>
              <w:t>This module owns external exposure construction and refinement only. It must never execute PBPK, calculate internal concentrations, derive PoDs, or issue risk conclusions.</w:t>
            </w:r>
          </w:p>
        </w:tc>
      </w:tr>
    </w:tbl>
    <w:p/>
    <w:p>
      <w:pPr>
        <w:pStyle w:val="Heading1"/>
      </w:pPr>
      <w:r>
        <w:t>3. Problem statement and product goals</w:t>
      </w:r>
    </w:p>
    <w:p>
      <w:pPr>
        <w:pStyle w:val="BodyBullet"/>
        <w:ind w:left="360" w:hanging="216"/>
      </w:pPr>
      <w:r>
        <w:rPr>
          <w:rFonts w:ascii="Aptos" w:hAnsi="Aptos"/>
          <w:b/>
          <w:i w:val="0"/>
          <w:color w:val="1F4E79"/>
          <w:sz w:val="21"/>
        </w:rPr>
        <w:t xml:space="preserve">• </w:t>
      </w:r>
      <w:r>
        <w:rPr>
          <w:rFonts w:ascii="Aptos" w:hAnsi="Aptos"/>
          <w:b w:val="0"/>
          <w:i w:val="0"/>
          <w:color w:val="282828"/>
          <w:sz w:val="20"/>
        </w:rPr>
        <w:t>Turn product-use assumptions into explicit route-specific external exposure objects.</w:t>
      </w:r>
    </w:p>
    <w:p>
      <w:pPr>
        <w:pStyle w:val="BodyBullet"/>
        <w:ind w:left="360" w:hanging="216"/>
      </w:pPr>
      <w:r>
        <w:rPr>
          <w:rFonts w:ascii="Aptos" w:hAnsi="Aptos"/>
          <w:b/>
          <w:i w:val="0"/>
          <w:color w:val="1F4E79"/>
          <w:sz w:val="21"/>
        </w:rPr>
        <w:t xml:space="preserve">• </w:t>
      </w:r>
      <w:r>
        <w:rPr>
          <w:rFonts w:ascii="Aptos" w:hAnsi="Aptos"/>
          <w:b w:val="0"/>
          <w:i w:val="0"/>
          <w:color w:val="282828"/>
          <w:sz w:val="20"/>
        </w:rPr>
        <w:t>Support exposure-led NGRA by making screening and refined scenarios auditable rather than hidden in prompt logic.</w:t>
      </w:r>
    </w:p>
    <w:p>
      <w:pPr>
        <w:pStyle w:val="BodyBullet"/>
        <w:ind w:left="360" w:hanging="216"/>
      </w:pPr>
      <w:r>
        <w:rPr>
          <w:rFonts w:ascii="Aptos" w:hAnsi="Aptos"/>
          <w:b/>
          <w:i w:val="0"/>
          <w:color w:val="1F4E79"/>
          <w:sz w:val="21"/>
        </w:rPr>
        <w:t xml:space="preserve">• </w:t>
      </w:r>
      <w:r>
        <w:rPr>
          <w:rFonts w:ascii="Aptos" w:hAnsi="Aptos"/>
          <w:b w:val="0"/>
          <w:i w:val="0"/>
          <w:color w:val="282828"/>
          <w:sz w:val="20"/>
        </w:rPr>
        <w:t>Provide clean handoffs to PBPK MCP and transparent scenario comparisons to ToxClaw.</w:t>
      </w:r>
    </w:p>
    <w:p>
      <w:pPr>
        <w:pStyle w:val="BodyBullet"/>
        <w:ind w:left="360" w:hanging="216"/>
      </w:pPr>
      <w:r>
        <w:rPr>
          <w:rFonts w:ascii="Aptos" w:hAnsi="Aptos"/>
          <w:b/>
          <w:i w:val="0"/>
          <w:color w:val="1F4E79"/>
          <w:sz w:val="21"/>
        </w:rPr>
        <w:t xml:space="preserve">• </w:t>
      </w:r>
      <w:r>
        <w:rPr>
          <w:rFonts w:ascii="Aptos" w:hAnsi="Aptos"/>
          <w:b w:val="0"/>
          <w:i w:val="0"/>
          <w:color w:val="282828"/>
          <w:sz w:val="20"/>
        </w:rPr>
        <w:t>Keep the scenario engine independent from hazard derivation, PBPK, WoE, and final decision policy.</w:t>
      </w:r>
    </w:p>
    <w:p>
      <w:pPr>
        <w:pStyle w:val="Heading2"/>
      </w:pPr>
      <w:r>
        <w:t>Primary goals</w:t>
      </w:r>
    </w:p>
    <w:p>
      <w:pPr>
        <w:pStyle w:val="BodyBullet"/>
        <w:ind w:left="360" w:hanging="216"/>
      </w:pPr>
      <w:r>
        <w:rPr>
          <w:rFonts w:ascii="Aptos" w:hAnsi="Aptos"/>
          <w:b/>
          <w:i w:val="0"/>
          <w:color w:val="1F4E79"/>
          <w:sz w:val="21"/>
        </w:rPr>
        <w:t xml:space="preserve">• </w:t>
      </w:r>
      <w:r>
        <w:rPr>
          <w:rFonts w:ascii="Aptos" w:hAnsi="Aptos"/>
          <w:b w:val="0"/>
          <w:i w:val="0"/>
          <w:color w:val="282828"/>
          <w:sz w:val="20"/>
        </w:rPr>
        <w:t>Build deterministic screening consumer scenarios for rapid triage.</w:t>
      </w:r>
    </w:p>
    <w:p>
      <w:pPr>
        <w:pStyle w:val="BodyBullet"/>
        <w:ind w:left="360" w:hanging="216"/>
      </w:pPr>
      <w:r>
        <w:rPr>
          <w:rFonts w:ascii="Aptos" w:hAnsi="Aptos"/>
          <w:b/>
          <w:i w:val="0"/>
          <w:color w:val="1F4E79"/>
          <w:sz w:val="21"/>
        </w:rPr>
        <w:t xml:space="preserve">• </w:t>
      </w:r>
      <w:r>
        <w:rPr>
          <w:rFonts w:ascii="Aptos" w:hAnsi="Aptos"/>
          <w:b w:val="0"/>
          <w:i w:val="0"/>
          <w:color w:val="282828"/>
          <w:sz w:val="20"/>
        </w:rPr>
        <w:t>Support simple aggregate/co-use scenarios for ingredients appearing across multiple products.</w:t>
      </w:r>
    </w:p>
    <w:p>
      <w:pPr>
        <w:pStyle w:val="BodyBullet"/>
        <w:ind w:left="360" w:hanging="216"/>
      </w:pPr>
      <w:r>
        <w:rPr>
          <w:rFonts w:ascii="Aptos" w:hAnsi="Aptos"/>
          <w:b/>
          <w:i w:val="0"/>
          <w:color w:val="1F4E79"/>
          <w:sz w:val="21"/>
        </w:rPr>
        <w:t xml:space="preserve">• </w:t>
      </w:r>
      <w:r>
        <w:rPr>
          <w:rFonts w:ascii="Aptos" w:hAnsi="Aptos"/>
          <w:b w:val="0"/>
          <w:i w:val="0"/>
          <w:color w:val="282828"/>
          <w:sz w:val="20"/>
        </w:rPr>
        <w:t>Provide inhalation/aerosol screening support where route mechanics demand it.</w:t>
      </w:r>
    </w:p>
    <w:p>
      <w:pPr>
        <w:pStyle w:val="BodyBullet"/>
        <w:ind w:left="360" w:hanging="216"/>
      </w:pPr>
      <w:r>
        <w:rPr>
          <w:rFonts w:ascii="Aptos" w:hAnsi="Aptos"/>
          <w:b/>
          <w:i w:val="0"/>
          <w:color w:val="1F4E79"/>
          <w:sz w:val="21"/>
        </w:rPr>
        <w:t xml:space="preserve">• </w:t>
      </w:r>
      <w:r>
        <w:rPr>
          <w:rFonts w:ascii="Aptos" w:hAnsi="Aptos"/>
          <w:b w:val="0"/>
          <w:i w:val="0"/>
          <w:color w:val="282828"/>
          <w:sz w:val="20"/>
        </w:rPr>
        <w:t>Export structured PBPK-ready scenario objects with complete provenance.</w:t>
      </w:r>
    </w:p>
    <w:p>
      <w:pPr>
        <w:pStyle w:val="Heading2"/>
      </w:pPr>
      <w:r>
        <w:t>Non-goals</w:t>
      </w:r>
    </w:p>
    <w:p>
      <w:pPr>
        <w:pStyle w:val="BodyBullet"/>
        <w:ind w:left="360" w:hanging="216"/>
      </w:pPr>
      <w:r>
        <w:rPr>
          <w:rFonts w:ascii="Aptos" w:hAnsi="Aptos"/>
          <w:b/>
          <w:i w:val="0"/>
          <w:color w:val="1F4E79"/>
          <w:sz w:val="21"/>
        </w:rPr>
        <w:t xml:space="preserve">• </w:t>
      </w:r>
      <w:r>
        <w:rPr>
          <w:rFonts w:ascii="Aptos" w:hAnsi="Aptos"/>
          <w:b w:val="0"/>
          <w:i w:val="0"/>
          <w:color w:val="282828"/>
          <w:sz w:val="20"/>
        </w:rPr>
        <w:t>No internal exposure estimation or toxicokinetic simulation.</w:t>
      </w:r>
    </w:p>
    <w:p>
      <w:pPr>
        <w:pStyle w:val="BodyBullet"/>
        <w:ind w:left="360" w:hanging="216"/>
      </w:pPr>
      <w:r>
        <w:rPr>
          <w:rFonts w:ascii="Aptos" w:hAnsi="Aptos"/>
          <w:b/>
          <w:i w:val="0"/>
          <w:color w:val="1F4E79"/>
          <w:sz w:val="21"/>
        </w:rPr>
        <w:t xml:space="preserve">• </w:t>
      </w:r>
      <w:r>
        <w:rPr>
          <w:rFonts w:ascii="Aptos" w:hAnsi="Aptos"/>
          <w:b w:val="0"/>
          <w:i w:val="0"/>
          <w:color w:val="282828"/>
          <w:sz w:val="20"/>
        </w:rPr>
        <w:t>No PoD derivation, BER, or final risk characterization.</w:t>
      </w:r>
    </w:p>
    <w:p>
      <w:pPr>
        <w:pStyle w:val="BodyBullet"/>
        <w:ind w:left="360" w:hanging="216"/>
      </w:pPr>
      <w:r>
        <w:rPr>
          <w:rFonts w:ascii="Aptos" w:hAnsi="Aptos"/>
          <w:b/>
          <w:i w:val="0"/>
          <w:color w:val="1F4E79"/>
          <w:sz w:val="21"/>
        </w:rPr>
        <w:t xml:space="preserve">• </w:t>
      </w:r>
      <w:r>
        <w:rPr>
          <w:rFonts w:ascii="Aptos" w:hAnsi="Aptos"/>
          <w:b w:val="0"/>
          <w:i w:val="0"/>
          <w:color w:val="282828"/>
          <w:sz w:val="20"/>
        </w:rPr>
        <w:t>No full PACEM-style person-oriented probabilistic engine in v0.1.</w:t>
      </w:r>
    </w:p>
    <w:p>
      <w:pPr>
        <w:pStyle w:val="BodyBullet"/>
        <w:ind w:left="360" w:hanging="216"/>
      </w:pPr>
      <w:r>
        <w:rPr>
          <w:rFonts w:ascii="Aptos" w:hAnsi="Aptos"/>
          <w:b/>
          <w:i w:val="0"/>
          <w:color w:val="1F4E79"/>
          <w:sz w:val="21"/>
        </w:rPr>
        <w:t xml:space="preserve">• </w:t>
      </w:r>
      <w:r>
        <w:rPr>
          <w:rFonts w:ascii="Aptos" w:hAnsi="Aptos"/>
          <w:b w:val="0"/>
          <w:i w:val="0"/>
          <w:color w:val="282828"/>
          <w:sz w:val="20"/>
        </w:rPr>
        <w:t>No occupational or environmental mega-scope in the first release.</w:t>
      </w:r>
    </w:p>
    <w:p>
      <w:pPr>
        <w:pStyle w:val="Heading1"/>
      </w:pPr>
      <w:r>
        <w:t>4. Scientific design principles</w:t>
      </w:r>
    </w:p>
    <w:tbl>
      <w:tblPr>
        <w:tblStyle w:val="TableGrid"/>
        <w:tblW w:type="auto" w:w="0"/>
        <w:jc w:val="center"/>
        <w:tblLook w:firstColumn="1" w:firstRow="1" w:lastColumn="0" w:lastRow="0" w:noHBand="0" w:noVBand="1" w:val="04A0"/>
      </w:tblPr>
      <w:tblGrid>
        <w:gridCol w:w="4824"/>
        <w:gridCol w:w="4824"/>
      </w:tblGrid>
      <w:tr>
        <w:tc>
          <w:tcPr>
            <w:tcW w:type="dxa" w:w="2880"/>
            <w:shd w:fill="D9E7F5"/>
            <w:vAlign w:val="center"/>
          </w:tcPr>
          <w:p>
            <w:pPr>
              <w:spacing w:before="40" w:after="40" w:line="252" w:lineRule="auto"/>
            </w:pPr>
            <w:r>
              <w:rPr>
                <w:rFonts w:ascii="Aptos" w:hAnsi="Aptos"/>
                <w:b/>
                <w:i w:val="0"/>
                <w:color w:val="16375C"/>
                <w:sz w:val="18"/>
              </w:rPr>
              <w:t>Principle</w:t>
            </w:r>
          </w:p>
        </w:tc>
        <w:tc>
          <w:tcPr>
            <w:tcW w:type="dxa" w:w="6192"/>
            <w:shd w:fill="D9E7F5"/>
            <w:vAlign w:val="center"/>
          </w:tcPr>
          <w:p>
            <w:pPr>
              <w:spacing w:before="40" w:after="40" w:line="252" w:lineRule="auto"/>
            </w:pPr>
            <w:r>
              <w:rPr>
                <w:rFonts w:ascii="Aptos" w:hAnsi="Aptos"/>
                <w:b/>
                <w:i w:val="0"/>
                <w:color w:val="16375C"/>
                <w:sz w:val="18"/>
              </w:rPr>
              <w:t>Implementation consequence</w:t>
            </w:r>
          </w:p>
        </w:tc>
      </w:tr>
      <w:tr>
        <w:tc>
          <w:tcPr>
            <w:tcW w:type="dxa" w:w="2880"/>
            <w:vAlign w:val="center"/>
          </w:tcPr>
          <w:p>
            <w:pPr>
              <w:spacing w:before="40" w:after="40" w:line="257" w:lineRule="auto"/>
            </w:pPr>
            <w:r>
              <w:rPr>
                <w:rFonts w:ascii="Aptos" w:hAnsi="Aptos"/>
                <w:b w:val="0"/>
                <w:i w:val="0"/>
                <w:color w:val="282828"/>
                <w:sz w:val="18"/>
              </w:rPr>
              <w:t>Explicit assumptions over hidden defaults</w:t>
            </w:r>
          </w:p>
        </w:tc>
        <w:tc>
          <w:tcPr>
            <w:tcW w:type="dxa" w:w="6192"/>
            <w:vAlign w:val="center"/>
          </w:tcPr>
          <w:p>
            <w:pPr>
              <w:spacing w:before="40" w:after="40" w:line="257" w:lineRule="auto"/>
            </w:pPr>
            <w:r>
              <w:rPr>
                <w:rFonts w:ascii="Aptos" w:hAnsi="Aptos"/>
                <w:b w:val="0"/>
                <w:i w:val="0"/>
                <w:color w:val="282828"/>
                <w:sz w:val="18"/>
              </w:rPr>
              <w:t>Every scenario must surface the exact parameter source, value, and confidence, including any default fact-sheet values.</w:t>
            </w:r>
          </w:p>
        </w:tc>
      </w:tr>
      <w:tr>
        <w:tc>
          <w:tcPr>
            <w:tcW w:type="dxa" w:w="2880"/>
            <w:vAlign w:val="center"/>
          </w:tcPr>
          <w:p>
            <w:pPr>
              <w:spacing w:before="40" w:after="40" w:line="257" w:lineRule="auto"/>
            </w:pPr>
            <w:r>
              <w:rPr>
                <w:rFonts w:ascii="Aptos" w:hAnsi="Aptos"/>
                <w:b w:val="0"/>
                <w:i w:val="0"/>
                <w:color w:val="282828"/>
                <w:sz w:val="18"/>
              </w:rPr>
              <w:t>Deterministic-first trust model</w:t>
            </w:r>
          </w:p>
        </w:tc>
        <w:tc>
          <w:tcPr>
            <w:tcW w:type="dxa" w:w="6192"/>
            <w:vAlign w:val="center"/>
          </w:tcPr>
          <w:p>
            <w:pPr>
              <w:spacing w:before="40" w:after="40" w:line="257" w:lineRule="auto"/>
            </w:pPr>
            <w:r>
              <w:rPr>
                <w:rFonts w:ascii="Aptos" w:hAnsi="Aptos"/>
                <w:b w:val="0"/>
                <w:i w:val="0"/>
                <w:color w:val="282828"/>
                <w:sz w:val="18"/>
              </w:rPr>
              <w:t>v0.1 focuses on transparent point estimates and screening conservatism before broad probabilistic sophistication.</w:t>
            </w:r>
          </w:p>
        </w:tc>
      </w:tr>
      <w:tr>
        <w:tc>
          <w:tcPr>
            <w:tcW w:type="dxa" w:w="2880"/>
            <w:vAlign w:val="center"/>
          </w:tcPr>
          <w:p>
            <w:pPr>
              <w:spacing w:before="40" w:after="40" w:line="257" w:lineRule="auto"/>
            </w:pPr>
            <w:r>
              <w:rPr>
                <w:rFonts w:ascii="Aptos" w:hAnsi="Aptos"/>
                <w:b w:val="0"/>
                <w:i w:val="0"/>
                <w:color w:val="282828"/>
                <w:sz w:val="18"/>
              </w:rPr>
              <w:t>Route-specific semantics</w:t>
            </w:r>
          </w:p>
        </w:tc>
        <w:tc>
          <w:tcPr>
            <w:tcW w:type="dxa" w:w="6192"/>
            <w:vAlign w:val="center"/>
          </w:tcPr>
          <w:p>
            <w:pPr>
              <w:spacing w:before="40" w:after="40" w:line="257" w:lineRule="auto"/>
            </w:pPr>
            <w:r>
              <w:rPr>
                <w:rFonts w:ascii="Aptos" w:hAnsi="Aptos"/>
                <w:b w:val="0"/>
                <w:i w:val="0"/>
                <w:color w:val="282828"/>
                <w:sz w:val="18"/>
              </w:rPr>
              <w:t>Dermal, inhalation, and oral scenarios must use distinct units, fields, and calculation rules; no generic dose blob.</w:t>
            </w:r>
          </w:p>
        </w:tc>
      </w:tr>
      <w:tr>
        <w:tc>
          <w:tcPr>
            <w:tcW w:type="dxa" w:w="2880"/>
            <w:vAlign w:val="center"/>
          </w:tcPr>
          <w:p>
            <w:pPr>
              <w:spacing w:before="40" w:after="40" w:line="257" w:lineRule="auto"/>
            </w:pPr>
            <w:r>
              <w:rPr>
                <w:rFonts w:ascii="Aptos" w:hAnsi="Aptos"/>
                <w:b w:val="0"/>
                <w:i w:val="0"/>
                <w:color w:val="282828"/>
                <w:sz w:val="18"/>
              </w:rPr>
              <w:t>Separation of physics from biology</w:t>
            </w:r>
          </w:p>
        </w:tc>
        <w:tc>
          <w:tcPr>
            <w:tcW w:type="dxa" w:w="6192"/>
            <w:vAlign w:val="center"/>
          </w:tcPr>
          <w:p>
            <w:pPr>
              <w:spacing w:before="40" w:after="40" w:line="257" w:lineRule="auto"/>
            </w:pPr>
            <w:r>
              <w:rPr>
                <w:rFonts w:ascii="Aptos" w:hAnsi="Aptos"/>
                <w:b w:val="0"/>
                <w:i w:val="0"/>
                <w:color w:val="282828"/>
                <w:sz w:val="18"/>
              </w:rPr>
              <w:t>External contact/load is computed here; absorption, tissue distribution, and clearance remain with PBPK MCP.</w:t>
            </w:r>
          </w:p>
        </w:tc>
      </w:tr>
    </w:tbl>
    <w:p/>
    <w:p>
      <w:pPr>
        <w:pStyle w:val="Heading2"/>
      </w:pPr>
      <w:r>
        <w:t>Supported v0.1 scenario classes</w:t>
      </w:r>
    </w:p>
    <w:tbl>
      <w:tblPr>
        <w:tblStyle w:val="TableGrid"/>
        <w:tblW w:type="auto" w:w="0"/>
        <w:jc w:val="center"/>
        <w:tblLook w:firstColumn="1" w:firstRow="1" w:lastColumn="0" w:lastRow="0" w:noHBand="0" w:noVBand="1" w:val="04A0"/>
      </w:tblPr>
      <w:tblGrid>
        <w:gridCol w:w="3216"/>
        <w:gridCol w:w="3216"/>
        <w:gridCol w:w="3216"/>
      </w:tblGrid>
      <w:tr>
        <w:tc>
          <w:tcPr>
            <w:tcW w:type="dxa" w:w="3311"/>
            <w:shd w:fill="D9E7F5"/>
            <w:vAlign w:val="center"/>
          </w:tcPr>
          <w:p>
            <w:pPr>
              <w:spacing w:before="40" w:after="40" w:line="252" w:lineRule="auto"/>
            </w:pPr>
            <w:r>
              <w:rPr>
                <w:rFonts w:ascii="Aptos" w:hAnsi="Aptos"/>
                <w:b/>
                <w:i w:val="0"/>
                <w:color w:val="16375C"/>
                <w:sz w:val="18"/>
              </w:rPr>
              <w:t>Scenario class</w:t>
            </w:r>
          </w:p>
        </w:tc>
        <w:tc>
          <w:tcPr>
            <w:tcW w:type="dxa" w:w="1224"/>
            <w:shd w:fill="D9E7F5"/>
            <w:vAlign w:val="center"/>
          </w:tcPr>
          <w:p>
            <w:pPr>
              <w:spacing w:before="40" w:after="40" w:line="252" w:lineRule="auto"/>
            </w:pPr>
            <w:r>
              <w:rPr>
                <w:rFonts w:ascii="Aptos" w:hAnsi="Aptos"/>
                <w:b/>
                <w:i w:val="0"/>
                <w:color w:val="16375C"/>
                <w:sz w:val="18"/>
              </w:rPr>
              <w:t>v0.1 status</w:t>
            </w:r>
          </w:p>
        </w:tc>
        <w:tc>
          <w:tcPr>
            <w:tcW w:type="dxa" w:w="4536"/>
            <w:shd w:fill="D9E7F5"/>
            <w:vAlign w:val="center"/>
          </w:tcPr>
          <w:p>
            <w:pPr>
              <w:spacing w:before="40" w:after="40" w:line="252" w:lineRule="auto"/>
            </w:pPr>
            <w:r>
              <w:rPr>
                <w:rFonts w:ascii="Aptos" w:hAnsi="Aptos"/>
                <w:b/>
                <w:i w:val="0"/>
                <w:color w:val="16375C"/>
                <w:sz w:val="18"/>
              </w:rPr>
              <w:t>Notes</w:t>
            </w:r>
          </w:p>
        </w:tc>
      </w:tr>
      <w:tr>
        <w:tc>
          <w:tcPr>
            <w:tcW w:type="dxa" w:w="3311"/>
            <w:vAlign w:val="center"/>
          </w:tcPr>
          <w:p>
            <w:pPr>
              <w:spacing w:before="40" w:after="40" w:line="257" w:lineRule="auto"/>
            </w:pPr>
            <w:r>
              <w:rPr>
                <w:rFonts w:ascii="Aptos" w:hAnsi="Aptos"/>
                <w:b w:val="0"/>
                <w:i w:val="0"/>
                <w:color w:val="282828"/>
                <w:sz w:val="18"/>
              </w:rPr>
              <w:t>Deterministic screening consumer scenarios</w:t>
            </w:r>
          </w:p>
        </w:tc>
        <w:tc>
          <w:tcPr>
            <w:tcW w:type="dxa" w:w="1224"/>
            <w:vAlign w:val="center"/>
          </w:tcPr>
          <w:p>
            <w:pPr>
              <w:spacing w:before="40" w:after="40" w:line="257" w:lineRule="auto"/>
            </w:pPr>
            <w:r>
              <w:rPr>
                <w:rFonts w:ascii="Aptos" w:hAnsi="Aptos"/>
                <w:b w:val="0"/>
                <w:i w:val="0"/>
                <w:color w:val="282828"/>
                <w:sz w:val="18"/>
              </w:rPr>
              <w:t>In</w:t>
            </w:r>
          </w:p>
        </w:tc>
        <w:tc>
          <w:tcPr>
            <w:tcW w:type="dxa" w:w="4536"/>
            <w:vAlign w:val="center"/>
          </w:tcPr>
          <w:p>
            <w:pPr>
              <w:spacing w:before="40" w:after="40" w:line="257" w:lineRule="auto"/>
            </w:pPr>
            <w:r>
              <w:rPr>
                <w:rFonts w:ascii="Aptos" w:hAnsi="Aptos"/>
                <w:b w:val="0"/>
                <w:i w:val="0"/>
                <w:color w:val="282828"/>
                <w:sz w:val="18"/>
              </w:rPr>
              <w:t>Mandatory foundation for Tier 0 and fast triage.</w:t>
            </w:r>
          </w:p>
        </w:tc>
      </w:tr>
      <w:tr>
        <w:tc>
          <w:tcPr>
            <w:tcW w:type="dxa" w:w="3311"/>
            <w:vAlign w:val="center"/>
          </w:tcPr>
          <w:p>
            <w:pPr>
              <w:spacing w:before="40" w:after="40" w:line="257" w:lineRule="auto"/>
            </w:pPr>
            <w:r>
              <w:rPr>
                <w:rFonts w:ascii="Aptos" w:hAnsi="Aptos"/>
                <w:b w:val="0"/>
                <w:i w:val="0"/>
                <w:color w:val="282828"/>
                <w:sz w:val="18"/>
              </w:rPr>
              <w:t>Simple aggregate/co-use scenarios</w:t>
            </w:r>
          </w:p>
        </w:tc>
        <w:tc>
          <w:tcPr>
            <w:tcW w:type="dxa" w:w="1224"/>
            <w:vAlign w:val="center"/>
          </w:tcPr>
          <w:p>
            <w:pPr>
              <w:spacing w:before="40" w:after="40" w:line="257" w:lineRule="auto"/>
            </w:pPr>
            <w:r>
              <w:rPr>
                <w:rFonts w:ascii="Aptos" w:hAnsi="Aptos"/>
                <w:b w:val="0"/>
                <w:i w:val="0"/>
                <w:color w:val="282828"/>
                <w:sz w:val="18"/>
              </w:rPr>
              <w:t>In</w:t>
            </w:r>
          </w:p>
        </w:tc>
        <w:tc>
          <w:tcPr>
            <w:tcW w:type="dxa" w:w="4536"/>
            <w:vAlign w:val="center"/>
          </w:tcPr>
          <w:p>
            <w:pPr>
              <w:spacing w:before="40" w:after="40" w:line="257" w:lineRule="auto"/>
            </w:pPr>
            <w:r>
              <w:rPr>
                <w:rFonts w:ascii="Aptos" w:hAnsi="Aptos"/>
                <w:b w:val="0"/>
                <w:i w:val="0"/>
                <w:color w:val="282828"/>
                <w:sz w:val="18"/>
              </w:rPr>
              <w:t>Simple additive aggregation across declared products or categories.</w:t>
            </w:r>
          </w:p>
        </w:tc>
      </w:tr>
      <w:tr>
        <w:tc>
          <w:tcPr>
            <w:tcW w:type="dxa" w:w="3311"/>
            <w:vAlign w:val="center"/>
          </w:tcPr>
          <w:p>
            <w:pPr>
              <w:spacing w:before="40" w:after="40" w:line="257" w:lineRule="auto"/>
            </w:pPr>
            <w:r>
              <w:rPr>
                <w:rFonts w:ascii="Aptos" w:hAnsi="Aptos"/>
                <w:b w:val="0"/>
                <w:i w:val="0"/>
                <w:color w:val="282828"/>
                <w:sz w:val="18"/>
              </w:rPr>
              <w:t>Inhalation / aerosol screening scenarios</w:t>
            </w:r>
          </w:p>
        </w:tc>
        <w:tc>
          <w:tcPr>
            <w:tcW w:type="dxa" w:w="1224"/>
            <w:vAlign w:val="center"/>
          </w:tcPr>
          <w:p>
            <w:pPr>
              <w:spacing w:before="40" w:after="40" w:line="257" w:lineRule="auto"/>
            </w:pPr>
            <w:r>
              <w:rPr>
                <w:rFonts w:ascii="Aptos" w:hAnsi="Aptos"/>
                <w:b w:val="0"/>
                <w:i w:val="0"/>
                <w:color w:val="282828"/>
                <w:sz w:val="18"/>
              </w:rPr>
              <w:t>In</w:t>
            </w:r>
          </w:p>
        </w:tc>
        <w:tc>
          <w:tcPr>
            <w:tcW w:type="dxa" w:w="4536"/>
            <w:vAlign w:val="center"/>
          </w:tcPr>
          <w:p>
            <w:pPr>
              <w:spacing w:before="40" w:after="40" w:line="257" w:lineRule="auto"/>
            </w:pPr>
            <w:r>
              <w:rPr>
                <w:rFonts w:ascii="Aptos" w:hAnsi="Aptos"/>
                <w:b w:val="0"/>
                <w:i w:val="0"/>
                <w:color w:val="282828"/>
                <w:sz w:val="18"/>
              </w:rPr>
              <w:t>Dedicated route engine with room/ventilation semantics where relevant.</w:t>
            </w:r>
          </w:p>
        </w:tc>
      </w:tr>
      <w:tr>
        <w:tc>
          <w:tcPr>
            <w:tcW w:type="dxa" w:w="3311"/>
            <w:vAlign w:val="center"/>
          </w:tcPr>
          <w:p>
            <w:pPr>
              <w:spacing w:before="40" w:after="40" w:line="257" w:lineRule="auto"/>
            </w:pPr>
            <w:r>
              <w:rPr>
                <w:rFonts w:ascii="Aptos" w:hAnsi="Aptos"/>
                <w:b w:val="0"/>
                <w:i w:val="0"/>
                <w:color w:val="282828"/>
                <w:sz w:val="18"/>
              </w:rPr>
              <w:t>Population distributions / Monte Carlo</w:t>
            </w:r>
          </w:p>
        </w:tc>
        <w:tc>
          <w:tcPr>
            <w:tcW w:type="dxa" w:w="1224"/>
            <w:vAlign w:val="center"/>
          </w:tcPr>
          <w:p>
            <w:pPr>
              <w:spacing w:before="40" w:after="40" w:line="257" w:lineRule="auto"/>
            </w:pPr>
            <w:r>
              <w:rPr>
                <w:rFonts w:ascii="Aptos" w:hAnsi="Aptos"/>
                <w:b w:val="0"/>
                <w:i w:val="0"/>
                <w:color w:val="282828"/>
                <w:sz w:val="18"/>
              </w:rPr>
              <w:t>Later</w:t>
            </w:r>
          </w:p>
        </w:tc>
        <w:tc>
          <w:tcPr>
            <w:tcW w:type="dxa" w:w="4536"/>
            <w:vAlign w:val="center"/>
          </w:tcPr>
          <w:p>
            <w:pPr>
              <w:spacing w:before="40" w:after="40" w:line="257" w:lineRule="auto"/>
            </w:pPr>
            <w:r>
              <w:rPr>
                <w:rFonts w:ascii="Aptos" w:hAnsi="Aptos"/>
                <w:b w:val="0"/>
                <w:i w:val="0"/>
                <w:color w:val="282828"/>
                <w:sz w:val="18"/>
              </w:rPr>
              <w:t>Contract-ready but not core compute in v0.1.</w:t>
            </w:r>
          </w:p>
        </w:tc>
      </w:tr>
      <w:tr>
        <w:tc>
          <w:tcPr>
            <w:tcW w:type="dxa" w:w="3311"/>
            <w:vAlign w:val="center"/>
          </w:tcPr>
          <w:p>
            <w:pPr>
              <w:spacing w:before="40" w:after="40" w:line="257" w:lineRule="auto"/>
            </w:pPr>
            <w:r>
              <w:rPr>
                <w:rFonts w:ascii="Aptos" w:hAnsi="Aptos"/>
                <w:b w:val="0"/>
                <w:i w:val="0"/>
                <w:color w:val="282828"/>
                <w:sz w:val="18"/>
              </w:rPr>
              <w:t>Advanced occupational scenarios</w:t>
            </w:r>
          </w:p>
        </w:tc>
        <w:tc>
          <w:tcPr>
            <w:tcW w:type="dxa" w:w="1224"/>
            <w:vAlign w:val="center"/>
          </w:tcPr>
          <w:p>
            <w:pPr>
              <w:spacing w:before="40" w:after="40" w:line="257" w:lineRule="auto"/>
            </w:pPr>
            <w:r>
              <w:rPr>
                <w:rFonts w:ascii="Aptos" w:hAnsi="Aptos"/>
                <w:b w:val="0"/>
                <w:i w:val="0"/>
                <w:color w:val="282828"/>
                <w:sz w:val="18"/>
              </w:rPr>
              <w:t>Later</w:t>
            </w:r>
          </w:p>
        </w:tc>
        <w:tc>
          <w:tcPr>
            <w:tcW w:type="dxa" w:w="4536"/>
            <w:vAlign w:val="center"/>
          </w:tcPr>
          <w:p>
            <w:pPr>
              <w:spacing w:before="40" w:after="40" w:line="257" w:lineRule="auto"/>
            </w:pPr>
            <w:r>
              <w:rPr>
                <w:rFonts w:ascii="Aptos" w:hAnsi="Aptos"/>
                <w:b w:val="0"/>
                <w:i w:val="0"/>
                <w:color w:val="282828"/>
                <w:sz w:val="18"/>
              </w:rPr>
              <w:t>Deferred to avoid scope explosion and determinant overload.</w:t>
            </w:r>
          </w:p>
        </w:tc>
      </w:tr>
      <w:tr>
        <w:tc>
          <w:tcPr>
            <w:tcW w:type="dxa" w:w="3311"/>
            <w:vAlign w:val="center"/>
          </w:tcPr>
          <w:p>
            <w:pPr>
              <w:spacing w:before="40" w:after="40" w:line="257" w:lineRule="auto"/>
            </w:pPr>
            <w:r>
              <w:rPr>
                <w:rFonts w:ascii="Aptos" w:hAnsi="Aptos"/>
                <w:b w:val="0"/>
                <w:i w:val="0"/>
                <w:color w:val="282828"/>
                <w:sz w:val="18"/>
              </w:rPr>
              <w:t>Environmental exposure scenarios</w:t>
            </w:r>
          </w:p>
        </w:tc>
        <w:tc>
          <w:tcPr>
            <w:tcW w:type="dxa" w:w="1224"/>
            <w:vAlign w:val="center"/>
          </w:tcPr>
          <w:p>
            <w:pPr>
              <w:spacing w:before="40" w:after="40" w:line="257" w:lineRule="auto"/>
            </w:pPr>
            <w:r>
              <w:rPr>
                <w:rFonts w:ascii="Aptos" w:hAnsi="Aptos"/>
                <w:b w:val="0"/>
                <w:i w:val="0"/>
                <w:color w:val="282828"/>
                <w:sz w:val="18"/>
              </w:rPr>
              <w:t>Later</w:t>
            </w:r>
          </w:p>
        </w:tc>
        <w:tc>
          <w:tcPr>
            <w:tcW w:type="dxa" w:w="4536"/>
            <w:vAlign w:val="center"/>
          </w:tcPr>
          <w:p>
            <w:pPr>
              <w:spacing w:before="40" w:after="40" w:line="257" w:lineRule="auto"/>
            </w:pPr>
            <w:r>
              <w:rPr>
                <w:rFonts w:ascii="Aptos" w:hAnsi="Aptos"/>
                <w:b w:val="0"/>
                <w:i w:val="0"/>
                <w:color w:val="282828"/>
                <w:sz w:val="18"/>
              </w:rPr>
              <w:t>Separate future vertical rather than hidden scope creep.</w:t>
            </w:r>
          </w:p>
        </w:tc>
      </w:tr>
    </w:tbl>
    <w:p/>
    <w:p>
      <w:pPr>
        <w:pStyle w:val="Heading2"/>
      </w:pPr>
      <w:r>
        <w:t>Major scientific risks to mitigate</w:t>
      </w:r>
    </w:p>
    <w:p>
      <w:pPr>
        <w:pStyle w:val="BodyBullet"/>
        <w:ind w:left="360" w:hanging="216"/>
      </w:pPr>
      <w:r>
        <w:rPr>
          <w:rFonts w:ascii="Aptos" w:hAnsi="Aptos"/>
          <w:b/>
          <w:i w:val="0"/>
          <w:color w:val="1F4E79"/>
          <w:sz w:val="21"/>
        </w:rPr>
        <w:t xml:space="preserve">• </w:t>
      </w:r>
      <w:r>
        <w:rPr>
          <w:rFonts w:ascii="Aptos" w:hAnsi="Aptos"/>
          <w:b w:val="0"/>
          <w:i w:val="0"/>
          <w:color w:val="282828"/>
          <w:sz w:val="20"/>
        </w:rPr>
        <w:t>False precision from unsupported probabilistic assumptions.</w:t>
      </w:r>
    </w:p>
    <w:p>
      <w:pPr>
        <w:pStyle w:val="BodyBullet"/>
        <w:ind w:left="360" w:hanging="216"/>
      </w:pPr>
      <w:r>
        <w:rPr>
          <w:rFonts w:ascii="Aptos" w:hAnsi="Aptos"/>
          <w:b/>
          <w:i w:val="0"/>
          <w:color w:val="1F4E79"/>
          <w:sz w:val="21"/>
        </w:rPr>
        <w:t xml:space="preserve">• </w:t>
      </w:r>
      <w:r>
        <w:rPr>
          <w:rFonts w:ascii="Aptos" w:hAnsi="Aptos"/>
          <w:b w:val="0"/>
          <w:i w:val="0"/>
          <w:color w:val="282828"/>
          <w:sz w:val="20"/>
        </w:rPr>
        <w:t>Blind use of fact-sheet defaults outside the relevant demographic, product, or region.</w:t>
      </w:r>
    </w:p>
    <w:p>
      <w:pPr>
        <w:pStyle w:val="BodyBullet"/>
        <w:ind w:left="360" w:hanging="216"/>
      </w:pPr>
      <w:r>
        <w:rPr>
          <w:rFonts w:ascii="Aptos" w:hAnsi="Aptos"/>
          <w:b/>
          <w:i w:val="0"/>
          <w:color w:val="1F4E79"/>
          <w:sz w:val="21"/>
        </w:rPr>
        <w:t xml:space="preserve">• </w:t>
      </w:r>
      <w:r>
        <w:rPr>
          <w:rFonts w:ascii="Aptos" w:hAnsi="Aptos"/>
          <w:b w:val="0"/>
          <w:i w:val="0"/>
          <w:color w:val="282828"/>
          <w:sz w:val="20"/>
        </w:rPr>
        <w:t>Weak aggregate logic that assumes total co-use or ignores correlated habits.</w:t>
      </w:r>
    </w:p>
    <w:p>
      <w:pPr>
        <w:pStyle w:val="BodyBullet"/>
        <w:ind w:left="360" w:hanging="216"/>
      </w:pPr>
      <w:r>
        <w:rPr>
          <w:rFonts w:ascii="Aptos" w:hAnsi="Aptos"/>
          <w:b/>
          <w:i w:val="0"/>
          <w:color w:val="1F4E79"/>
          <w:sz w:val="21"/>
        </w:rPr>
        <w:t xml:space="preserve">• </w:t>
      </w:r>
      <w:r>
        <w:rPr>
          <w:rFonts w:ascii="Aptos" w:hAnsi="Aptos"/>
          <w:b w:val="0"/>
          <w:i w:val="0"/>
          <w:color w:val="282828"/>
          <w:sz w:val="20"/>
        </w:rPr>
        <w:t>Unit and route mismatches at the PBPK handoff boundary.</w:t>
      </w:r>
    </w:p>
    <w:p>
      <w:pPr>
        <w:pStyle w:val="BodyBullet"/>
        <w:ind w:left="360" w:hanging="216"/>
      </w:pPr>
      <w:r>
        <w:rPr>
          <w:rFonts w:ascii="Aptos" w:hAnsi="Aptos"/>
          <w:b/>
          <w:i w:val="0"/>
          <w:color w:val="1F4E79"/>
          <w:sz w:val="21"/>
        </w:rPr>
        <w:t xml:space="preserve">• </w:t>
      </w:r>
      <w:r>
        <w:rPr>
          <w:rFonts w:ascii="Aptos" w:hAnsi="Aptos"/>
          <w:b w:val="0"/>
          <w:i w:val="0"/>
          <w:color w:val="282828"/>
          <w:sz w:val="20"/>
        </w:rPr>
        <w:t>Silent fallbacks when required physicochemical or use parameters are missing.</w:t>
      </w:r>
    </w:p>
    <w:p>
      <w:pPr>
        <w:pStyle w:val="Heading1"/>
      </w:pPr>
      <w:r>
        <w:t>5. Computational architecture</w:t>
      </w:r>
    </w:p>
    <w:tbl>
      <w:tblPr>
        <w:tblW w:type="auto" w:w="0"/>
        <w:jc w:val="center"/>
        <w:tblLook w:firstColumn="1" w:firstRow="1" w:lastColumn="0" w:lastRow="0" w:noHBand="0" w:noVBand="1" w:val="04A0"/>
      </w:tblPr>
      <w:tblGrid>
        <w:gridCol w:w="9648"/>
      </w:tblGrid>
      <w:tr>
        <w:tc>
          <w:tcPr>
            <w:tcW w:type="dxa" w:w="9072"/>
            <w:shd w:fill="F3F7FC"/>
          </w:tcPr>
          <w:p>
            <w:pPr>
              <w:spacing w:before="40" w:after="20" w:line="252" w:lineRule="auto"/>
            </w:pPr>
            <w:r>
              <w:rPr>
                <w:rFonts w:ascii="Aptos" w:hAnsi="Aptos"/>
                <w:b/>
                <w:i w:val="0"/>
                <w:color w:val="16375C"/>
                <w:sz w:val="20"/>
              </w:rPr>
              <w:t>Recommended architecture</w:t>
            </w:r>
          </w:p>
          <w:p>
            <w:pPr>
              <w:spacing w:before="0" w:after="40" w:line="259" w:lineRule="auto"/>
            </w:pPr>
            <w:r>
              <w:rPr>
                <w:rFonts w:ascii="Aptos" w:hAnsi="Aptos"/>
                <w:b w:val="0"/>
                <w:i w:val="0"/>
                <w:color w:val="282828"/>
                <w:sz w:val="20"/>
              </w:rPr>
              <w:t>Plugin architecture by scenario family, implemented natively in Python. Use strict boundary validation with rich models, then translate to fast execution objects inside the scenario engine. Keep the plugin interface stable so probabilistic or occupational engines can be added later without refactoring the MCP surface.</w:t>
            </w:r>
          </w:p>
        </w:tc>
      </w:tr>
    </w:tbl>
    <w:p/>
    <w:tbl>
      <w:tblPr>
        <w:tblStyle w:val="TableGrid"/>
        <w:tblW w:type="auto" w:w="0"/>
        <w:jc w:val="center"/>
        <w:tblLook w:firstColumn="1" w:firstRow="1" w:lastColumn="0" w:lastRow="0" w:noHBand="0" w:noVBand="1" w:val="04A0"/>
      </w:tblPr>
      <w:tblGrid>
        <w:gridCol w:w="3216"/>
        <w:gridCol w:w="3216"/>
        <w:gridCol w:w="3216"/>
      </w:tblGrid>
      <w:tr>
        <w:tc>
          <w:tcPr>
            <w:tcW w:type="dxa" w:w="1655"/>
            <w:shd w:fill="D9E7F5"/>
            <w:vAlign w:val="center"/>
          </w:tcPr>
          <w:p>
            <w:pPr>
              <w:spacing w:before="40" w:after="40" w:line="252" w:lineRule="auto"/>
            </w:pPr>
            <w:r>
              <w:rPr>
                <w:rFonts w:ascii="Aptos" w:hAnsi="Aptos"/>
                <w:b/>
                <w:i w:val="0"/>
                <w:color w:val="16375C"/>
                <w:sz w:val="18"/>
              </w:rPr>
              <w:t>Layer</w:t>
            </w:r>
          </w:p>
        </w:tc>
        <w:tc>
          <w:tcPr>
            <w:tcW w:type="dxa" w:w="4320"/>
            <w:shd w:fill="D9E7F5"/>
            <w:vAlign w:val="center"/>
          </w:tcPr>
          <w:p>
            <w:pPr>
              <w:spacing w:before="40" w:after="40" w:line="252" w:lineRule="auto"/>
            </w:pPr>
            <w:r>
              <w:rPr>
                <w:rFonts w:ascii="Aptos" w:hAnsi="Aptos"/>
                <w:b/>
                <w:i w:val="0"/>
                <w:color w:val="16375C"/>
                <w:sz w:val="18"/>
              </w:rPr>
              <w:t>Responsibility</w:t>
            </w:r>
          </w:p>
        </w:tc>
        <w:tc>
          <w:tcPr>
            <w:tcW w:type="dxa" w:w="3096"/>
            <w:shd w:fill="D9E7F5"/>
            <w:vAlign w:val="center"/>
          </w:tcPr>
          <w:p>
            <w:pPr>
              <w:spacing w:before="40" w:after="40" w:line="252" w:lineRule="auto"/>
            </w:pPr>
            <w:r>
              <w:rPr>
                <w:rFonts w:ascii="Aptos" w:hAnsi="Aptos"/>
                <w:b/>
                <w:i w:val="0"/>
                <w:color w:val="16375C"/>
                <w:sz w:val="18"/>
              </w:rPr>
              <w:t>Implementation stance</w:t>
            </w:r>
          </w:p>
        </w:tc>
      </w:tr>
      <w:tr>
        <w:tc>
          <w:tcPr>
            <w:tcW w:type="dxa" w:w="1655"/>
            <w:vAlign w:val="center"/>
          </w:tcPr>
          <w:p>
            <w:pPr>
              <w:spacing w:before="40" w:after="40" w:line="257" w:lineRule="auto"/>
            </w:pPr>
            <w:r>
              <w:rPr>
                <w:rFonts w:ascii="Aptos" w:hAnsi="Aptos"/>
                <w:b w:val="0"/>
                <w:i w:val="0"/>
                <w:color w:val="282828"/>
                <w:sz w:val="18"/>
              </w:rPr>
              <w:t>MCP shell</w:t>
            </w:r>
          </w:p>
        </w:tc>
        <w:tc>
          <w:tcPr>
            <w:tcW w:type="dxa" w:w="4320"/>
            <w:vAlign w:val="center"/>
          </w:tcPr>
          <w:p>
            <w:pPr>
              <w:spacing w:before="40" w:after="40" w:line="257" w:lineRule="auto"/>
            </w:pPr>
            <w:r>
              <w:rPr>
                <w:rFonts w:ascii="Aptos" w:hAnsi="Aptos"/>
                <w:b w:val="0"/>
                <w:i w:val="0"/>
                <w:color w:val="282828"/>
                <w:sz w:val="18"/>
              </w:rPr>
              <w:t>JSON-RPC/HTTP surface, schema validation, auth, audit, scenario packaging, PBPK handoff export.</w:t>
            </w:r>
          </w:p>
        </w:tc>
        <w:tc>
          <w:tcPr>
            <w:tcW w:type="dxa" w:w="3096"/>
            <w:vAlign w:val="center"/>
          </w:tcPr>
          <w:p>
            <w:pPr>
              <w:spacing w:before="40" w:after="40" w:line="257" w:lineRule="auto"/>
            </w:pPr>
            <w:r>
              <w:rPr>
                <w:rFonts w:ascii="Aptos" w:hAnsi="Aptos"/>
                <w:b w:val="0"/>
                <w:i w:val="0"/>
                <w:color w:val="282828"/>
                <w:sz w:val="18"/>
              </w:rPr>
              <w:t>Python service.</w:t>
            </w:r>
          </w:p>
        </w:tc>
      </w:tr>
      <w:tr>
        <w:tc>
          <w:tcPr>
            <w:tcW w:type="dxa" w:w="1655"/>
            <w:vAlign w:val="center"/>
          </w:tcPr>
          <w:p>
            <w:pPr>
              <w:spacing w:before="40" w:after="40" w:line="257" w:lineRule="auto"/>
            </w:pPr>
            <w:r>
              <w:rPr>
                <w:rFonts w:ascii="Aptos" w:hAnsi="Aptos"/>
                <w:b w:val="0"/>
                <w:i w:val="0"/>
                <w:color w:val="282828"/>
                <w:sz w:val="18"/>
              </w:rPr>
              <w:t>Scenario plugin layer</w:t>
            </w:r>
          </w:p>
        </w:tc>
        <w:tc>
          <w:tcPr>
            <w:tcW w:type="dxa" w:w="4320"/>
            <w:vAlign w:val="center"/>
          </w:tcPr>
          <w:p>
            <w:pPr>
              <w:spacing w:before="40" w:after="40" w:line="257" w:lineRule="auto"/>
            </w:pPr>
            <w:r>
              <w:rPr>
                <w:rFonts w:ascii="Aptos" w:hAnsi="Aptos"/>
                <w:b w:val="0"/>
                <w:i w:val="0"/>
                <w:color w:val="282828"/>
                <w:sz w:val="18"/>
              </w:rPr>
              <w:t>Route- and use-specific deterministic calculations by scenario family.</w:t>
            </w:r>
          </w:p>
        </w:tc>
        <w:tc>
          <w:tcPr>
            <w:tcW w:type="dxa" w:w="3096"/>
            <w:vAlign w:val="center"/>
          </w:tcPr>
          <w:p>
            <w:pPr>
              <w:spacing w:before="40" w:after="40" w:line="257" w:lineRule="auto"/>
            </w:pPr>
            <w:r>
              <w:rPr>
                <w:rFonts w:ascii="Aptos" w:hAnsi="Aptos"/>
                <w:b w:val="0"/>
                <w:i w:val="0"/>
                <w:color w:val="282828"/>
                <w:sz w:val="18"/>
              </w:rPr>
              <w:t>Python plugin interface; modular by scenario class.</w:t>
            </w:r>
          </w:p>
        </w:tc>
      </w:tr>
      <w:tr>
        <w:tc>
          <w:tcPr>
            <w:tcW w:type="dxa" w:w="1655"/>
            <w:vAlign w:val="center"/>
          </w:tcPr>
          <w:p>
            <w:pPr>
              <w:spacing w:before="40" w:after="40" w:line="257" w:lineRule="auto"/>
            </w:pPr>
            <w:r>
              <w:rPr>
                <w:rFonts w:ascii="Aptos" w:hAnsi="Aptos"/>
                <w:b w:val="0"/>
                <w:i w:val="0"/>
                <w:color w:val="282828"/>
                <w:sz w:val="18"/>
              </w:rPr>
              <w:t>Execution model</w:t>
            </w:r>
          </w:p>
        </w:tc>
        <w:tc>
          <w:tcPr>
            <w:tcW w:type="dxa" w:w="4320"/>
            <w:vAlign w:val="center"/>
          </w:tcPr>
          <w:p>
            <w:pPr>
              <w:spacing w:before="40" w:after="40" w:line="257" w:lineRule="auto"/>
            </w:pPr>
            <w:r>
              <w:rPr>
                <w:rFonts w:ascii="Aptos" w:hAnsi="Aptos"/>
                <w:b w:val="0"/>
                <w:i w:val="0"/>
                <w:color w:val="282828"/>
                <w:sz w:val="18"/>
              </w:rPr>
              <w:t>High-throughput numeric evaluation on validated scenarios.</w:t>
            </w:r>
          </w:p>
        </w:tc>
        <w:tc>
          <w:tcPr>
            <w:tcW w:type="dxa" w:w="3096"/>
            <w:vAlign w:val="center"/>
          </w:tcPr>
          <w:p>
            <w:pPr>
              <w:spacing w:before="40" w:after="40" w:line="257" w:lineRule="auto"/>
            </w:pPr>
            <w:r>
              <w:rPr>
                <w:rFonts w:ascii="Aptos" w:hAnsi="Aptos"/>
                <w:b w:val="0"/>
                <w:i w:val="0"/>
                <w:color w:val="282828"/>
                <w:sz w:val="18"/>
              </w:rPr>
              <w:t>Optimized dataclass or typed execution objects; no heavy validation in inner loops.</w:t>
            </w:r>
          </w:p>
        </w:tc>
      </w:tr>
      <w:tr>
        <w:tc>
          <w:tcPr>
            <w:tcW w:type="dxa" w:w="1655"/>
            <w:vAlign w:val="center"/>
          </w:tcPr>
          <w:p>
            <w:pPr>
              <w:spacing w:before="40" w:after="40" w:line="257" w:lineRule="auto"/>
            </w:pPr>
            <w:r>
              <w:rPr>
                <w:rFonts w:ascii="Aptos" w:hAnsi="Aptos"/>
                <w:b w:val="0"/>
                <w:i w:val="0"/>
                <w:color w:val="282828"/>
                <w:sz w:val="18"/>
              </w:rPr>
              <w:t>Comparison layer</w:t>
            </w:r>
          </w:p>
        </w:tc>
        <w:tc>
          <w:tcPr>
            <w:tcW w:type="dxa" w:w="4320"/>
            <w:vAlign w:val="center"/>
          </w:tcPr>
          <w:p>
            <w:pPr>
              <w:spacing w:before="40" w:after="40" w:line="257" w:lineRule="auto"/>
            </w:pPr>
            <w:r>
              <w:rPr>
                <w:rFonts w:ascii="Aptos" w:hAnsi="Aptos"/>
                <w:b w:val="0"/>
                <w:i w:val="0"/>
                <w:color w:val="282828"/>
                <w:sz w:val="18"/>
              </w:rPr>
              <w:t>Side-by-side scenario comparison, delta analysis, and change explanation.</w:t>
            </w:r>
          </w:p>
        </w:tc>
        <w:tc>
          <w:tcPr>
            <w:tcW w:type="dxa" w:w="3096"/>
            <w:vAlign w:val="center"/>
          </w:tcPr>
          <w:p>
            <w:pPr>
              <w:spacing w:before="40" w:after="40" w:line="257" w:lineRule="auto"/>
            </w:pPr>
            <w:r>
              <w:rPr>
                <w:rFonts w:ascii="Aptos" w:hAnsi="Aptos"/>
                <w:b w:val="0"/>
                <w:i w:val="0"/>
                <w:color w:val="282828"/>
                <w:sz w:val="18"/>
              </w:rPr>
              <w:t>Python orchestration utility.</w:t>
            </w:r>
          </w:p>
        </w:tc>
      </w:tr>
      <w:tr>
        <w:tc>
          <w:tcPr>
            <w:tcW w:type="dxa" w:w="1655"/>
            <w:vAlign w:val="center"/>
          </w:tcPr>
          <w:p>
            <w:pPr>
              <w:spacing w:before="40" w:after="40" w:line="257" w:lineRule="auto"/>
            </w:pPr>
            <w:r>
              <w:rPr>
                <w:rFonts w:ascii="Aptos" w:hAnsi="Aptos"/>
                <w:b w:val="0"/>
                <w:i w:val="0"/>
                <w:color w:val="282828"/>
                <w:sz w:val="18"/>
              </w:rPr>
              <w:t>Future probabilistic engine</w:t>
            </w:r>
          </w:p>
        </w:tc>
        <w:tc>
          <w:tcPr>
            <w:tcW w:type="dxa" w:w="4320"/>
            <w:vAlign w:val="center"/>
          </w:tcPr>
          <w:p>
            <w:pPr>
              <w:spacing w:before="40" w:after="40" w:line="257" w:lineRule="auto"/>
            </w:pPr>
            <w:r>
              <w:rPr>
                <w:rFonts w:ascii="Aptos" w:hAnsi="Aptos"/>
                <w:b w:val="0"/>
                <w:i w:val="0"/>
                <w:color w:val="282828"/>
                <w:sz w:val="18"/>
              </w:rPr>
              <w:t>Sampling and distribution-aware scenario generation.</w:t>
            </w:r>
          </w:p>
        </w:tc>
        <w:tc>
          <w:tcPr>
            <w:tcW w:type="dxa" w:w="3096"/>
            <w:vAlign w:val="center"/>
          </w:tcPr>
          <w:p>
            <w:pPr>
              <w:spacing w:before="40" w:after="40" w:line="257" w:lineRule="auto"/>
            </w:pPr>
            <w:r>
              <w:rPr>
                <w:rFonts w:ascii="Aptos" w:hAnsi="Aptos"/>
                <w:b w:val="0"/>
                <w:i w:val="0"/>
                <w:color w:val="282828"/>
                <w:sz w:val="18"/>
              </w:rPr>
              <w:t>Deferred but enabled by plugin architecture.</w:t>
            </w:r>
          </w:p>
        </w:tc>
      </w:tr>
    </w:tbl>
    <w:p/>
    <w:p>
      <w:pPr>
        <w:pStyle w:val="Heading2"/>
      </w:pPr>
      <w:r>
        <w:t>Data-model pattern</w:t>
      </w:r>
    </w:p>
    <w:p>
      <w:pPr>
        <w:pStyle w:val="BodyBullet"/>
        <w:ind w:left="360" w:hanging="216"/>
      </w:pPr>
      <w:r>
        <w:rPr>
          <w:rFonts w:ascii="Aptos" w:hAnsi="Aptos"/>
          <w:b/>
          <w:i w:val="0"/>
          <w:color w:val="1F4E79"/>
          <w:sz w:val="21"/>
        </w:rPr>
        <w:t xml:space="preserve">• </w:t>
      </w:r>
      <w:r>
        <w:rPr>
          <w:rFonts w:ascii="Aptos" w:hAnsi="Aptos"/>
          <w:b w:val="0"/>
          <w:i w:val="0"/>
          <w:color w:val="282828"/>
          <w:sz w:val="20"/>
        </w:rPr>
        <w:t>Boundary/API layer uses rich validation models for incoming requests and outward-facing responses.</w:t>
      </w:r>
    </w:p>
    <w:p>
      <w:pPr>
        <w:pStyle w:val="BodyBullet"/>
        <w:ind w:left="360" w:hanging="216"/>
      </w:pPr>
      <w:r>
        <w:rPr>
          <w:rFonts w:ascii="Aptos" w:hAnsi="Aptos"/>
          <w:b/>
          <w:i w:val="0"/>
          <w:color w:val="1F4E79"/>
          <w:sz w:val="21"/>
        </w:rPr>
        <w:t xml:space="preserve">• </w:t>
      </w:r>
      <w:r>
        <w:rPr>
          <w:rFonts w:ascii="Aptos" w:hAnsi="Aptos"/>
          <w:b w:val="0"/>
          <w:i w:val="0"/>
          <w:color w:val="282828"/>
          <w:sz w:val="20"/>
        </w:rPr>
        <w:t>Execution layer translates validated objects into lightweight structures suitable for numerical loops.</w:t>
      </w:r>
    </w:p>
    <w:p>
      <w:pPr>
        <w:pStyle w:val="BodyBullet"/>
        <w:ind w:left="360" w:hanging="216"/>
      </w:pPr>
      <w:r>
        <w:rPr>
          <w:rFonts w:ascii="Aptos" w:hAnsi="Aptos"/>
          <w:b/>
          <w:i w:val="0"/>
          <w:color w:val="1F4E79"/>
          <w:sz w:val="21"/>
        </w:rPr>
        <w:t xml:space="preserve">• </w:t>
      </w:r>
      <w:r>
        <w:rPr>
          <w:rFonts w:ascii="Aptos" w:hAnsi="Aptos"/>
          <w:b w:val="0"/>
          <w:i w:val="0"/>
          <w:color w:val="282828"/>
          <w:sz w:val="20"/>
        </w:rPr>
        <w:t>Results are re-serialized into versioned outward-facing objects before returning to ToxClaw or PBPK MCP.</w:t>
      </w:r>
    </w:p>
    <w:p>
      <w:pPr>
        <w:pStyle w:val="Heading1"/>
      </w:pPr>
      <w:r>
        <w:t>6. Public tool catalog</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fill="D9E7F5"/>
            <w:vAlign w:val="center"/>
          </w:tcPr>
          <w:p>
            <w:pPr>
              <w:spacing w:before="40" w:after="40" w:line="252" w:lineRule="auto"/>
            </w:pPr>
            <w:r>
              <w:rPr>
                <w:rFonts w:ascii="Aptos" w:hAnsi="Aptos"/>
                <w:b/>
                <w:i w:val="0"/>
                <w:color w:val="16375C"/>
                <w:sz w:val="18"/>
              </w:rPr>
              <w:t>Tool</w:t>
            </w:r>
          </w:p>
        </w:tc>
        <w:tc>
          <w:tcPr>
            <w:tcW w:type="dxa" w:w="1368"/>
            <w:shd w:fill="D9E7F5"/>
            <w:vAlign w:val="center"/>
          </w:tcPr>
          <w:p>
            <w:pPr>
              <w:spacing w:before="40" w:after="40" w:line="252" w:lineRule="auto"/>
            </w:pPr>
            <w:r>
              <w:rPr>
                <w:rFonts w:ascii="Aptos" w:hAnsi="Aptos"/>
                <w:b/>
                <w:i w:val="0"/>
                <w:color w:val="16375C"/>
                <w:sz w:val="18"/>
              </w:rPr>
              <w:t>Status</w:t>
            </w:r>
          </w:p>
        </w:tc>
        <w:tc>
          <w:tcPr>
            <w:tcW w:type="dxa" w:w="4536"/>
            <w:shd w:fill="D9E7F5"/>
            <w:vAlign w:val="center"/>
          </w:tcPr>
          <w:p>
            <w:pPr>
              <w:spacing w:before="40" w:after="40" w:line="252" w:lineRule="auto"/>
            </w:pPr>
            <w:r>
              <w:rPr>
                <w:rFonts w:ascii="Aptos" w:hAnsi="Aptos"/>
                <w:b/>
                <w:i w:val="0"/>
                <w:color w:val="16375C"/>
                <w:sz w:val="18"/>
              </w:rPr>
              <w:t>Purpose</w:t>
            </w:r>
          </w:p>
        </w:tc>
      </w:tr>
      <w:tr>
        <w:tc>
          <w:tcPr>
            <w:tcW w:type="dxa" w:w="3168"/>
            <w:vAlign w:val="center"/>
          </w:tcPr>
          <w:p>
            <w:pPr>
              <w:spacing w:before="40" w:after="40" w:line="257" w:lineRule="auto"/>
            </w:pPr>
            <w:r>
              <w:rPr>
                <w:rFonts w:ascii="Aptos" w:hAnsi="Aptos"/>
                <w:b w:val="0"/>
                <w:i w:val="0"/>
                <w:color w:val="282828"/>
                <w:sz w:val="18"/>
              </w:rPr>
              <w:t>build_screening_exposure_scenario</w:t>
            </w:r>
          </w:p>
        </w:tc>
        <w:tc>
          <w:tcPr>
            <w:tcW w:type="dxa" w:w="1368"/>
            <w:vAlign w:val="center"/>
          </w:tcPr>
          <w:p>
            <w:pPr>
              <w:spacing w:before="40" w:after="40" w:line="257" w:lineRule="auto"/>
            </w:pPr>
            <w:r>
              <w:rPr>
                <w:rFonts w:ascii="Aptos" w:hAnsi="Aptos"/>
                <w:b w:val="0"/>
                <w:i w:val="0"/>
                <w:color w:val="282828"/>
                <w:sz w:val="18"/>
              </w:rPr>
              <w:t>Essential</w:t>
            </w:r>
          </w:p>
        </w:tc>
        <w:tc>
          <w:tcPr>
            <w:tcW w:type="dxa" w:w="4536"/>
            <w:vAlign w:val="center"/>
          </w:tcPr>
          <w:p>
            <w:pPr>
              <w:spacing w:before="40" w:after="40" w:line="257" w:lineRule="auto"/>
            </w:pPr>
            <w:r>
              <w:rPr>
                <w:rFonts w:ascii="Aptos" w:hAnsi="Aptos"/>
                <w:b w:val="0"/>
                <w:i w:val="0"/>
                <w:color w:val="282828"/>
                <w:sz w:val="18"/>
              </w:rPr>
              <w:t>Create one deterministic, conservative external exposure scenario from product/use assumptions.</w:t>
            </w:r>
          </w:p>
        </w:tc>
      </w:tr>
      <w:tr>
        <w:tc>
          <w:tcPr>
            <w:tcW w:type="dxa" w:w="3168"/>
            <w:vAlign w:val="center"/>
          </w:tcPr>
          <w:p>
            <w:pPr>
              <w:spacing w:before="40" w:after="40" w:line="257" w:lineRule="auto"/>
            </w:pPr>
            <w:r>
              <w:rPr>
                <w:rFonts w:ascii="Aptos" w:hAnsi="Aptos"/>
                <w:b w:val="0"/>
                <w:i w:val="0"/>
                <w:color w:val="282828"/>
                <w:sz w:val="18"/>
              </w:rPr>
              <w:t>build_aggregate_exposure_scenario</w:t>
            </w:r>
          </w:p>
        </w:tc>
        <w:tc>
          <w:tcPr>
            <w:tcW w:type="dxa" w:w="1368"/>
            <w:vAlign w:val="center"/>
          </w:tcPr>
          <w:p>
            <w:pPr>
              <w:spacing w:before="40" w:after="40" w:line="257" w:lineRule="auto"/>
            </w:pPr>
            <w:r>
              <w:rPr>
                <w:rFonts w:ascii="Aptos" w:hAnsi="Aptos"/>
                <w:b w:val="0"/>
                <w:i w:val="0"/>
                <w:color w:val="282828"/>
                <w:sz w:val="18"/>
              </w:rPr>
              <w:t>Essential</w:t>
            </w:r>
          </w:p>
        </w:tc>
        <w:tc>
          <w:tcPr>
            <w:tcW w:type="dxa" w:w="4536"/>
            <w:vAlign w:val="center"/>
          </w:tcPr>
          <w:p>
            <w:pPr>
              <w:spacing w:before="40" w:after="40" w:line="257" w:lineRule="auto"/>
            </w:pPr>
            <w:r>
              <w:rPr>
                <w:rFonts w:ascii="Aptos" w:hAnsi="Aptos"/>
                <w:b w:val="0"/>
                <w:i w:val="0"/>
                <w:color w:val="282828"/>
                <w:sz w:val="18"/>
              </w:rPr>
              <w:t>Combine multiple declared scenarios into one auditable aggregate exposure summary.</w:t>
            </w:r>
          </w:p>
        </w:tc>
      </w:tr>
      <w:tr>
        <w:tc>
          <w:tcPr>
            <w:tcW w:type="dxa" w:w="3168"/>
            <w:vAlign w:val="center"/>
          </w:tcPr>
          <w:p>
            <w:pPr>
              <w:spacing w:before="40" w:after="40" w:line="257" w:lineRule="auto"/>
            </w:pPr>
            <w:r>
              <w:rPr>
                <w:rFonts w:ascii="Aptos" w:hAnsi="Aptos"/>
                <w:b w:val="0"/>
                <w:i w:val="0"/>
                <w:color w:val="282828"/>
                <w:sz w:val="18"/>
              </w:rPr>
              <w:t>build_inhalation_screening_scenario</w:t>
            </w:r>
          </w:p>
        </w:tc>
        <w:tc>
          <w:tcPr>
            <w:tcW w:type="dxa" w:w="1368"/>
            <w:vAlign w:val="center"/>
          </w:tcPr>
          <w:p>
            <w:pPr>
              <w:spacing w:before="40" w:after="40" w:line="257" w:lineRule="auto"/>
            </w:pPr>
            <w:r>
              <w:rPr>
                <w:rFonts w:ascii="Aptos" w:hAnsi="Aptos"/>
                <w:b w:val="0"/>
                <w:i w:val="0"/>
                <w:color w:val="282828"/>
                <w:sz w:val="18"/>
              </w:rPr>
              <w:t>Essential</w:t>
            </w:r>
          </w:p>
        </w:tc>
        <w:tc>
          <w:tcPr>
            <w:tcW w:type="dxa" w:w="4536"/>
            <w:vAlign w:val="center"/>
          </w:tcPr>
          <w:p>
            <w:pPr>
              <w:spacing w:before="40" w:after="40" w:line="257" w:lineRule="auto"/>
            </w:pPr>
            <w:r>
              <w:rPr>
                <w:rFonts w:ascii="Aptos" w:hAnsi="Aptos"/>
                <w:b w:val="0"/>
                <w:i w:val="0"/>
                <w:color w:val="282828"/>
                <w:sz w:val="18"/>
              </w:rPr>
              <w:t>Construct screening inhalation or aerosol scenarios using room and ventilation semantics.</w:t>
            </w:r>
          </w:p>
        </w:tc>
      </w:tr>
      <w:tr>
        <w:tc>
          <w:tcPr>
            <w:tcW w:type="dxa" w:w="3168"/>
            <w:vAlign w:val="center"/>
          </w:tcPr>
          <w:p>
            <w:pPr>
              <w:spacing w:before="40" w:after="40" w:line="257" w:lineRule="auto"/>
            </w:pPr>
            <w:r>
              <w:rPr>
                <w:rFonts w:ascii="Aptos" w:hAnsi="Aptos"/>
                <w:b w:val="0"/>
                <w:i w:val="0"/>
                <w:color w:val="282828"/>
                <w:sz w:val="18"/>
              </w:rPr>
              <w:t>export_pbpk_scenario_input</w:t>
            </w:r>
          </w:p>
        </w:tc>
        <w:tc>
          <w:tcPr>
            <w:tcW w:type="dxa" w:w="1368"/>
            <w:vAlign w:val="center"/>
          </w:tcPr>
          <w:p>
            <w:pPr>
              <w:spacing w:before="40" w:after="40" w:line="257" w:lineRule="auto"/>
            </w:pPr>
            <w:r>
              <w:rPr>
                <w:rFonts w:ascii="Aptos" w:hAnsi="Aptos"/>
                <w:b w:val="0"/>
                <w:i w:val="0"/>
                <w:color w:val="282828"/>
                <w:sz w:val="18"/>
              </w:rPr>
              <w:t>Essential</w:t>
            </w:r>
          </w:p>
        </w:tc>
        <w:tc>
          <w:tcPr>
            <w:tcW w:type="dxa" w:w="4536"/>
            <w:vAlign w:val="center"/>
          </w:tcPr>
          <w:p>
            <w:pPr>
              <w:spacing w:before="40" w:after="40" w:line="257" w:lineRule="auto"/>
            </w:pPr>
            <w:r>
              <w:rPr>
                <w:rFonts w:ascii="Aptos" w:hAnsi="Aptos"/>
                <w:b w:val="0"/>
                <w:i w:val="0"/>
                <w:color w:val="282828"/>
                <w:sz w:val="18"/>
              </w:rPr>
              <w:t>Generate the formal handoff object consumed by PBPK MCP.</w:t>
            </w:r>
          </w:p>
        </w:tc>
      </w:tr>
      <w:tr>
        <w:tc>
          <w:tcPr>
            <w:tcW w:type="dxa" w:w="3168"/>
            <w:vAlign w:val="center"/>
          </w:tcPr>
          <w:p>
            <w:pPr>
              <w:spacing w:before="40" w:after="40" w:line="257" w:lineRule="auto"/>
            </w:pPr>
            <w:r>
              <w:rPr>
                <w:rFonts w:ascii="Aptos" w:hAnsi="Aptos"/>
                <w:b w:val="0"/>
                <w:i w:val="0"/>
                <w:color w:val="282828"/>
                <w:sz w:val="18"/>
              </w:rPr>
              <w:t>compare_exposure_scenarios</w:t>
            </w:r>
          </w:p>
        </w:tc>
        <w:tc>
          <w:tcPr>
            <w:tcW w:type="dxa" w:w="1368"/>
            <w:vAlign w:val="center"/>
          </w:tcPr>
          <w:p>
            <w:pPr>
              <w:spacing w:before="40" w:after="40" w:line="257" w:lineRule="auto"/>
            </w:pPr>
            <w:r>
              <w:rPr>
                <w:rFonts w:ascii="Aptos" w:hAnsi="Aptos"/>
                <w:b w:val="0"/>
                <w:i w:val="0"/>
                <w:color w:val="282828"/>
                <w:sz w:val="18"/>
              </w:rPr>
              <w:t>Essential</w:t>
            </w:r>
          </w:p>
        </w:tc>
        <w:tc>
          <w:tcPr>
            <w:tcW w:type="dxa" w:w="4536"/>
            <w:vAlign w:val="center"/>
          </w:tcPr>
          <w:p>
            <w:pPr>
              <w:spacing w:before="40" w:after="40" w:line="257" w:lineRule="auto"/>
            </w:pPr>
            <w:r>
              <w:rPr>
                <w:rFonts w:ascii="Aptos" w:hAnsi="Aptos"/>
                <w:b w:val="0"/>
                <w:i w:val="0"/>
                <w:color w:val="282828"/>
                <w:sz w:val="18"/>
              </w:rPr>
              <w:t>Quantify what changed between two scenarios and how the external dose shifted.</w:t>
            </w:r>
          </w:p>
        </w:tc>
      </w:tr>
      <w:tr>
        <w:tc>
          <w:tcPr>
            <w:tcW w:type="dxa" w:w="3168"/>
            <w:vAlign w:val="center"/>
          </w:tcPr>
          <w:p>
            <w:pPr>
              <w:spacing w:before="40" w:after="40" w:line="257" w:lineRule="auto"/>
            </w:pPr>
            <w:r>
              <w:rPr>
                <w:rFonts w:ascii="Aptos" w:hAnsi="Aptos"/>
                <w:b w:val="0"/>
                <w:i w:val="0"/>
                <w:color w:val="282828"/>
                <w:sz w:val="18"/>
              </w:rPr>
              <w:t>build_population_exposure_distribution</w:t>
            </w:r>
          </w:p>
        </w:tc>
        <w:tc>
          <w:tcPr>
            <w:tcW w:type="dxa" w:w="1368"/>
            <w:vAlign w:val="center"/>
          </w:tcPr>
          <w:p>
            <w:pPr>
              <w:spacing w:before="40" w:after="40" w:line="257" w:lineRule="auto"/>
            </w:pPr>
            <w:r>
              <w:rPr>
                <w:rFonts w:ascii="Aptos" w:hAnsi="Aptos"/>
                <w:b w:val="0"/>
                <w:i w:val="0"/>
                <w:color w:val="282828"/>
                <w:sz w:val="18"/>
              </w:rPr>
              <w:t>Deferred</w:t>
            </w:r>
          </w:p>
        </w:tc>
        <w:tc>
          <w:tcPr>
            <w:tcW w:type="dxa" w:w="4536"/>
            <w:vAlign w:val="center"/>
          </w:tcPr>
          <w:p>
            <w:pPr>
              <w:spacing w:before="40" w:after="40" w:line="257" w:lineRule="auto"/>
            </w:pPr>
            <w:r>
              <w:rPr>
                <w:rFonts w:ascii="Aptos" w:hAnsi="Aptos"/>
                <w:b w:val="0"/>
                <w:i w:val="0"/>
                <w:color w:val="282828"/>
                <w:sz w:val="18"/>
              </w:rPr>
              <w:t>Distributional engine reserved for v0.2+.</w:t>
            </w:r>
          </w:p>
        </w:tc>
      </w:tr>
      <w:tr>
        <w:tc>
          <w:tcPr>
            <w:tcW w:type="dxa" w:w="3168"/>
            <w:vAlign w:val="center"/>
          </w:tcPr>
          <w:p>
            <w:pPr>
              <w:spacing w:before="40" w:after="40" w:line="257" w:lineRule="auto"/>
            </w:pPr>
            <w:r>
              <w:rPr>
                <w:rFonts w:ascii="Aptos" w:hAnsi="Aptos"/>
                <w:b w:val="0"/>
                <w:i w:val="0"/>
                <w:color w:val="282828"/>
                <w:sz w:val="18"/>
              </w:rPr>
              <w:t>export_exposure_scenario_report</w:t>
            </w:r>
          </w:p>
        </w:tc>
        <w:tc>
          <w:tcPr>
            <w:tcW w:type="dxa" w:w="1368"/>
            <w:vAlign w:val="center"/>
          </w:tcPr>
          <w:p>
            <w:pPr>
              <w:spacing w:before="40" w:after="40" w:line="257" w:lineRule="auto"/>
            </w:pPr>
            <w:r>
              <w:rPr>
                <w:rFonts w:ascii="Aptos" w:hAnsi="Aptos"/>
                <w:b w:val="0"/>
                <w:i w:val="0"/>
                <w:color w:val="282828"/>
                <w:sz w:val="18"/>
              </w:rPr>
              <w:t>Optional</w:t>
            </w:r>
          </w:p>
        </w:tc>
        <w:tc>
          <w:tcPr>
            <w:tcW w:type="dxa" w:w="4536"/>
            <w:vAlign w:val="center"/>
          </w:tcPr>
          <w:p>
            <w:pPr>
              <w:spacing w:before="40" w:after="40" w:line="257" w:lineRule="auto"/>
            </w:pPr>
            <w:r>
              <w:rPr>
                <w:rFonts w:ascii="Aptos" w:hAnsi="Aptos"/>
                <w:b w:val="0"/>
                <w:i w:val="0"/>
                <w:color w:val="282828"/>
                <w:sz w:val="18"/>
              </w:rPr>
              <w:t>Human-readable report is lower priority because ToxClaw owns final reporting.</w:t>
            </w:r>
          </w:p>
        </w:tc>
      </w:tr>
    </w:tbl>
    <w:p/>
    <w:p>
      <w:pPr>
        <w:pStyle w:val="Heading2"/>
      </w:pPr>
      <w:r>
        <w:t>Execution model for v0.1</w:t>
      </w:r>
    </w:p>
    <w:p>
      <w:pPr>
        <w:pStyle w:val="BodyBullet"/>
        <w:ind w:left="360" w:hanging="216"/>
      </w:pPr>
      <w:r>
        <w:rPr>
          <w:rFonts w:ascii="Aptos" w:hAnsi="Aptos"/>
          <w:b/>
          <w:i w:val="0"/>
          <w:color w:val="1F4E79"/>
          <w:sz w:val="21"/>
        </w:rPr>
        <w:t xml:space="preserve">• </w:t>
      </w:r>
      <w:r>
        <w:rPr>
          <w:rFonts w:ascii="Aptos" w:hAnsi="Aptos"/>
          <w:b w:val="0"/>
          <w:i w:val="0"/>
          <w:color w:val="282828"/>
          <w:sz w:val="20"/>
        </w:rPr>
        <w:t>Deterministic scenario building should be synchronous by default because the expected compute cost is low.</w:t>
      </w:r>
    </w:p>
    <w:p>
      <w:pPr>
        <w:pStyle w:val="BodyBullet"/>
        <w:ind w:left="360" w:hanging="216"/>
      </w:pPr>
      <w:r>
        <w:rPr>
          <w:rFonts w:ascii="Aptos" w:hAnsi="Aptos"/>
          <w:b/>
          <w:i w:val="0"/>
          <w:color w:val="1F4E79"/>
          <w:sz w:val="21"/>
        </w:rPr>
        <w:t xml:space="preserve">• </w:t>
      </w:r>
      <w:r>
        <w:rPr>
          <w:rFonts w:ascii="Aptos" w:hAnsi="Aptos"/>
          <w:b w:val="0"/>
          <w:i w:val="0"/>
          <w:color w:val="282828"/>
          <w:sz w:val="20"/>
        </w:rPr>
        <w:t>The architecture must still expose job-state concepts cleanly so population engines can adopt async execution later without breaking contracts.</w:t>
      </w:r>
    </w:p>
    <w:p>
      <w:pPr>
        <w:pStyle w:val="BodyBullet"/>
        <w:ind w:left="360" w:hanging="216"/>
      </w:pPr>
      <w:r>
        <w:rPr>
          <w:rFonts w:ascii="Aptos" w:hAnsi="Aptos"/>
          <w:b/>
          <w:i w:val="0"/>
          <w:color w:val="1F4E79"/>
          <w:sz w:val="21"/>
        </w:rPr>
        <w:t xml:space="preserve">• </w:t>
      </w:r>
      <w:r>
        <w:rPr>
          <w:rFonts w:ascii="Aptos" w:hAnsi="Aptos"/>
          <w:b w:val="0"/>
          <w:i w:val="0"/>
          <w:color w:val="282828"/>
          <w:sz w:val="20"/>
        </w:rPr>
        <w:t>Scenario comparison remains a first-class capability because ToxClaw needs to document refinement from screening to refined assumptions.</w:t>
      </w:r>
    </w:p>
    <w:p>
      <w:pPr>
        <w:pStyle w:val="Heading1"/>
      </w:pPr>
      <w:r>
        <w:t>7. Core object model</w:t>
      </w:r>
    </w:p>
    <w:tbl>
      <w:tblPr>
        <w:tblStyle w:val="TableGrid"/>
        <w:tblW w:type="auto" w:w="0"/>
        <w:jc w:val="center"/>
        <w:tblLook w:firstColumn="1" w:firstRow="1" w:lastColumn="0" w:lastRow="0" w:noHBand="0" w:noVBand="1" w:val="04A0"/>
      </w:tblPr>
      <w:tblGrid>
        <w:gridCol w:w="3216"/>
        <w:gridCol w:w="3216"/>
        <w:gridCol w:w="3216"/>
      </w:tblGrid>
      <w:tr>
        <w:tc>
          <w:tcPr>
            <w:tcW w:type="dxa" w:w="2376"/>
            <w:shd w:fill="D9E7F5"/>
            <w:vAlign w:val="center"/>
          </w:tcPr>
          <w:p>
            <w:pPr>
              <w:spacing w:before="40" w:after="40" w:line="252" w:lineRule="auto"/>
            </w:pPr>
            <w:r>
              <w:rPr>
                <w:rFonts w:ascii="Aptos" w:hAnsi="Aptos"/>
                <w:b/>
                <w:i w:val="0"/>
                <w:color w:val="16375C"/>
                <w:sz w:val="18"/>
              </w:rPr>
              <w:t>Object</w:t>
            </w:r>
          </w:p>
        </w:tc>
        <w:tc>
          <w:tcPr>
            <w:tcW w:type="dxa" w:w="2448"/>
            <w:shd w:fill="D9E7F5"/>
            <w:vAlign w:val="center"/>
          </w:tcPr>
          <w:p>
            <w:pPr>
              <w:spacing w:before="40" w:after="40" w:line="252" w:lineRule="auto"/>
            </w:pPr>
            <w:r>
              <w:rPr>
                <w:rFonts w:ascii="Aptos" w:hAnsi="Aptos"/>
                <w:b/>
                <w:i w:val="0"/>
                <w:color w:val="16375C"/>
                <w:sz w:val="18"/>
              </w:rPr>
              <w:t>Purpose</w:t>
            </w:r>
          </w:p>
        </w:tc>
        <w:tc>
          <w:tcPr>
            <w:tcW w:type="dxa" w:w="4248"/>
            <w:shd w:fill="D9E7F5"/>
            <w:vAlign w:val="center"/>
          </w:tcPr>
          <w:p>
            <w:pPr>
              <w:spacing w:before="40" w:after="40" w:line="252" w:lineRule="auto"/>
            </w:pPr>
            <w:r>
              <w:rPr>
                <w:rFonts w:ascii="Aptos" w:hAnsi="Aptos"/>
                <w:b/>
                <w:i w:val="0"/>
                <w:color w:val="16375C"/>
                <w:sz w:val="18"/>
              </w:rPr>
              <w:t>Minimum required content</w:t>
            </w:r>
          </w:p>
        </w:tc>
      </w:tr>
      <w:tr>
        <w:tc>
          <w:tcPr>
            <w:tcW w:type="dxa" w:w="2376"/>
            <w:vAlign w:val="center"/>
          </w:tcPr>
          <w:p>
            <w:pPr>
              <w:spacing w:before="40" w:after="40" w:line="257" w:lineRule="auto"/>
            </w:pPr>
            <w:r>
              <w:rPr>
                <w:rFonts w:ascii="Aptos" w:hAnsi="Aptos"/>
                <w:b w:val="0"/>
                <w:i w:val="0"/>
                <w:color w:val="282828"/>
                <w:sz w:val="18"/>
              </w:rPr>
              <w:t>productUseProfile.v1</w:t>
            </w:r>
          </w:p>
        </w:tc>
        <w:tc>
          <w:tcPr>
            <w:tcW w:type="dxa" w:w="2448"/>
            <w:vAlign w:val="center"/>
          </w:tcPr>
          <w:p>
            <w:pPr>
              <w:spacing w:before="40" w:after="40" w:line="257" w:lineRule="auto"/>
            </w:pPr>
            <w:r>
              <w:rPr>
                <w:rFonts w:ascii="Aptos" w:hAnsi="Aptos"/>
                <w:b w:val="0"/>
                <w:i w:val="0"/>
                <w:color w:val="282828"/>
                <w:sz w:val="18"/>
              </w:rPr>
              <w:t>Physical product and use-context record.</w:t>
            </w:r>
          </w:p>
        </w:tc>
        <w:tc>
          <w:tcPr>
            <w:tcW w:type="dxa" w:w="4248"/>
            <w:vAlign w:val="center"/>
          </w:tcPr>
          <w:p>
            <w:pPr>
              <w:spacing w:before="40" w:after="40" w:line="257" w:lineRule="auto"/>
            </w:pPr>
            <w:r>
              <w:rPr>
                <w:rFonts w:ascii="Aptos" w:hAnsi="Aptos"/>
                <w:b w:val="0"/>
                <w:i w:val="0"/>
                <w:color w:val="282828"/>
                <w:sz w:val="18"/>
              </w:rPr>
              <w:t>Product category or PUC, formulation fraction, physical form, application method, retention type, use frequency context.</w:t>
            </w:r>
          </w:p>
        </w:tc>
      </w:tr>
      <w:tr>
        <w:tc>
          <w:tcPr>
            <w:tcW w:type="dxa" w:w="2376"/>
            <w:vAlign w:val="center"/>
          </w:tcPr>
          <w:p>
            <w:pPr>
              <w:spacing w:before="40" w:after="40" w:line="257" w:lineRule="auto"/>
            </w:pPr>
            <w:r>
              <w:rPr>
                <w:rFonts w:ascii="Aptos" w:hAnsi="Aptos"/>
                <w:b w:val="0"/>
                <w:i w:val="0"/>
                <w:color w:val="282828"/>
                <w:sz w:val="18"/>
              </w:rPr>
              <w:t>populationProfile.v1</w:t>
            </w:r>
          </w:p>
        </w:tc>
        <w:tc>
          <w:tcPr>
            <w:tcW w:type="dxa" w:w="2448"/>
            <w:vAlign w:val="center"/>
          </w:tcPr>
          <w:p>
            <w:pPr>
              <w:spacing w:before="40" w:after="40" w:line="257" w:lineRule="auto"/>
            </w:pPr>
            <w:r>
              <w:rPr>
                <w:rFonts w:ascii="Aptos" w:hAnsi="Aptos"/>
                <w:b w:val="0"/>
                <w:i w:val="0"/>
                <w:color w:val="282828"/>
                <w:sz w:val="18"/>
              </w:rPr>
              <w:t>Exposed cohort description.</w:t>
            </w:r>
          </w:p>
        </w:tc>
        <w:tc>
          <w:tcPr>
            <w:tcW w:type="dxa" w:w="4248"/>
            <w:vAlign w:val="center"/>
          </w:tcPr>
          <w:p>
            <w:pPr>
              <w:spacing w:before="40" w:after="40" w:line="257" w:lineRule="auto"/>
            </w:pPr>
            <w:r>
              <w:rPr>
                <w:rFonts w:ascii="Aptos" w:hAnsi="Aptos"/>
                <w:b w:val="0"/>
                <w:i w:val="0"/>
                <w:color w:val="282828"/>
                <w:sz w:val="18"/>
              </w:rPr>
              <w:t>Population group, body weight basis, exposed surface area or inhalation rate inputs, demographic tags, regional context.</w:t>
            </w:r>
          </w:p>
        </w:tc>
      </w:tr>
      <w:tr>
        <w:tc>
          <w:tcPr>
            <w:tcW w:type="dxa" w:w="2376"/>
            <w:vAlign w:val="center"/>
          </w:tcPr>
          <w:p>
            <w:pPr>
              <w:spacing w:before="40" w:after="40" w:line="257" w:lineRule="auto"/>
            </w:pPr>
            <w:r>
              <w:rPr>
                <w:rFonts w:ascii="Aptos" w:hAnsi="Aptos"/>
                <w:b w:val="0"/>
                <w:i w:val="0"/>
                <w:color w:val="282828"/>
                <w:sz w:val="18"/>
              </w:rPr>
              <w:t>exposureScenarioRequest.v1</w:t>
            </w:r>
          </w:p>
        </w:tc>
        <w:tc>
          <w:tcPr>
            <w:tcW w:type="dxa" w:w="2448"/>
            <w:vAlign w:val="center"/>
          </w:tcPr>
          <w:p>
            <w:pPr>
              <w:spacing w:before="40" w:after="40" w:line="257" w:lineRule="auto"/>
            </w:pPr>
            <w:r>
              <w:rPr>
                <w:rFonts w:ascii="Aptos" w:hAnsi="Aptos"/>
                <w:b w:val="0"/>
                <w:i w:val="0"/>
                <w:color w:val="282828"/>
                <w:sz w:val="18"/>
              </w:rPr>
              <w:t>Inbound scenario request.</w:t>
            </w:r>
          </w:p>
        </w:tc>
        <w:tc>
          <w:tcPr>
            <w:tcW w:type="dxa" w:w="4248"/>
            <w:vAlign w:val="center"/>
          </w:tcPr>
          <w:p>
            <w:pPr>
              <w:spacing w:before="40" w:after="40" w:line="257" w:lineRule="auto"/>
            </w:pPr>
            <w:r>
              <w:rPr>
                <w:rFonts w:ascii="Aptos" w:hAnsi="Aptos"/>
                <w:b w:val="0"/>
                <w:i w:val="0"/>
                <w:color w:val="282828"/>
                <w:sz w:val="18"/>
              </w:rPr>
              <w:t>Chemical ID, route, requested scenario class, linked product/population profiles, assumption overrides.</w:t>
            </w:r>
          </w:p>
        </w:tc>
      </w:tr>
      <w:tr>
        <w:tc>
          <w:tcPr>
            <w:tcW w:type="dxa" w:w="2376"/>
            <w:vAlign w:val="center"/>
          </w:tcPr>
          <w:p>
            <w:pPr>
              <w:spacing w:before="40" w:after="40" w:line="257" w:lineRule="auto"/>
            </w:pPr>
            <w:r>
              <w:rPr>
                <w:rFonts w:ascii="Aptos" w:hAnsi="Aptos"/>
                <w:b w:val="0"/>
                <w:i w:val="0"/>
                <w:color w:val="282828"/>
                <w:sz w:val="18"/>
              </w:rPr>
              <w:t>exposureScenario.v1</w:t>
            </w:r>
          </w:p>
        </w:tc>
        <w:tc>
          <w:tcPr>
            <w:tcW w:type="dxa" w:w="2448"/>
            <w:vAlign w:val="center"/>
          </w:tcPr>
          <w:p>
            <w:pPr>
              <w:spacing w:before="40" w:after="40" w:line="257" w:lineRule="auto"/>
            </w:pPr>
            <w:r>
              <w:rPr>
                <w:rFonts w:ascii="Aptos" w:hAnsi="Aptos"/>
                <w:b w:val="0"/>
                <w:i w:val="0"/>
                <w:color w:val="282828"/>
                <w:sz w:val="18"/>
              </w:rPr>
              <w:t>Canonical single-scenario output.</w:t>
            </w:r>
          </w:p>
        </w:tc>
        <w:tc>
          <w:tcPr>
            <w:tcW w:type="dxa" w:w="4248"/>
            <w:vAlign w:val="center"/>
          </w:tcPr>
          <w:p>
            <w:pPr>
              <w:spacing w:before="40" w:after="40" w:line="257" w:lineRule="auto"/>
            </w:pPr>
            <w:r>
              <w:rPr>
                <w:rFonts w:ascii="Aptos" w:hAnsi="Aptos"/>
                <w:b w:val="0"/>
                <w:i w:val="0"/>
                <w:color w:val="282828"/>
                <w:sz w:val="18"/>
              </w:rPr>
              <w:t>Scenario ID, route, external dose estimate, units, use assumptions, scenario tier tag, provenance.</w:t>
            </w:r>
          </w:p>
        </w:tc>
      </w:tr>
      <w:tr>
        <w:tc>
          <w:tcPr>
            <w:tcW w:type="dxa" w:w="2376"/>
            <w:vAlign w:val="center"/>
          </w:tcPr>
          <w:p>
            <w:pPr>
              <w:spacing w:before="40" w:after="40" w:line="257" w:lineRule="auto"/>
            </w:pPr>
            <w:r>
              <w:rPr>
                <w:rFonts w:ascii="Aptos" w:hAnsi="Aptos"/>
                <w:b w:val="0"/>
                <w:i w:val="0"/>
                <w:color w:val="282828"/>
                <w:sz w:val="18"/>
              </w:rPr>
              <w:t>aggregateExposureSummary.v1</w:t>
            </w:r>
          </w:p>
        </w:tc>
        <w:tc>
          <w:tcPr>
            <w:tcW w:type="dxa" w:w="2448"/>
            <w:vAlign w:val="center"/>
          </w:tcPr>
          <w:p>
            <w:pPr>
              <w:spacing w:before="40" w:after="40" w:line="257" w:lineRule="auto"/>
            </w:pPr>
            <w:r>
              <w:rPr>
                <w:rFonts w:ascii="Aptos" w:hAnsi="Aptos"/>
                <w:b w:val="0"/>
                <w:i w:val="0"/>
                <w:color w:val="282828"/>
                <w:sz w:val="18"/>
              </w:rPr>
              <w:t>Multi-scenario summary.</w:t>
            </w:r>
          </w:p>
        </w:tc>
        <w:tc>
          <w:tcPr>
            <w:tcW w:type="dxa" w:w="4248"/>
            <w:vAlign w:val="center"/>
          </w:tcPr>
          <w:p>
            <w:pPr>
              <w:spacing w:before="40" w:after="40" w:line="257" w:lineRule="auto"/>
            </w:pPr>
            <w:r>
              <w:rPr>
                <w:rFonts w:ascii="Aptos" w:hAnsi="Aptos"/>
                <w:b w:val="0"/>
                <w:i w:val="0"/>
                <w:color w:val="282828"/>
                <w:sz w:val="18"/>
              </w:rPr>
              <w:t>Component scenario refs, aggregation method, normalized total external dose, dominant contributors, limitations.</w:t>
            </w:r>
          </w:p>
        </w:tc>
      </w:tr>
      <w:tr>
        <w:tc>
          <w:tcPr>
            <w:tcW w:type="dxa" w:w="2376"/>
            <w:vAlign w:val="center"/>
          </w:tcPr>
          <w:p>
            <w:pPr>
              <w:spacing w:before="40" w:after="40" w:line="257" w:lineRule="auto"/>
            </w:pPr>
            <w:r>
              <w:rPr>
                <w:rFonts w:ascii="Aptos" w:hAnsi="Aptos"/>
                <w:b w:val="0"/>
                <w:i w:val="0"/>
                <w:color w:val="282828"/>
                <w:sz w:val="18"/>
              </w:rPr>
              <w:t>pbpkScenarioInput.v1</w:t>
            </w:r>
          </w:p>
        </w:tc>
        <w:tc>
          <w:tcPr>
            <w:tcW w:type="dxa" w:w="2448"/>
            <w:vAlign w:val="center"/>
          </w:tcPr>
          <w:p>
            <w:pPr>
              <w:spacing w:before="40" w:after="40" w:line="257" w:lineRule="auto"/>
            </w:pPr>
            <w:r>
              <w:rPr>
                <w:rFonts w:ascii="Aptos" w:hAnsi="Aptos"/>
                <w:b w:val="0"/>
                <w:i w:val="0"/>
                <w:color w:val="282828"/>
                <w:sz w:val="18"/>
              </w:rPr>
              <w:t>PBPK handoff object.</w:t>
            </w:r>
          </w:p>
        </w:tc>
        <w:tc>
          <w:tcPr>
            <w:tcW w:type="dxa" w:w="4248"/>
            <w:vAlign w:val="center"/>
          </w:tcPr>
          <w:p>
            <w:pPr>
              <w:spacing w:before="40" w:after="40" w:line="257" w:lineRule="auto"/>
            </w:pPr>
            <w:r>
              <w:rPr>
                <w:rFonts w:ascii="Aptos" w:hAnsi="Aptos"/>
                <w:b w:val="0"/>
                <w:i w:val="0"/>
                <w:color w:val="282828"/>
                <w:sz w:val="18"/>
              </w:rPr>
              <w:t>Chemical ID, route, dose magnitude, timing pattern, duration, population context, supporting assumption refs.</w:t>
            </w:r>
          </w:p>
        </w:tc>
      </w:tr>
      <w:tr>
        <w:tc>
          <w:tcPr>
            <w:tcW w:type="dxa" w:w="2376"/>
            <w:vAlign w:val="center"/>
          </w:tcPr>
          <w:p>
            <w:pPr>
              <w:spacing w:before="40" w:after="40" w:line="257" w:lineRule="auto"/>
            </w:pPr>
            <w:r>
              <w:rPr>
                <w:rFonts w:ascii="Aptos" w:hAnsi="Aptos"/>
                <w:b w:val="0"/>
                <w:i w:val="0"/>
                <w:color w:val="282828"/>
                <w:sz w:val="18"/>
              </w:rPr>
              <w:t>scenarioComparisonRecord.v1</w:t>
            </w:r>
          </w:p>
        </w:tc>
        <w:tc>
          <w:tcPr>
            <w:tcW w:type="dxa" w:w="2448"/>
            <w:vAlign w:val="center"/>
          </w:tcPr>
          <w:p>
            <w:pPr>
              <w:spacing w:before="40" w:after="40" w:line="257" w:lineRule="auto"/>
            </w:pPr>
            <w:r>
              <w:rPr>
                <w:rFonts w:ascii="Aptos" w:hAnsi="Aptos"/>
                <w:b w:val="0"/>
                <w:i w:val="0"/>
                <w:color w:val="282828"/>
                <w:sz w:val="18"/>
              </w:rPr>
              <w:t>Refinement and comparison object.</w:t>
            </w:r>
          </w:p>
        </w:tc>
        <w:tc>
          <w:tcPr>
            <w:tcW w:type="dxa" w:w="4248"/>
            <w:vAlign w:val="center"/>
          </w:tcPr>
          <w:p>
            <w:pPr>
              <w:spacing w:before="40" w:after="40" w:line="257" w:lineRule="auto"/>
            </w:pPr>
            <w:r>
              <w:rPr>
                <w:rFonts w:ascii="Aptos" w:hAnsi="Aptos"/>
                <w:b w:val="0"/>
                <w:i w:val="0"/>
                <w:color w:val="282828"/>
                <w:sz w:val="18"/>
              </w:rPr>
              <w:t>Baseline scenario ref, comparison scenario ref, changed assumptions, dose delta, interpretation notes.</w:t>
            </w:r>
          </w:p>
        </w:tc>
      </w:tr>
      <w:tr>
        <w:tc>
          <w:tcPr>
            <w:tcW w:type="dxa" w:w="2376"/>
            <w:vAlign w:val="center"/>
          </w:tcPr>
          <w:p>
            <w:pPr>
              <w:spacing w:before="40" w:after="40" w:line="257" w:lineRule="auto"/>
            </w:pPr>
            <w:r>
              <w:rPr>
                <w:rFonts w:ascii="Aptos" w:hAnsi="Aptos"/>
                <w:b w:val="0"/>
                <w:i w:val="0"/>
                <w:color w:val="282828"/>
                <w:sz w:val="18"/>
              </w:rPr>
              <w:t>exposureAssumptionRecord.v1</w:t>
            </w:r>
          </w:p>
        </w:tc>
        <w:tc>
          <w:tcPr>
            <w:tcW w:type="dxa" w:w="2448"/>
            <w:vAlign w:val="center"/>
          </w:tcPr>
          <w:p>
            <w:pPr>
              <w:spacing w:before="40" w:after="40" w:line="257" w:lineRule="auto"/>
            </w:pPr>
            <w:r>
              <w:rPr>
                <w:rFonts w:ascii="Aptos" w:hAnsi="Aptos"/>
                <w:b w:val="0"/>
                <w:i w:val="0"/>
                <w:color w:val="282828"/>
                <w:sz w:val="18"/>
              </w:rPr>
              <w:t>Transparent parameter ledger.</w:t>
            </w:r>
          </w:p>
        </w:tc>
        <w:tc>
          <w:tcPr>
            <w:tcW w:type="dxa" w:w="4248"/>
            <w:vAlign w:val="center"/>
          </w:tcPr>
          <w:p>
            <w:pPr>
              <w:spacing w:before="40" w:after="40" w:line="257" w:lineRule="auto"/>
            </w:pPr>
            <w:r>
              <w:rPr>
                <w:rFonts w:ascii="Aptos" w:hAnsi="Aptos"/>
                <w:b w:val="0"/>
                <w:i w:val="0"/>
                <w:color w:val="282828"/>
                <w:sz w:val="18"/>
              </w:rPr>
              <w:t>Assumption name, value, unit, source, confidence, default-vs-user-supplied tag.</w:t>
            </w:r>
          </w:p>
        </w:tc>
      </w:tr>
    </w:tbl>
    <w:p/>
    <w:p>
      <w:pPr>
        <w:pStyle w:val="Heading2"/>
      </w:pPr>
      <w:r>
        <w:t>Schema and semantic rules</w:t>
      </w:r>
    </w:p>
    <w:p>
      <w:pPr>
        <w:pStyle w:val="BodyBullet"/>
        <w:ind w:left="360" w:hanging="216"/>
      </w:pPr>
      <w:r>
        <w:rPr>
          <w:rFonts w:ascii="Aptos" w:hAnsi="Aptos"/>
          <w:b/>
          <w:i w:val="0"/>
          <w:color w:val="1F4E79"/>
          <w:sz w:val="21"/>
        </w:rPr>
        <w:t xml:space="preserve">• </w:t>
      </w:r>
      <w:r>
        <w:rPr>
          <w:rFonts w:ascii="Aptos" w:hAnsi="Aptos"/>
          <w:b w:val="0"/>
          <w:i w:val="0"/>
          <w:color w:val="282828"/>
          <w:sz w:val="20"/>
        </w:rPr>
        <w:t>Schemas should mirror harmonized exposure semantics so later OHT/IUCLID mapping is straightforward.</w:t>
      </w:r>
    </w:p>
    <w:p>
      <w:pPr>
        <w:pStyle w:val="BodyBullet"/>
        <w:ind w:left="360" w:hanging="216"/>
      </w:pPr>
      <w:r>
        <w:rPr>
          <w:rFonts w:ascii="Aptos" w:hAnsi="Aptos"/>
          <w:b/>
          <w:i w:val="0"/>
          <w:color w:val="1F4E79"/>
          <w:sz w:val="21"/>
        </w:rPr>
        <w:t xml:space="preserve">• </w:t>
      </w:r>
      <w:r>
        <w:rPr>
          <w:rFonts w:ascii="Aptos" w:hAnsi="Aptos"/>
          <w:b w:val="0"/>
          <w:i w:val="0"/>
          <w:color w:val="282828"/>
          <w:sz w:val="20"/>
        </w:rPr>
        <w:t>Every route must use explicit unit conventions and normalized field names.</w:t>
      </w:r>
    </w:p>
    <w:p>
      <w:pPr>
        <w:pStyle w:val="BodyBullet"/>
        <w:ind w:left="360" w:hanging="216"/>
      </w:pPr>
      <w:r>
        <w:rPr>
          <w:rFonts w:ascii="Aptos" w:hAnsi="Aptos"/>
          <w:b/>
          <w:i w:val="0"/>
          <w:color w:val="1F4E79"/>
          <w:sz w:val="21"/>
        </w:rPr>
        <w:t xml:space="preserve">• </w:t>
      </w:r>
      <w:r>
        <w:rPr>
          <w:rFonts w:ascii="Aptos" w:hAnsi="Aptos"/>
          <w:b w:val="0"/>
          <w:i w:val="0"/>
          <w:color w:val="282828"/>
          <w:sz w:val="20"/>
        </w:rPr>
        <w:t>Aggregate outputs must declare the aggregation methodology explicitly; simple additive screening must never masquerade as refined aggregate modeling.</w:t>
      </w:r>
    </w:p>
    <w:p>
      <w:pPr>
        <w:pStyle w:val="BodyBullet"/>
        <w:ind w:left="360" w:hanging="216"/>
      </w:pPr>
      <w:r>
        <w:rPr>
          <w:rFonts w:ascii="Aptos" w:hAnsi="Aptos"/>
          <w:b/>
          <w:i w:val="0"/>
          <w:color w:val="1F4E79"/>
          <w:sz w:val="21"/>
        </w:rPr>
        <w:t xml:space="preserve">• </w:t>
      </w:r>
      <w:r>
        <w:rPr>
          <w:rFonts w:ascii="Aptos" w:hAnsi="Aptos"/>
          <w:b w:val="0"/>
          <w:i w:val="0"/>
          <w:color w:val="282828"/>
          <w:sz w:val="20"/>
        </w:rPr>
        <w:t>Scenario records must be tagged as screening, refined, aggregate, or inhalation to prevent downstream ambiguity.</w:t>
      </w:r>
    </w:p>
    <w:p>
      <w:pPr>
        <w:pStyle w:val="Heading1"/>
      </w:pPr>
      <w:r>
        <w:t>8. Integration with ToxClaw and PBPK MCP</w:t>
      </w:r>
    </w:p>
    <w:tbl>
      <w:tblPr>
        <w:tblW w:type="auto" w:w="0"/>
        <w:jc w:val="center"/>
        <w:tblLook w:firstColumn="1" w:firstRow="1" w:lastColumn="0" w:lastRow="0" w:noHBand="0" w:noVBand="1" w:val="04A0"/>
      </w:tblPr>
      <w:tblGrid>
        <w:gridCol w:w="9648"/>
      </w:tblGrid>
      <w:tr>
        <w:tc>
          <w:tcPr>
            <w:tcW w:type="dxa" w:w="9072"/>
            <w:shd w:fill="F3F7FC"/>
          </w:tcPr>
          <w:p>
            <w:pPr>
              <w:spacing w:before="40" w:after="20" w:line="252" w:lineRule="auto"/>
            </w:pPr>
            <w:r>
              <w:rPr>
                <w:rFonts w:ascii="Aptos" w:hAnsi="Aptos"/>
                <w:b/>
                <w:i w:val="0"/>
                <w:color w:val="16375C"/>
                <w:sz w:val="20"/>
              </w:rPr>
              <w:t>How ToxClaw should use this MCP</w:t>
            </w:r>
          </w:p>
          <w:p>
            <w:pPr>
              <w:spacing w:before="0" w:after="40" w:line="259" w:lineRule="auto"/>
            </w:pPr>
            <w:r>
              <w:rPr>
                <w:rFonts w:ascii="Aptos" w:hAnsi="Aptos"/>
                <w:b w:val="0"/>
                <w:i w:val="0"/>
                <w:color w:val="282828"/>
                <w:sz w:val="20"/>
              </w:rPr>
              <w:t>ToxClaw formulates the problem, chooses whether a screening or refined scenario is needed, requests one or more external exposure scenarios, compares them when refinement is triggered, and then hands the chosen PBPK scenario input object to PBPK MCP. Exposure Scenario MCP does not decide which scenario wins—it only computes and documents them.</w:t>
            </w:r>
          </w:p>
        </w:tc>
      </w:tr>
    </w:tbl>
    <w:p/>
    <w:p>
      <w:pPr>
        <w:pStyle w:val="BodyBullet"/>
        <w:ind w:left="360" w:hanging="216"/>
      </w:pPr>
      <w:r>
        <w:rPr>
          <w:rFonts w:ascii="Aptos" w:hAnsi="Aptos"/>
          <w:b/>
          <w:i w:val="0"/>
          <w:color w:val="1F4E79"/>
          <w:sz w:val="21"/>
        </w:rPr>
        <w:t xml:space="preserve">• </w:t>
      </w:r>
      <w:r>
        <w:rPr>
          <w:rFonts w:ascii="Aptos" w:hAnsi="Aptos"/>
          <w:b w:val="0"/>
          <w:i w:val="0"/>
          <w:color w:val="282828"/>
          <w:sz w:val="20"/>
        </w:rPr>
        <w:t>CompTox MCP should remain the preferred source for chemical identity, product/use metadata, and supporting physicochemical context.</w:t>
      </w:r>
    </w:p>
    <w:p>
      <w:pPr>
        <w:pStyle w:val="BodyBullet"/>
        <w:ind w:left="360" w:hanging="216"/>
      </w:pPr>
      <w:r>
        <w:rPr>
          <w:rFonts w:ascii="Aptos" w:hAnsi="Aptos"/>
          <w:b/>
          <w:i w:val="0"/>
          <w:color w:val="1F4E79"/>
          <w:sz w:val="21"/>
        </w:rPr>
        <w:t xml:space="preserve">• </w:t>
      </w:r>
      <w:r>
        <w:rPr>
          <w:rFonts w:ascii="Aptos" w:hAnsi="Aptos"/>
          <w:b w:val="0"/>
          <w:i w:val="0"/>
          <w:color w:val="282828"/>
          <w:sz w:val="20"/>
        </w:rPr>
        <w:t>PBPK MCP should consume only the structured dosing handoff, not product narratives or use-category semantics.</w:t>
      </w:r>
    </w:p>
    <w:p>
      <w:pPr>
        <w:pStyle w:val="BodyBullet"/>
        <w:ind w:left="360" w:hanging="216"/>
      </w:pPr>
      <w:r>
        <w:rPr>
          <w:rFonts w:ascii="Aptos" w:hAnsi="Aptos"/>
          <w:b/>
          <w:i w:val="0"/>
          <w:color w:val="1F4E79"/>
          <w:sz w:val="21"/>
        </w:rPr>
        <w:t xml:space="preserve">• </w:t>
      </w:r>
      <w:r>
        <w:rPr>
          <w:rFonts w:ascii="Aptos" w:hAnsi="Aptos"/>
          <w:b w:val="0"/>
          <w:i w:val="0"/>
          <w:color w:val="282828"/>
          <w:sz w:val="20"/>
        </w:rPr>
        <w:t>ToxClaw should compare screening vs refined scenarios by asking this module for the math, not by recreating the scenario engine internally.</w:t>
      </w:r>
    </w:p>
    <w:p>
      <w:pPr>
        <w:pStyle w:val="Heading1"/>
      </w:pPr>
      <w:r>
        <w:t>9. Validation and benchmark strategy</w:t>
      </w:r>
    </w:p>
    <w:tbl>
      <w:tblPr>
        <w:tblStyle w:val="TableGrid"/>
        <w:tblW w:type="auto" w:w="0"/>
        <w:jc w:val="center"/>
        <w:tblLook w:firstColumn="1" w:firstRow="1" w:lastColumn="0" w:lastRow="0" w:noHBand="0" w:noVBand="1" w:val="04A0"/>
      </w:tblPr>
      <w:tblGrid>
        <w:gridCol w:w="3216"/>
        <w:gridCol w:w="3216"/>
        <w:gridCol w:w="3216"/>
      </w:tblGrid>
      <w:tr>
        <w:tc>
          <w:tcPr>
            <w:tcW w:type="dxa" w:w="2232"/>
            <w:shd w:fill="D9E7F5"/>
            <w:vAlign w:val="center"/>
          </w:tcPr>
          <w:p>
            <w:pPr>
              <w:spacing w:before="40" w:after="40" w:line="252" w:lineRule="auto"/>
            </w:pPr>
            <w:r>
              <w:rPr>
                <w:rFonts w:ascii="Aptos" w:hAnsi="Aptos"/>
                <w:b/>
                <w:i w:val="0"/>
                <w:color w:val="16375C"/>
                <w:sz w:val="18"/>
              </w:rPr>
              <w:t>Validation pillar</w:t>
            </w:r>
          </w:p>
        </w:tc>
        <w:tc>
          <w:tcPr>
            <w:tcW w:type="dxa" w:w="3816"/>
            <w:shd w:fill="D9E7F5"/>
            <w:vAlign w:val="center"/>
          </w:tcPr>
          <w:p>
            <w:pPr>
              <w:spacing w:before="40" w:after="40" w:line="252" w:lineRule="auto"/>
            </w:pPr>
            <w:r>
              <w:rPr>
                <w:rFonts w:ascii="Aptos" w:hAnsi="Aptos"/>
                <w:b/>
                <w:i w:val="0"/>
                <w:color w:val="16375C"/>
                <w:sz w:val="18"/>
              </w:rPr>
              <w:t>Examples</w:t>
            </w:r>
          </w:p>
        </w:tc>
        <w:tc>
          <w:tcPr>
            <w:tcW w:type="dxa" w:w="3024"/>
            <w:shd w:fill="D9E7F5"/>
            <w:vAlign w:val="center"/>
          </w:tcPr>
          <w:p>
            <w:pPr>
              <w:spacing w:before="40" w:after="40" w:line="252" w:lineRule="auto"/>
            </w:pPr>
            <w:r>
              <w:rPr>
                <w:rFonts w:ascii="Aptos" w:hAnsi="Aptos"/>
                <w:b/>
                <w:i w:val="0"/>
                <w:color w:val="16375C"/>
                <w:sz w:val="18"/>
              </w:rPr>
              <w:t>Success condition</w:t>
            </w:r>
          </w:p>
        </w:tc>
      </w:tr>
      <w:tr>
        <w:tc>
          <w:tcPr>
            <w:tcW w:type="dxa" w:w="2232"/>
            <w:vAlign w:val="center"/>
          </w:tcPr>
          <w:p>
            <w:pPr>
              <w:spacing w:before="40" w:after="40" w:line="257" w:lineRule="auto"/>
            </w:pPr>
            <w:r>
              <w:rPr>
                <w:rFonts w:ascii="Aptos" w:hAnsi="Aptos"/>
                <w:b w:val="0"/>
                <w:i w:val="0"/>
                <w:color w:val="282828"/>
                <w:sz w:val="18"/>
              </w:rPr>
              <w:t>Deterministic benchmark cases</w:t>
            </w:r>
          </w:p>
        </w:tc>
        <w:tc>
          <w:tcPr>
            <w:tcW w:type="dxa" w:w="3816"/>
            <w:vAlign w:val="center"/>
          </w:tcPr>
          <w:p>
            <w:pPr>
              <w:spacing w:before="40" w:after="40" w:line="257" w:lineRule="auto"/>
            </w:pPr>
            <w:r>
              <w:rPr>
                <w:rFonts w:ascii="Aptos" w:hAnsi="Aptos"/>
                <w:b w:val="0"/>
                <w:i w:val="0"/>
                <w:color w:val="282828"/>
                <w:sz w:val="18"/>
              </w:rPr>
              <w:t>Consumer-product screening archetypes and route-specific sanity fixtures.</w:t>
            </w:r>
          </w:p>
        </w:tc>
        <w:tc>
          <w:tcPr>
            <w:tcW w:type="dxa" w:w="3024"/>
            <w:vAlign w:val="center"/>
          </w:tcPr>
          <w:p>
            <w:pPr>
              <w:spacing w:before="40" w:after="40" w:line="257" w:lineRule="auto"/>
            </w:pPr>
            <w:r>
              <w:rPr>
                <w:rFonts w:ascii="Aptos" w:hAnsi="Aptos"/>
                <w:b w:val="0"/>
                <w:i w:val="0"/>
                <w:color w:val="282828"/>
                <w:sz w:val="18"/>
              </w:rPr>
              <w:t>External dose values remain reproducible and numerically stable.</w:t>
            </w:r>
          </w:p>
        </w:tc>
      </w:tr>
      <w:tr>
        <w:tc>
          <w:tcPr>
            <w:tcW w:type="dxa" w:w="2232"/>
            <w:vAlign w:val="center"/>
          </w:tcPr>
          <w:p>
            <w:pPr>
              <w:spacing w:before="40" w:after="40" w:line="257" w:lineRule="auto"/>
            </w:pPr>
            <w:r>
              <w:rPr>
                <w:rFonts w:ascii="Aptos" w:hAnsi="Aptos"/>
                <w:b w:val="0"/>
                <w:i w:val="0"/>
                <w:color w:val="282828"/>
                <w:sz w:val="18"/>
              </w:rPr>
              <w:t>Inhalation screening benchmarks</w:t>
            </w:r>
          </w:p>
        </w:tc>
        <w:tc>
          <w:tcPr>
            <w:tcW w:type="dxa" w:w="3816"/>
            <w:vAlign w:val="center"/>
          </w:tcPr>
          <w:p>
            <w:pPr>
              <w:spacing w:before="40" w:after="40" w:line="257" w:lineRule="auto"/>
            </w:pPr>
            <w:r>
              <w:rPr>
                <w:rFonts w:ascii="Aptos" w:hAnsi="Aptos"/>
                <w:b w:val="0"/>
                <w:i w:val="0"/>
                <w:color w:val="282828"/>
                <w:sz w:val="18"/>
              </w:rPr>
              <w:t>Spray or vapor-style household scenarios with room-volume logic.</w:t>
            </w:r>
          </w:p>
        </w:tc>
        <w:tc>
          <w:tcPr>
            <w:tcW w:type="dxa" w:w="3024"/>
            <w:vAlign w:val="center"/>
          </w:tcPr>
          <w:p>
            <w:pPr>
              <w:spacing w:before="40" w:after="40" w:line="257" w:lineRule="auto"/>
            </w:pPr>
            <w:r>
              <w:rPr>
                <w:rFonts w:ascii="Aptos" w:hAnsi="Aptos"/>
                <w:b w:val="0"/>
                <w:i w:val="0"/>
                <w:color w:val="282828"/>
                <w:sz w:val="18"/>
              </w:rPr>
              <w:t>Expected route semantics and dominant-parameter behavior are reproduced.</w:t>
            </w:r>
          </w:p>
        </w:tc>
      </w:tr>
      <w:tr>
        <w:tc>
          <w:tcPr>
            <w:tcW w:type="dxa" w:w="2232"/>
            <w:vAlign w:val="center"/>
          </w:tcPr>
          <w:p>
            <w:pPr>
              <w:spacing w:before="40" w:after="40" w:line="257" w:lineRule="auto"/>
            </w:pPr>
            <w:r>
              <w:rPr>
                <w:rFonts w:ascii="Aptos" w:hAnsi="Aptos"/>
                <w:b w:val="0"/>
                <w:i w:val="0"/>
                <w:color w:val="282828"/>
                <w:sz w:val="18"/>
              </w:rPr>
              <w:t>Aggregate scenario fixtures</w:t>
            </w:r>
          </w:p>
        </w:tc>
        <w:tc>
          <w:tcPr>
            <w:tcW w:type="dxa" w:w="3816"/>
            <w:vAlign w:val="center"/>
          </w:tcPr>
          <w:p>
            <w:pPr>
              <w:spacing w:before="40" w:after="40" w:line="257" w:lineRule="auto"/>
            </w:pPr>
            <w:r>
              <w:rPr>
                <w:rFonts w:ascii="Aptos" w:hAnsi="Aptos"/>
                <w:b w:val="0"/>
                <w:i w:val="0"/>
                <w:color w:val="282828"/>
                <w:sz w:val="18"/>
              </w:rPr>
              <w:t>Multiple product co-use cases with known additive expectations.</w:t>
            </w:r>
          </w:p>
        </w:tc>
        <w:tc>
          <w:tcPr>
            <w:tcW w:type="dxa" w:w="3024"/>
            <w:vAlign w:val="center"/>
          </w:tcPr>
          <w:p>
            <w:pPr>
              <w:spacing w:before="40" w:after="40" w:line="257" w:lineRule="auto"/>
            </w:pPr>
            <w:r>
              <w:rPr>
                <w:rFonts w:ascii="Aptos" w:hAnsi="Aptos"/>
                <w:b w:val="0"/>
                <w:i w:val="0"/>
                <w:color w:val="282828"/>
                <w:sz w:val="18"/>
              </w:rPr>
              <w:t>Aggregation method and contributor reporting are correct and transparent.</w:t>
            </w:r>
          </w:p>
        </w:tc>
      </w:tr>
      <w:tr>
        <w:tc>
          <w:tcPr>
            <w:tcW w:type="dxa" w:w="2232"/>
            <w:vAlign w:val="center"/>
          </w:tcPr>
          <w:p>
            <w:pPr>
              <w:spacing w:before="40" w:after="40" w:line="257" w:lineRule="auto"/>
            </w:pPr>
            <w:r>
              <w:rPr>
                <w:rFonts w:ascii="Aptos" w:hAnsi="Aptos"/>
                <w:b w:val="0"/>
                <w:i w:val="0"/>
                <w:color w:val="282828"/>
                <w:sz w:val="18"/>
              </w:rPr>
              <w:t>Contract and failure fixtures</w:t>
            </w:r>
          </w:p>
        </w:tc>
        <w:tc>
          <w:tcPr>
            <w:tcW w:type="dxa" w:w="3816"/>
            <w:vAlign w:val="center"/>
          </w:tcPr>
          <w:p>
            <w:pPr>
              <w:spacing w:before="40" w:after="40" w:line="257" w:lineRule="auto"/>
            </w:pPr>
            <w:r>
              <w:rPr>
                <w:rFonts w:ascii="Aptos" w:hAnsi="Aptos"/>
                <w:b w:val="0"/>
                <w:i w:val="0"/>
                <w:color w:val="282828"/>
                <w:sz w:val="18"/>
              </w:rPr>
              <w:t>Missing vapor pressure, missing room volume, incompatible units, invalid demographic mappings.</w:t>
            </w:r>
          </w:p>
        </w:tc>
        <w:tc>
          <w:tcPr>
            <w:tcW w:type="dxa" w:w="3024"/>
            <w:vAlign w:val="center"/>
          </w:tcPr>
          <w:p>
            <w:pPr>
              <w:spacing w:before="40" w:after="40" w:line="257" w:lineRule="auto"/>
            </w:pPr>
            <w:r>
              <w:rPr>
                <w:rFonts w:ascii="Aptos" w:hAnsi="Aptos"/>
                <w:b w:val="0"/>
                <w:i w:val="0"/>
                <w:color w:val="282828"/>
                <w:sz w:val="18"/>
              </w:rPr>
              <w:t>Module hard-fails or downgrades explicitly instead of silently guessing.</w:t>
            </w:r>
          </w:p>
        </w:tc>
      </w:tr>
    </w:tbl>
    <w:p/>
    <w:p>
      <w:pPr>
        <w:pStyle w:val="BodyBullet"/>
        <w:ind w:left="360" w:hanging="216"/>
      </w:pPr>
      <w:r>
        <w:rPr>
          <w:rFonts w:ascii="Aptos" w:hAnsi="Aptos"/>
          <w:b/>
          <w:i w:val="0"/>
          <w:color w:val="1F4E79"/>
          <w:sz w:val="21"/>
        </w:rPr>
        <w:t xml:space="preserve">• </w:t>
      </w:r>
      <w:r>
        <w:rPr>
          <w:rFonts w:ascii="Aptos" w:hAnsi="Aptos"/>
          <w:b w:val="0"/>
          <w:i w:val="0"/>
          <w:color w:val="282828"/>
          <w:sz w:val="20"/>
        </w:rPr>
        <w:t>Good enough for v0.1 means transparent, reproducible deterministic outputs—not full probabilistic realism.</w:t>
      </w:r>
    </w:p>
    <w:p>
      <w:pPr>
        <w:pStyle w:val="BodyBullet"/>
        <w:ind w:left="360" w:hanging="216"/>
      </w:pPr>
      <w:r>
        <w:rPr>
          <w:rFonts w:ascii="Aptos" w:hAnsi="Aptos"/>
          <w:b/>
          <w:i w:val="0"/>
          <w:color w:val="1F4E79"/>
          <w:sz w:val="21"/>
        </w:rPr>
        <w:t xml:space="preserve">• </w:t>
      </w:r>
      <w:r>
        <w:rPr>
          <w:rFonts w:ascii="Aptos" w:hAnsi="Aptos"/>
          <w:b w:val="0"/>
          <w:i w:val="0"/>
          <w:color w:val="282828"/>
          <w:sz w:val="20"/>
        </w:rPr>
        <w:t>ToxClaw should not depend on the module until PBPK handoff objects validate and failure modes are explicit.</w:t>
      </w:r>
    </w:p>
    <w:p>
      <w:pPr>
        <w:pStyle w:val="BodyBullet"/>
        <w:ind w:left="360" w:hanging="216"/>
      </w:pPr>
      <w:r>
        <w:rPr>
          <w:rFonts w:ascii="Aptos" w:hAnsi="Aptos"/>
          <w:b/>
          <w:i w:val="0"/>
          <w:color w:val="1F4E79"/>
          <w:sz w:val="21"/>
        </w:rPr>
        <w:t xml:space="preserve">• </w:t>
      </w:r>
      <w:r>
        <w:rPr>
          <w:rFonts w:ascii="Aptos" w:hAnsi="Aptos"/>
          <w:b w:val="0"/>
          <w:i w:val="0"/>
          <w:color w:val="282828"/>
          <w:sz w:val="20"/>
        </w:rPr>
        <w:t>Benchmarking must include route-specific edge cases and assumption-provenance checks, not only numeric outputs.</w:t>
      </w:r>
    </w:p>
    <w:p>
      <w:pPr>
        <w:pStyle w:val="Heading1"/>
      </w:pPr>
      <w:r>
        <w:t>10. Operations, security, and observability</w:t>
      </w:r>
    </w:p>
    <w:p>
      <w:pPr>
        <w:pStyle w:val="BodyBullet"/>
        <w:ind w:left="360" w:hanging="216"/>
      </w:pPr>
      <w:r>
        <w:rPr>
          <w:rFonts w:ascii="Aptos" w:hAnsi="Aptos"/>
          <w:b/>
          <w:i w:val="0"/>
          <w:color w:val="1F4E79"/>
          <w:sz w:val="21"/>
        </w:rPr>
        <w:t xml:space="preserve">• </w:t>
      </w:r>
      <w:r>
        <w:rPr>
          <w:rFonts w:ascii="Aptos" w:hAnsi="Aptos"/>
          <w:b w:val="0"/>
          <w:i w:val="0"/>
          <w:color w:val="282828"/>
          <w:sz w:val="20"/>
        </w:rPr>
        <w:t>Immutable provenance and versioning for every scenario calculation, including default fact-sheet sources.</w:t>
      </w:r>
    </w:p>
    <w:p>
      <w:pPr>
        <w:pStyle w:val="BodyBullet"/>
        <w:ind w:left="360" w:hanging="216"/>
      </w:pPr>
      <w:r>
        <w:rPr>
          <w:rFonts w:ascii="Aptos" w:hAnsi="Aptos"/>
          <w:b/>
          <w:i w:val="0"/>
          <w:color w:val="1F4E79"/>
          <w:sz w:val="21"/>
        </w:rPr>
        <w:t xml:space="preserve">• </w:t>
      </w:r>
      <w:r>
        <w:rPr>
          <w:rFonts w:ascii="Aptos" w:hAnsi="Aptos"/>
          <w:b w:val="0"/>
          <w:i w:val="0"/>
          <w:color w:val="282828"/>
          <w:sz w:val="20"/>
        </w:rPr>
        <w:t>Structured error payloads for missing parameters or impossible scenario combinations.</w:t>
      </w:r>
    </w:p>
    <w:p>
      <w:pPr>
        <w:pStyle w:val="BodyBullet"/>
        <w:ind w:left="360" w:hanging="216"/>
      </w:pPr>
      <w:r>
        <w:rPr>
          <w:rFonts w:ascii="Aptos" w:hAnsi="Aptos"/>
          <w:b/>
          <w:i w:val="0"/>
          <w:color w:val="1F4E79"/>
          <w:sz w:val="21"/>
        </w:rPr>
        <w:t xml:space="preserve">• </w:t>
      </w:r>
      <w:r>
        <w:rPr>
          <w:rFonts w:ascii="Aptos" w:hAnsi="Aptos"/>
          <w:b w:val="0"/>
          <w:i w:val="0"/>
          <w:color w:val="282828"/>
          <w:sz w:val="20"/>
        </w:rPr>
        <w:t>Versioned scenario plugins and clear algorithm identifiers in outward-facing records.</w:t>
      </w:r>
    </w:p>
    <w:p>
      <w:pPr>
        <w:pStyle w:val="BodyBullet"/>
        <w:ind w:left="360" w:hanging="216"/>
      </w:pPr>
      <w:r>
        <w:rPr>
          <w:rFonts w:ascii="Aptos" w:hAnsi="Aptos"/>
          <w:b/>
          <w:i w:val="0"/>
          <w:color w:val="1F4E79"/>
          <w:sz w:val="21"/>
        </w:rPr>
        <w:t xml:space="preserve">• </w:t>
      </w:r>
      <w:r>
        <w:rPr>
          <w:rFonts w:ascii="Aptos" w:hAnsi="Aptos"/>
          <w:b w:val="0"/>
          <w:i w:val="0"/>
          <w:color w:val="282828"/>
          <w:sz w:val="20"/>
        </w:rPr>
        <w:t>No hidden default substitution without explicit exposure-assumption output.</w:t>
      </w:r>
    </w:p>
    <w:p>
      <w:pPr>
        <w:pStyle w:val="Heading1"/>
      </w:pPr>
      <w:r>
        <w:t>11. Release plan</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fill="D9E7F5"/>
            <w:vAlign w:val="center"/>
          </w:tcPr>
          <w:p>
            <w:pPr>
              <w:spacing w:before="40" w:after="40" w:line="252" w:lineRule="auto"/>
            </w:pPr>
            <w:r>
              <w:rPr>
                <w:rFonts w:ascii="Aptos" w:hAnsi="Aptos"/>
                <w:b/>
                <w:i w:val="0"/>
                <w:color w:val="16375C"/>
                <w:sz w:val="18"/>
              </w:rPr>
              <w:t>Release</w:t>
            </w:r>
          </w:p>
        </w:tc>
        <w:tc>
          <w:tcPr>
            <w:tcW w:type="dxa" w:w="4320"/>
            <w:shd w:fill="D9E7F5"/>
            <w:vAlign w:val="center"/>
          </w:tcPr>
          <w:p>
            <w:pPr>
              <w:spacing w:before="40" w:after="40" w:line="252" w:lineRule="auto"/>
            </w:pPr>
            <w:r>
              <w:rPr>
                <w:rFonts w:ascii="Aptos" w:hAnsi="Aptos"/>
                <w:b/>
                <w:i w:val="0"/>
                <w:color w:val="16375C"/>
                <w:sz w:val="18"/>
              </w:rPr>
              <w:t>Scope</w:t>
            </w:r>
          </w:p>
        </w:tc>
        <w:tc>
          <w:tcPr>
            <w:tcW w:type="dxa" w:w="3456"/>
            <w:shd w:fill="D9E7F5"/>
            <w:vAlign w:val="center"/>
          </w:tcPr>
          <w:p>
            <w:pPr>
              <w:spacing w:before="40" w:after="40" w:line="252" w:lineRule="auto"/>
            </w:pPr>
            <w:r>
              <w:rPr>
                <w:rFonts w:ascii="Aptos" w:hAnsi="Aptos"/>
                <w:b/>
                <w:i w:val="0"/>
                <w:color w:val="16375C"/>
                <w:sz w:val="18"/>
              </w:rPr>
              <w:t>Definition of success</w:t>
            </w:r>
          </w:p>
        </w:tc>
      </w:tr>
      <w:tr>
        <w:tc>
          <w:tcPr>
            <w:tcW w:type="dxa" w:w="1296"/>
            <w:vAlign w:val="center"/>
          </w:tcPr>
          <w:p>
            <w:pPr>
              <w:spacing w:before="40" w:after="40" w:line="257" w:lineRule="auto"/>
            </w:pPr>
            <w:r>
              <w:rPr>
                <w:rFonts w:ascii="Aptos" w:hAnsi="Aptos"/>
                <w:b w:val="0"/>
                <w:i w:val="0"/>
                <w:color w:val="282828"/>
                <w:sz w:val="18"/>
              </w:rPr>
              <w:t>v0.1.0</w:t>
            </w:r>
          </w:p>
        </w:tc>
        <w:tc>
          <w:tcPr>
            <w:tcW w:type="dxa" w:w="4320"/>
            <w:vAlign w:val="center"/>
          </w:tcPr>
          <w:p>
            <w:pPr>
              <w:spacing w:before="40" w:after="40" w:line="257" w:lineRule="auto"/>
            </w:pPr>
            <w:r>
              <w:rPr>
                <w:rFonts w:ascii="Aptos" w:hAnsi="Aptos"/>
                <w:b w:val="0"/>
                <w:i w:val="0"/>
                <w:color w:val="282828"/>
                <w:sz w:val="18"/>
              </w:rPr>
              <w:t>Deterministic screening, simple aggregate, inhalation screening, PBPK handoff export, scenario comparison.</w:t>
            </w:r>
          </w:p>
        </w:tc>
        <w:tc>
          <w:tcPr>
            <w:tcW w:type="dxa" w:w="3456"/>
            <w:vAlign w:val="center"/>
          </w:tcPr>
          <w:p>
            <w:pPr>
              <w:spacing w:before="40" w:after="40" w:line="257" w:lineRule="auto"/>
            </w:pPr>
            <w:r>
              <w:rPr>
                <w:rFonts w:ascii="Aptos" w:hAnsi="Aptos"/>
                <w:b w:val="0"/>
                <w:i w:val="0"/>
                <w:color w:val="282828"/>
                <w:sz w:val="18"/>
              </w:rPr>
              <w:t>ToxClaw can build and compare practical consumer scenarios without custom glue.</w:t>
            </w:r>
          </w:p>
        </w:tc>
      </w:tr>
      <w:tr>
        <w:tc>
          <w:tcPr>
            <w:tcW w:type="dxa" w:w="1296"/>
            <w:vAlign w:val="center"/>
          </w:tcPr>
          <w:p>
            <w:pPr>
              <w:spacing w:before="40" w:after="40" w:line="257" w:lineRule="auto"/>
            </w:pPr>
            <w:r>
              <w:rPr>
                <w:rFonts w:ascii="Aptos" w:hAnsi="Aptos"/>
                <w:b w:val="0"/>
                <w:i w:val="0"/>
                <w:color w:val="282828"/>
                <w:sz w:val="18"/>
              </w:rPr>
              <w:t>v0.2.0</w:t>
            </w:r>
          </w:p>
        </w:tc>
        <w:tc>
          <w:tcPr>
            <w:tcW w:type="dxa" w:w="4320"/>
            <w:vAlign w:val="center"/>
          </w:tcPr>
          <w:p>
            <w:pPr>
              <w:spacing w:before="40" w:after="40" w:line="257" w:lineRule="auto"/>
            </w:pPr>
            <w:r>
              <w:rPr>
                <w:rFonts w:ascii="Aptos" w:hAnsi="Aptos"/>
                <w:b w:val="0"/>
                <w:i w:val="0"/>
                <w:color w:val="282828"/>
                <w:sz w:val="18"/>
              </w:rPr>
              <w:t>Population distributions, sensitivity analysis, richer refinement workflows, improved assumption evidence.</w:t>
            </w:r>
          </w:p>
        </w:tc>
        <w:tc>
          <w:tcPr>
            <w:tcW w:type="dxa" w:w="3456"/>
            <w:vAlign w:val="center"/>
          </w:tcPr>
          <w:p>
            <w:pPr>
              <w:spacing w:before="40" w:after="40" w:line="257" w:lineRule="auto"/>
            </w:pPr>
            <w:r>
              <w:rPr>
                <w:rFonts w:ascii="Aptos" w:hAnsi="Aptos"/>
                <w:b w:val="0"/>
                <w:i w:val="0"/>
                <w:color w:val="282828"/>
                <w:sz w:val="18"/>
              </w:rPr>
              <w:t>Refined scenario work becomes materially more expressive without breaking existing contracts.</w:t>
            </w:r>
          </w:p>
        </w:tc>
      </w:tr>
      <w:tr>
        <w:tc>
          <w:tcPr>
            <w:tcW w:type="dxa" w:w="1296"/>
            <w:vAlign w:val="center"/>
          </w:tcPr>
          <w:p>
            <w:pPr>
              <w:spacing w:before="40" w:after="40" w:line="257" w:lineRule="auto"/>
            </w:pPr>
            <w:r>
              <w:rPr>
                <w:rFonts w:ascii="Aptos" w:hAnsi="Aptos"/>
                <w:b w:val="0"/>
                <w:i w:val="0"/>
                <w:color w:val="282828"/>
                <w:sz w:val="18"/>
              </w:rPr>
              <w:t>v0.3.0</w:t>
            </w:r>
          </w:p>
        </w:tc>
        <w:tc>
          <w:tcPr>
            <w:tcW w:type="dxa" w:w="4320"/>
            <w:vAlign w:val="center"/>
          </w:tcPr>
          <w:p>
            <w:pPr>
              <w:spacing w:before="40" w:after="40" w:line="257" w:lineRule="auto"/>
            </w:pPr>
            <w:r>
              <w:rPr>
                <w:rFonts w:ascii="Aptos" w:hAnsi="Aptos"/>
                <w:b w:val="0"/>
                <w:i w:val="0"/>
                <w:color w:val="282828"/>
                <w:sz w:val="18"/>
              </w:rPr>
              <w:t>Advanced route families, stronger probabilistic engines, selective occupational or environmental extensions.</w:t>
            </w:r>
          </w:p>
        </w:tc>
        <w:tc>
          <w:tcPr>
            <w:tcW w:type="dxa" w:w="3456"/>
            <w:vAlign w:val="center"/>
          </w:tcPr>
          <w:p>
            <w:pPr>
              <w:spacing w:before="40" w:after="40" w:line="257" w:lineRule="auto"/>
            </w:pPr>
            <w:r>
              <w:rPr>
                <w:rFonts w:ascii="Aptos" w:hAnsi="Aptos"/>
                <w:b w:val="0"/>
                <w:i w:val="0"/>
                <w:color w:val="282828"/>
                <w:sz w:val="18"/>
              </w:rPr>
              <w:t>Module grows by plugin expansion rather than architectural rewrite.</w:t>
            </w:r>
          </w:p>
        </w:tc>
      </w:tr>
    </w:tbl>
    <w:p/>
    <w:p>
      <w:pPr>
        <w:pStyle w:val="Heading1"/>
      </w:pPr>
      <w:r>
        <w:t>12. Must / should / defer summary</w:t>
      </w:r>
    </w:p>
    <w:tbl>
      <w:tblPr>
        <w:tblStyle w:val="TableGrid"/>
        <w:tblW w:type="auto" w:w="0"/>
        <w:jc w:val="center"/>
        <w:tblLook w:firstColumn="1" w:firstRow="1" w:lastColumn="0" w:lastRow="0" w:noHBand="0" w:noVBand="1" w:val="04A0"/>
      </w:tblPr>
      <w:tblGrid>
        <w:gridCol w:w="4824"/>
        <w:gridCol w:w="4824"/>
      </w:tblGrid>
      <w:tr>
        <w:tc>
          <w:tcPr>
            <w:tcW w:type="dxa" w:w="1152"/>
            <w:shd w:fill="D9E7F5"/>
            <w:vAlign w:val="center"/>
          </w:tcPr>
          <w:p>
            <w:pPr>
              <w:spacing w:before="40" w:after="40" w:line="252" w:lineRule="auto"/>
            </w:pPr>
            <w:r>
              <w:rPr>
                <w:rFonts w:ascii="Aptos" w:hAnsi="Aptos"/>
                <w:b/>
                <w:i w:val="0"/>
                <w:color w:val="16375C"/>
                <w:sz w:val="18"/>
              </w:rPr>
              <w:t>Priority</w:t>
            </w:r>
          </w:p>
        </w:tc>
        <w:tc>
          <w:tcPr>
            <w:tcW w:type="dxa" w:w="7920"/>
            <w:shd w:fill="D9E7F5"/>
            <w:vAlign w:val="center"/>
          </w:tcPr>
          <w:p>
            <w:pPr>
              <w:spacing w:before="40" w:after="40" w:line="252" w:lineRule="auto"/>
            </w:pPr>
            <w:r>
              <w:rPr>
                <w:rFonts w:ascii="Aptos" w:hAnsi="Aptos"/>
                <w:b/>
                <w:i w:val="0"/>
                <w:color w:val="16375C"/>
                <w:sz w:val="18"/>
              </w:rPr>
              <w:t>Item</w:t>
            </w:r>
          </w:p>
        </w:tc>
      </w:tr>
      <w:tr>
        <w:tc>
          <w:tcPr>
            <w:tcW w:type="dxa" w:w="1152"/>
            <w:vAlign w:val="center"/>
          </w:tcPr>
          <w:p>
            <w:pPr>
              <w:spacing w:before="40" w:after="40" w:line="257" w:lineRule="auto"/>
            </w:pPr>
            <w:r>
              <w:rPr>
                <w:rFonts w:ascii="Aptos" w:hAnsi="Aptos"/>
                <w:b w:val="0"/>
                <w:i w:val="0"/>
                <w:color w:val="282828"/>
                <w:sz w:val="18"/>
              </w:rPr>
              <w:t>Must</w:t>
            </w:r>
          </w:p>
        </w:tc>
        <w:tc>
          <w:tcPr>
            <w:tcW w:type="dxa" w:w="7920"/>
            <w:vAlign w:val="center"/>
          </w:tcPr>
          <w:p>
            <w:pPr>
              <w:spacing w:before="40" w:after="40" w:line="257" w:lineRule="auto"/>
            </w:pPr>
            <w:r>
              <w:rPr>
                <w:rFonts w:ascii="Aptos" w:hAnsi="Aptos"/>
                <w:b w:val="0"/>
                <w:i w:val="0"/>
                <w:color w:val="282828"/>
                <w:sz w:val="18"/>
              </w:rPr>
              <w:t>External-dose-only boundary; deterministic-first v0.1; explicit assumption/provenance ledger; PBPK-ready handoff object; scenario comparison support.</w:t>
            </w:r>
          </w:p>
        </w:tc>
      </w:tr>
      <w:tr>
        <w:tc>
          <w:tcPr>
            <w:tcW w:type="dxa" w:w="1152"/>
            <w:vAlign w:val="center"/>
          </w:tcPr>
          <w:p>
            <w:pPr>
              <w:spacing w:before="40" w:after="40" w:line="257" w:lineRule="auto"/>
            </w:pPr>
            <w:r>
              <w:rPr>
                <w:rFonts w:ascii="Aptos" w:hAnsi="Aptos"/>
                <w:b w:val="0"/>
                <w:i w:val="0"/>
                <w:color w:val="282828"/>
                <w:sz w:val="18"/>
              </w:rPr>
              <w:t>Should</w:t>
            </w:r>
          </w:p>
        </w:tc>
        <w:tc>
          <w:tcPr>
            <w:tcW w:type="dxa" w:w="7920"/>
            <w:vAlign w:val="center"/>
          </w:tcPr>
          <w:p>
            <w:pPr>
              <w:spacing w:before="40" w:after="40" w:line="257" w:lineRule="auto"/>
            </w:pPr>
            <w:r>
              <w:rPr>
                <w:rFonts w:ascii="Aptos" w:hAnsi="Aptos"/>
                <w:b w:val="0"/>
                <w:i w:val="0"/>
                <w:color w:val="282828"/>
                <w:sz w:val="18"/>
              </w:rPr>
              <w:t>Plugin architecture by scenario family; harmonized schema semantics; route-specific engines for inhalation, dermal, and oral; optimized execution-layer objects.</w:t>
            </w:r>
          </w:p>
        </w:tc>
      </w:tr>
      <w:tr>
        <w:tc>
          <w:tcPr>
            <w:tcW w:type="dxa" w:w="1152"/>
            <w:vAlign w:val="center"/>
          </w:tcPr>
          <w:p>
            <w:pPr>
              <w:spacing w:before="40" w:after="40" w:line="257" w:lineRule="auto"/>
            </w:pPr>
            <w:r>
              <w:rPr>
                <w:rFonts w:ascii="Aptos" w:hAnsi="Aptos"/>
                <w:b w:val="0"/>
                <w:i w:val="0"/>
                <w:color w:val="282828"/>
                <w:sz w:val="18"/>
              </w:rPr>
              <w:t>Can defer</w:t>
            </w:r>
          </w:p>
        </w:tc>
        <w:tc>
          <w:tcPr>
            <w:tcW w:type="dxa" w:w="7920"/>
            <w:vAlign w:val="center"/>
          </w:tcPr>
          <w:p>
            <w:pPr>
              <w:spacing w:before="40" w:after="40" w:line="257" w:lineRule="auto"/>
            </w:pPr>
            <w:r>
              <w:rPr>
                <w:rFonts w:ascii="Aptos" w:hAnsi="Aptos"/>
                <w:b w:val="0"/>
                <w:i w:val="0"/>
                <w:color w:val="282828"/>
                <w:sz w:val="18"/>
              </w:rPr>
              <w:t>PACEM-style probabilistic population engine, advanced occupational determinants, full scenario-reporting layer.</w:t>
            </w:r>
          </w:p>
        </w:tc>
      </w:tr>
    </w:tbl>
    <w:p/>
    <w:p>
      <w:pPr>
        <w:pStyle w:val="Heading1"/>
      </w:pPr>
      <w:r>
        <w:t>13. Definition of done for v0.1</w:t>
      </w:r>
    </w:p>
    <w:p>
      <w:pPr>
        <w:pStyle w:val="BodyBullet"/>
        <w:ind w:left="360" w:hanging="216"/>
      </w:pPr>
      <w:r>
        <w:rPr>
          <w:rFonts w:ascii="Aptos" w:hAnsi="Aptos"/>
          <w:b/>
          <w:i w:val="0"/>
          <w:color w:val="1F4E79"/>
          <w:sz w:val="21"/>
        </w:rPr>
        <w:t xml:space="preserve">• </w:t>
      </w:r>
      <w:r>
        <w:rPr>
          <w:rFonts w:ascii="Aptos" w:hAnsi="Aptos"/>
          <w:b w:val="0"/>
          <w:i w:val="0"/>
          <w:color w:val="282828"/>
          <w:sz w:val="20"/>
        </w:rPr>
        <w:t>The module emits stable, schema-validated external exposure scenario objects for at least screening, aggregate, and inhalation screening modes.</w:t>
      </w:r>
    </w:p>
    <w:p>
      <w:pPr>
        <w:pStyle w:val="BodyBullet"/>
        <w:ind w:left="360" w:hanging="216"/>
      </w:pPr>
      <w:r>
        <w:rPr>
          <w:rFonts w:ascii="Aptos" w:hAnsi="Aptos"/>
          <w:b/>
          <w:i w:val="0"/>
          <w:color w:val="1F4E79"/>
          <w:sz w:val="21"/>
        </w:rPr>
        <w:t xml:space="preserve">• </w:t>
      </w:r>
      <w:r>
        <w:rPr>
          <w:rFonts w:ascii="Aptos" w:hAnsi="Aptos"/>
          <w:b w:val="0"/>
          <w:i w:val="0"/>
          <w:color w:val="282828"/>
          <w:sz w:val="20"/>
        </w:rPr>
        <w:t>PBPK MCP can consume PBPK scenario input without bespoke transformation code.</w:t>
      </w:r>
    </w:p>
    <w:p>
      <w:pPr>
        <w:pStyle w:val="BodyBullet"/>
        <w:ind w:left="360" w:hanging="216"/>
      </w:pPr>
      <w:r>
        <w:rPr>
          <w:rFonts w:ascii="Aptos" w:hAnsi="Aptos"/>
          <w:b/>
          <w:i w:val="0"/>
          <w:color w:val="1F4E79"/>
          <w:sz w:val="21"/>
        </w:rPr>
        <w:t xml:space="preserve">• </w:t>
      </w:r>
      <w:r>
        <w:rPr>
          <w:rFonts w:ascii="Aptos" w:hAnsi="Aptos"/>
          <w:b w:val="0"/>
          <w:i w:val="0"/>
          <w:color w:val="282828"/>
          <w:sz w:val="20"/>
        </w:rPr>
        <w:t>Scenario assumptions, defaults, and provenance are explicit and machine-readable.</w:t>
      </w:r>
    </w:p>
    <w:p>
      <w:pPr>
        <w:pStyle w:val="BodyBullet"/>
        <w:ind w:left="360" w:hanging="216"/>
      </w:pPr>
      <w:r>
        <w:rPr>
          <w:rFonts w:ascii="Aptos" w:hAnsi="Aptos"/>
          <w:b/>
          <w:i w:val="0"/>
          <w:color w:val="1F4E79"/>
          <w:sz w:val="21"/>
        </w:rPr>
        <w:t xml:space="preserve">• </w:t>
      </w:r>
      <w:r>
        <w:rPr>
          <w:rFonts w:ascii="Aptos" w:hAnsi="Aptos"/>
          <w:b w:val="0"/>
          <w:i w:val="0"/>
          <w:color w:val="282828"/>
          <w:sz w:val="20"/>
        </w:rPr>
        <w:t>ToxClaw can compare a screening scenario and a refined scenario through this module instead of duplicating the math internally.</w:t>
      </w:r>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b w:val="0"/>
        <w:i w:val="0"/>
        <w:color w:val="5D6979"/>
        <w:sz w:val="17"/>
      </w:rPr>
      <w:t>ToxMCP / ToxClaw design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val="0"/>
        <w:i w:val="0"/>
        <w:color w:val="5D6979"/>
        <w:sz w:val="17"/>
      </w:rPr>
      <w:t>Exposure Scenario MCP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w:hAnsi="Aptos"/>
      <w:b/>
      <w:bCs/>
      <w:color w:val="16375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Title">
    <w:name w:val="PRD Title"/>
    <w:basedOn w:val="Normal"/>
    <w:pPr>
      <w:spacing w:after="160" w:line="240" w:lineRule="auto"/>
    </w:pPr>
    <w:rPr>
      <w:rFonts w:ascii="Aptos Display" w:hAnsi="Aptos Display"/>
      <w:b/>
      <w:color w:val="16375C"/>
      <w:sz w:val="48"/>
    </w:rPr>
  </w:style>
  <w:style w:type="paragraph" w:customStyle="1" w:styleId="SmallNote">
    <w:name w:val="Small Note"/>
    <w:basedOn w:val="Normal"/>
    <w:pPr>
      <w:spacing w:after="80" w:line="264" w:lineRule="auto"/>
    </w:pPr>
    <w:rPr>
      <w:color w:val="5D6979"/>
      <w:sz w:val="18"/>
    </w:rPr>
  </w:style>
  <w:style w:type="paragraph" w:customStyle="1" w:styleId="BodyBullet">
    <w:name w:val="Body Bullet"/>
    <w:basedOn w:val="Normal"/>
    <w:pPr>
      <w:spacing w:after="80"/>
      <w:ind w:left="360" w:hanging="21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